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5.jpeg" ContentType="image/jpeg"/>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28.jpeg" ContentType="image/jpeg"/>
  <Override PartName="/word/media/image34.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32.jpeg" ContentType="image/jpeg"/>
  <Override PartName="/word/media/image5.jpeg" ContentType="image/jpeg"/>
  <Override PartName="/word/media/image26.jpeg" ContentType="image/jpeg"/>
  <Override PartName="/word/media/image6.jpeg" ContentType="image/jpeg"/>
  <Override PartName="/word/media/image27.jpeg" ContentType="image/jpeg"/>
  <Override PartName="/word/media/image33.jpeg" ContentType="image/jpeg"/>
  <Override PartName="/word/media/image4.gif" ContentType="image/gif"/>
  <Override PartName="/word/media/image35.jpeg" ContentType="image/jpeg"/>
  <Override PartName="/word/media/image1.jpeg" ContentType="image/jpeg"/>
  <Override PartName="/word/media/image22.jpeg" ContentType="image/jpeg"/>
  <Override PartName="/word/media/image2.jpeg" ContentType="image/jpeg"/>
  <Override PartName="/word/media/image23.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jc w:val="left"/>
        <w:rPr/>
      </w:pPr>
      <w:hyperlink w:anchor="i8e46ffef7ba64d5685b12ae81aaaa434_13">
        <w:bookmarkStart w:id="0" w:name="lcid-20260423.htm"/>
        <w:bookmarkStart w:id="1" w:name="kslcid20260423"/>
        <w:bookmarkEnd w:id="0"/>
        <w:bookmarkEnd w:id="1"/>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UNITED STATES </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SECURITIES AND EXCHANGE COMMISSION </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Washington, D.C. 20549</w:t>
      </w:r>
    </w:p>
    <w:p>
      <w:pPr>
        <w:pStyle w:val="TextBody"/>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SCHEDULE 14A INFORMATION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Proxy Statement Pursuant to Section 14(a)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Securities Exchange Act of 1934</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Filed by the Registrant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Filed by a Party other than the Registrant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Check the appropriate box:</w:t>
      </w:r>
    </w:p>
    <w:p>
      <w:pPr>
        <w:pStyle w:val="TextBody"/>
        <w:bidi w:val="0"/>
        <w:spacing w:lineRule="atLeast" w:line="180" w:before="0" w:after="0"/>
        <w:jc w:val="left"/>
        <w:rPr/>
      </w:pPr>
      <w:r>
        <w:rPr>
          <w:rFonts w:ascii="Wingdings;sans-serif" w:hAnsi="Wingdings;sans-serif"/>
          <w:b w:val="false"/>
          <w:i w:val="false"/>
          <w:caps w:val="false"/>
          <w:smallCaps w:val="false"/>
          <w:strike w:val="false"/>
          <w:dstrike w:val="false"/>
          <w:sz w:val="18"/>
          <w:u w:val="none"/>
          <w:effect w:val="none"/>
        </w:rPr>
        <w:t>o</w:t>
      </w:r>
      <w:r>
        <w:rPr>
          <w:rFonts w:ascii="Arial;sans-serif" w:hAnsi="Arial;sans-serif"/>
          <w:b w:val="false"/>
          <w:i w:val="false"/>
          <w:caps w:val="false"/>
          <w:smallCaps w:val="false"/>
          <w:strike w:val="false"/>
          <w:dstrike w:val="false"/>
          <w:sz w:val="18"/>
          <w:u w:val="none"/>
          <w:effect w:val="none"/>
        </w:rPr>
        <w:t>Preliminary Proxy Statement</w:t>
      </w:r>
    </w:p>
    <w:p>
      <w:pPr>
        <w:pStyle w:val="TextBody"/>
        <w:bidi w:val="0"/>
        <w:spacing w:lineRule="atLeast" w:line="180" w:before="0" w:after="0"/>
        <w:jc w:val="left"/>
        <w:rPr/>
      </w:pPr>
      <w:r>
        <w:rPr>
          <w:rFonts w:ascii="Wingdings;sans-serif" w:hAnsi="Wingdings;sans-serif"/>
          <w:b w:val="false"/>
          <w:i w:val="false"/>
          <w:caps w:val="false"/>
          <w:smallCaps w:val="false"/>
          <w:strike w:val="false"/>
          <w:dstrike w:val="false"/>
          <w:sz w:val="18"/>
          <w:u w:val="none"/>
          <w:effect w:val="none"/>
        </w:rPr>
        <w:t>o</w:t>
      </w:r>
      <w:r>
        <w:rPr>
          <w:rFonts w:ascii="Arial;sans-serif" w:hAnsi="Arial;sans-serif"/>
          <w:b w:val="false"/>
          <w:i w:val="false"/>
          <w:caps w:val="false"/>
          <w:smallCaps w:val="false"/>
          <w:strike w:val="false"/>
          <w:dstrike w:val="false"/>
          <w:sz w:val="18"/>
          <w:u w:val="none"/>
          <w:effect w:val="none"/>
        </w:rPr>
        <w:t>Confidential, for Use of the Commission Only (as permitted by Rule 14a-6(e)(2))</w:t>
      </w:r>
    </w:p>
    <w:p>
      <w:pPr>
        <w:pStyle w:val="TextBody"/>
        <w:bidi w:val="0"/>
        <w:spacing w:lineRule="atLeast" w:line="180" w:before="0" w:after="0"/>
        <w:jc w:val="left"/>
        <w:rPr/>
      </w:pPr>
      <w:r>
        <w:rPr>
          <w:rFonts w:ascii="Wingdings;sans-serif" w:hAnsi="Wingdings;sans-serif"/>
          <w:b w:val="false"/>
          <w:i w:val="false"/>
          <w:caps w:val="false"/>
          <w:smallCaps w:val="false"/>
          <w:strike w:val="false"/>
          <w:dstrike w:val="false"/>
          <w:sz w:val="18"/>
          <w:u w:val="none"/>
          <w:effect w:val="none"/>
        </w:rPr>
        <w:t>x</w:t>
      </w:r>
      <w:r>
        <w:rPr>
          <w:rFonts w:ascii="Arial;sans-serif" w:hAnsi="Arial;sans-serif"/>
          <w:b w:val="false"/>
          <w:i w:val="false"/>
          <w:caps w:val="false"/>
          <w:smallCaps w:val="false"/>
          <w:strike w:val="false"/>
          <w:dstrike w:val="false"/>
          <w:sz w:val="18"/>
          <w:u w:val="none"/>
          <w:effect w:val="none"/>
        </w:rPr>
        <w:t>Definitive Proxy Statement</w:t>
      </w:r>
    </w:p>
    <w:p>
      <w:pPr>
        <w:pStyle w:val="TextBody"/>
        <w:bidi w:val="0"/>
        <w:spacing w:lineRule="atLeast" w:line="180" w:before="0" w:after="0"/>
        <w:jc w:val="left"/>
        <w:rPr/>
      </w:pPr>
      <w:r>
        <w:rPr>
          <w:rFonts w:ascii="Wingdings;sans-serif" w:hAnsi="Wingdings;sans-serif"/>
          <w:b w:val="false"/>
          <w:i w:val="false"/>
          <w:caps w:val="false"/>
          <w:smallCaps w:val="false"/>
          <w:strike w:val="false"/>
          <w:dstrike w:val="false"/>
          <w:sz w:val="18"/>
          <w:u w:val="none"/>
          <w:effect w:val="none"/>
        </w:rPr>
        <w:t>o</w:t>
      </w:r>
      <w:r>
        <w:rPr>
          <w:rFonts w:ascii="Arial;sans-serif" w:hAnsi="Arial;sans-serif"/>
          <w:b w:val="false"/>
          <w:i w:val="false"/>
          <w:caps w:val="false"/>
          <w:smallCaps w:val="false"/>
          <w:strike w:val="false"/>
          <w:dstrike w:val="false"/>
          <w:sz w:val="18"/>
          <w:u w:val="none"/>
          <w:effect w:val="none"/>
        </w:rPr>
        <w:t>Definitive Additional Materials</w:t>
      </w:r>
    </w:p>
    <w:p>
      <w:pPr>
        <w:pStyle w:val="TextBody"/>
        <w:bidi w:val="0"/>
        <w:spacing w:lineRule="atLeast" w:line="180" w:before="0" w:after="0"/>
        <w:jc w:val="left"/>
        <w:rPr/>
      </w:pPr>
      <w:r>
        <w:rPr>
          <w:rFonts w:ascii="Wingdings;sans-serif" w:hAnsi="Wingdings;sans-serif"/>
          <w:b w:val="false"/>
          <w:i w:val="false"/>
          <w:caps w:val="false"/>
          <w:smallCaps w:val="false"/>
          <w:strike w:val="false"/>
          <w:dstrike w:val="false"/>
          <w:sz w:val="18"/>
          <w:u w:val="none"/>
          <w:effect w:val="none"/>
        </w:rPr>
        <w:t>o</w:t>
      </w:r>
      <w:r>
        <w:rPr>
          <w:rFonts w:ascii="Arial;sans-serif" w:hAnsi="Arial;sans-serif"/>
          <w:b w:val="false"/>
          <w:i w:val="false"/>
          <w:caps w:val="false"/>
          <w:smallCaps w:val="false"/>
          <w:strike w:val="false"/>
          <w:dstrike w:val="false"/>
          <w:sz w:val="18"/>
          <w:u w:val="none"/>
          <w:effect w:val="none"/>
        </w:rPr>
        <w:t>Soliciting Material under § 240.14a-12</w:t>
      </w:r>
    </w:p>
    <w:p>
      <w:pPr>
        <w:pStyle w:val="TextBody"/>
        <w:bidi w:val="0"/>
        <w:spacing w:before="0" w:after="0"/>
        <w:jc w:val="left"/>
        <w:rPr/>
      </w:pPr>
      <w:r>
        <w:rPr/>
        <w:drawing>
          <wp:inline distT="0" distB="0" distL="0" distR="0">
            <wp:extent cx="3933825"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33825" cy="257175"/>
                    </a:xfrm>
                    <a:prstGeom prst="rect">
                      <a:avLst/>
                    </a:prstGeom>
                  </pic:spPr>
                </pic:pic>
              </a:graphicData>
            </a:graphic>
          </wp:inline>
        </w:drawing>
      </w:r>
      <w:bookmarkStart w:id="2" w:name="i-1"/>
      <w:bookmarkEnd w:id="2"/>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Lucid Group, Inc.</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(Name of Registrant as Specified In Its Charter)</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(Name of Person(s) Filing Proxy Statement if Other Than the Registrant)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Payment of Filing Fee (Check all boxes that apply):</w:t>
      </w:r>
    </w:p>
    <w:p>
      <w:pPr>
        <w:pStyle w:val="TextBody"/>
        <w:bidi w:val="0"/>
        <w:spacing w:lineRule="atLeast" w:line="180" w:before="0" w:after="0"/>
        <w:jc w:val="left"/>
        <w:rPr/>
      </w:pPr>
      <w:r>
        <w:rPr>
          <w:rFonts w:ascii="Wingdings;sans-serif" w:hAnsi="Wingdings;sans-serif"/>
          <w:b w:val="false"/>
          <w:i w:val="false"/>
          <w:caps w:val="false"/>
          <w:smallCaps w:val="false"/>
          <w:strike w:val="false"/>
          <w:dstrike w:val="false"/>
          <w:sz w:val="18"/>
          <w:u w:val="none"/>
          <w:effect w:val="none"/>
        </w:rPr>
        <w:t>x</w:t>
      </w:r>
      <w:r>
        <w:rPr>
          <w:rFonts w:ascii="Arial;sans-serif" w:hAnsi="Arial;sans-serif"/>
          <w:b w:val="false"/>
          <w:i w:val="false"/>
          <w:caps w:val="false"/>
          <w:smallCaps w:val="false"/>
          <w:strike w:val="false"/>
          <w:dstrike w:val="false"/>
          <w:sz w:val="18"/>
          <w:u w:val="none"/>
          <w:effect w:val="none"/>
        </w:rPr>
        <w:t>No fee required.</w:t>
      </w:r>
    </w:p>
    <w:p>
      <w:pPr>
        <w:pStyle w:val="TextBody"/>
        <w:bidi w:val="0"/>
        <w:spacing w:lineRule="atLeast" w:line="180" w:before="0" w:after="0"/>
        <w:jc w:val="left"/>
        <w:rPr/>
      </w:pPr>
      <w:r>
        <w:rPr>
          <w:rFonts w:ascii="Wingdings;sans-serif" w:hAnsi="Wingdings;sans-serif"/>
          <w:b w:val="false"/>
          <w:i w:val="false"/>
          <w:caps w:val="false"/>
          <w:smallCaps w:val="false"/>
          <w:strike w:val="false"/>
          <w:dstrike w:val="false"/>
          <w:sz w:val="18"/>
          <w:u w:val="none"/>
          <w:effect w:val="none"/>
        </w:rPr>
        <w:t>o</w:t>
      </w:r>
      <w:r>
        <w:rPr>
          <w:rFonts w:ascii="Arial;sans-serif" w:hAnsi="Arial;sans-serif"/>
          <w:b w:val="false"/>
          <w:i w:val="false"/>
          <w:caps w:val="false"/>
          <w:smallCaps w:val="false"/>
          <w:strike w:val="false"/>
          <w:dstrike w:val="false"/>
          <w:sz w:val="18"/>
          <w:u w:val="none"/>
          <w:effect w:val="none"/>
        </w:rPr>
        <w:t>Fee previously paid with preliminary materials.</w:t>
      </w:r>
    </w:p>
    <w:p>
      <w:pPr>
        <w:pStyle w:val="TextBody"/>
        <w:bidi w:val="0"/>
        <w:spacing w:lineRule="atLeast" w:line="180" w:before="0" w:after="0"/>
        <w:jc w:val="left"/>
        <w:rPr>
          <w:sz w:val="24"/>
        </w:rPr>
      </w:pPr>
      <w:r>
        <w:rPr>
          <w:rFonts w:ascii="Wingdings;sans-serif" w:hAnsi="Wingdings;sans-serif"/>
          <w:b w:val="false"/>
          <w:i w:val="false"/>
          <w:caps w:val="false"/>
          <w:smallCaps w:val="false"/>
          <w:strike w:val="false"/>
          <w:dstrike w:val="false"/>
          <w:sz w:val="18"/>
          <w:u w:val="none"/>
          <w:effect w:val="none"/>
        </w:rPr>
        <w:t>o</w:t>
      </w:r>
      <w:r>
        <w:rPr>
          <w:rFonts w:ascii="Arial;sans-serif" w:hAnsi="Arial;sans-serif"/>
          <w:b w:val="false"/>
          <w:i w:val="false"/>
          <w:caps w:val="false"/>
          <w:smallCaps w:val="false"/>
          <w:strike w:val="false"/>
          <w:dstrike w:val="false"/>
          <w:sz w:val="18"/>
          <w:u w:val="none"/>
          <w:effect w:val="none"/>
        </w:rPr>
        <w:t>Fee computed on table in exhibit required by Item 25(b) per Exchange Act Rules 14a-6(i)(1) and 0-11</w:t>
      </w:r>
    </w:p>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before="0" w:after="0"/>
        <w:jc w:val="left"/>
        <w:rPr/>
      </w:pPr>
      <w:r>
        <w:rPr/>
        <w:drawing>
          <wp:inline distT="0" distB="0" distL="0" distR="0">
            <wp:extent cx="7589520" cy="98215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589520" cy="9821545"/>
                    </a:xfrm>
                    <a:prstGeom prst="rect">
                      <a:avLst/>
                    </a:prstGeom>
                  </pic:spPr>
                </pic:pic>
              </a:graphicData>
            </a:graphic>
          </wp:inline>
        </w:drawing>
      </w:r>
      <w:bookmarkStart w:id="3" w:name="i-2"/>
      <w:bookmarkEnd w:id="3"/>
    </w:p>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918" w:type="dxa"/>
        <w:jc w:val="left"/>
        <w:tblInd w:w="0" w:type="dxa"/>
        <w:tblLayout w:type="fixed"/>
        <w:tblCellMar>
          <w:top w:w="28" w:type="dxa"/>
          <w:left w:w="28" w:type="dxa"/>
          <w:bottom w:w="28" w:type="dxa"/>
          <w:right w:w="28" w:type="dxa"/>
        </w:tblCellMar>
      </w:tblPr>
      <w:tblGrid>
        <w:gridCol w:w="4003"/>
        <w:gridCol w:w="109"/>
        <w:gridCol w:w="5806"/>
      </w:tblGrid>
      <w:tr>
        <w:trPr/>
        <w:tc>
          <w:tcPr>
            <w:tcW w:w="4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before="0" w:after="283"/>
              <w:jc w:val="left"/>
              <w:rPr>
                <w:sz w:val="4"/>
                <w:szCs w:val="4"/>
              </w:rPr>
            </w:pPr>
            <w:r>
              <w:rPr>
                <w:sz w:val="4"/>
                <w:szCs w:val="4"/>
              </w:rPr>
            </w:r>
          </w:p>
        </w:tc>
      </w:tr>
      <w:tr>
        <w:trPr/>
        <w:tc>
          <w:tcPr>
            <w:tcW w:w="4003" w:type="dxa"/>
            <w:tcBorders/>
            <w:shd w:fill="000000" w:val="clear"/>
            <w:vAlign w:val="center"/>
          </w:tcPr>
          <w:p>
            <w:pPr>
              <w:pStyle w:val="TableContents"/>
              <w:bidi w:val="0"/>
              <w:spacing w:lineRule="atLeast" w:line="400" w:before="0" w:after="0"/>
              <w:jc w:val="left"/>
              <w:rPr>
                <w:rFonts w:ascii="Times New Roman;serif" w:hAnsi="Times New Roman;serif"/>
                <w:b w:val="false"/>
                <w:i w:val="false"/>
                <w:caps w:val="false"/>
                <w:smallCaps w:val="false"/>
                <w:strike w:val="false"/>
                <w:dstrike w:val="false"/>
                <w:color w:val="FFFFFF"/>
                <w:sz w:val="40"/>
                <w:u w:val="none"/>
                <w:effect w:val="none"/>
              </w:rPr>
            </w:pPr>
            <w:r>
              <w:rPr>
                <w:rFonts w:ascii="Times New Roman;serif" w:hAnsi="Times New Roman;serif"/>
                <w:b w:val="false"/>
                <w:i w:val="false"/>
                <w:caps w:val="false"/>
                <w:smallCaps w:val="false"/>
                <w:strike w:val="false"/>
                <w:dstrike w:val="false"/>
                <w:color w:val="FFFFFF"/>
                <w:sz w:val="40"/>
                <w:u w:val="none"/>
                <w:effect w:val="none"/>
              </w:rPr>
              <w:t>Letter to</w:t>
            </w:r>
          </w:p>
          <w:p>
            <w:pPr>
              <w:pStyle w:val="TableContents"/>
              <w:bidi w:val="0"/>
              <w:spacing w:lineRule="atLeast" w:line="400" w:before="0" w:after="0"/>
              <w:jc w:val="left"/>
              <w:rPr>
                <w:rFonts w:ascii="Times New Roman;serif" w:hAnsi="Times New Roman;serif"/>
                <w:b w:val="false"/>
                <w:i w:val="false"/>
                <w:caps w:val="false"/>
                <w:smallCaps w:val="false"/>
                <w:strike w:val="false"/>
                <w:dstrike w:val="false"/>
                <w:color w:val="FFFFFF"/>
                <w:sz w:val="40"/>
                <w:u w:val="none"/>
                <w:effect w:val="none"/>
              </w:rPr>
            </w:pPr>
            <w:r>
              <w:rPr>
                <w:rFonts w:ascii="Times New Roman;serif" w:hAnsi="Times New Roman;serif"/>
                <w:b w:val="false"/>
                <w:i w:val="false"/>
                <w:caps w:val="false"/>
                <w:smallCaps w:val="false"/>
                <w:strike w:val="false"/>
                <w:dstrike w:val="false"/>
                <w:color w:val="FFFFFF"/>
                <w:sz w:val="40"/>
                <w:u w:val="none"/>
                <w:effect w:val="none"/>
              </w:rPr>
              <w:t>Stockholders</w:t>
            </w:r>
          </w:p>
          <w:p>
            <w:pPr>
              <w:pStyle w:val="TableContents"/>
              <w:bidi w:val="0"/>
              <w:spacing w:lineRule="atLeast" w:line="180" w:before="0" w:after="0"/>
              <w:jc w:val="left"/>
              <w:rPr>
                <w:rFonts w:ascii="Arial;sans-serif" w:hAnsi="Arial;sans-serif"/>
                <w:b w:val="false"/>
                <w:i w:val="false"/>
                <w:caps w:val="false"/>
                <w:smallCaps w:val="false"/>
                <w:strike w:val="false"/>
                <w:dstrike w:val="false"/>
                <w:color w:val="FFFFFF"/>
                <w:sz w:val="18"/>
                <w:u w:val="none"/>
                <w:effect w:val="none"/>
              </w:rPr>
            </w:pPr>
            <w:r>
              <w:rPr>
                <w:rFonts w:ascii="Arial;sans-serif" w:hAnsi="Arial;sans-serif"/>
                <w:b w:val="false"/>
                <w:i w:val="false"/>
                <w:caps w:val="false"/>
                <w:smallCaps w:val="false"/>
                <w:strike w:val="false"/>
                <w:dstrike w:val="false"/>
                <w:color w:val="FFFFFF"/>
                <w:sz w:val="18"/>
                <w:u w:val="none"/>
                <w:effect w:val="none"/>
              </w:rPr>
              <w:t>Turqi Alnowaiser</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C4B592"/>
                <w:sz w:val="14"/>
                <w:u w:val="none"/>
                <w:effect w:val="none"/>
              </w:rPr>
            </w:pPr>
            <w:r>
              <w:rPr>
                <w:rFonts w:ascii="Arial;sans-serif" w:hAnsi="Arial;sans-serif"/>
                <w:b w:val="false"/>
                <w:i w:val="false"/>
                <w:caps w:val="false"/>
                <w:smallCaps w:val="false"/>
                <w:strike w:val="false"/>
                <w:dstrike w:val="false"/>
                <w:color w:val="C4B592"/>
                <w:sz w:val="14"/>
                <w:u w:val="none"/>
                <w:effect w:val="none"/>
              </w:rPr>
              <w:t>BOARD CHAIRMAN</w:t>
            </w:r>
          </w:p>
        </w:tc>
        <w:tc>
          <w:tcPr>
            <w:tcW w:w="109" w:type="dxa"/>
            <w:tcBorders/>
            <w:vAlign w:val="center"/>
          </w:tcPr>
          <w:p>
            <w:pPr>
              <w:pStyle w:val="TableContents"/>
              <w:bidi w:val="0"/>
              <w:spacing w:before="0" w:after="283"/>
              <w:jc w:val="left"/>
              <w:rPr>
                <w:sz w:val="4"/>
                <w:szCs w:val="4"/>
              </w:rPr>
            </w:pPr>
            <w:r>
              <w:rPr>
                <w:sz w:val="4"/>
                <w:szCs w:val="4"/>
              </w:rPr>
            </w:r>
          </w:p>
        </w:tc>
        <w:tc>
          <w:tcPr>
            <w:tcW w:w="5806" w:type="dxa"/>
            <w:vMerge w:val="restart"/>
            <w:tcBorders/>
            <w:vAlign w:val="center"/>
          </w:tcPr>
          <w:p>
            <w:pPr>
              <w:pStyle w:val="TableContents"/>
              <w:bidi w:val="0"/>
              <w:spacing w:before="0" w:after="0"/>
              <w:jc w:val="left"/>
              <w:rPr/>
            </w:pPr>
            <w:r>
              <w:rPr/>
              <w:drawing>
                <wp:inline distT="0" distB="0" distL="0" distR="0">
                  <wp:extent cx="1572895" cy="1003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72895" cy="100330"/>
                          </a:xfrm>
                          <a:prstGeom prst="rect">
                            <a:avLst/>
                          </a:prstGeom>
                        </pic:spPr>
                      </pic:pic>
                    </a:graphicData>
                  </a:graphic>
                </wp:inline>
              </w:drawing>
            </w:r>
            <w:bookmarkStart w:id="4" w:name="i-3"/>
            <w:bookmarkEnd w:id="4"/>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Dear Stockholders,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we approach this year’s annual meeting, I'd like to reflect on our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progress over the last year and share an update on our strategic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priorities as we continue building a company positioned for long-term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success.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Leadership for the Next Chapter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One of the Board’s most important responsibilities is to ensure Lucid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has the right leadership to guide the company through its next stage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growth. Following a comprehensive global search, we have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appointed Silvio Napoli as Lucid’s next CEO.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Silvio brings extensive experience leading global, technology-driven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organizations, with a proven history in manufacturing excellence,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growth, and customer service. We are confident in his ability to lead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Lucid as we accelerate toward profitable growth and shareholder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value creation.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also thank Marc Winterhoff for his leadership during this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transition and are pleased he will continue serving as COO upon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Silvio assuming the CEO role. I'm confident our expanded leadership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team and continuity will benefit Lucid and shareholders as we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execute against our strategy.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Path to Profitability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have taken important steps to strengthen our balance sheet and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support our path to scale and profitability. Lucid has reinforced its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capital position and formed new, capital-efficient strategic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partnerships that accelerate our speed to market.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While we continue to navigate a dynamic environment, our focus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remains on disciplined execution, expanding the reach of the award-</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winning Lucid Air and Lucid Gravity, thoughtful capital allocation, and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building a resilient business. Software-enabled innovation,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autonomy, and broader mobility applications also represent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emerging and promising opportunities.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Looking Forward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we prepare our new Midsize vehicles designed for scale and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efficiency, we believe these products will propel Lucid into higher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volume premium segments of the global automotive market.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Backed by a clear vision, differentiated technology, and strong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leadership, it's clear Lucid has a bright future ahead. We believe our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industry-leading innovation, new products and expanding revenue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opportunities will position Lucid for long-term success.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behalf of the Board, thank you for your continued trust and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support.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Sincerely,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Turqi Alnowaiser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Chairman of the Board</w:t>
            </w:r>
          </w:p>
        </w:tc>
      </w:tr>
      <w:tr>
        <w:trPr/>
        <w:tc>
          <w:tcPr>
            <w:tcW w:w="4003"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6" w:type="dxa"/>
            <w:vMerge w:val="continue"/>
            <w:tcBorders/>
            <w:vAlign w:val="center"/>
          </w:tcPr>
          <w:p>
            <w:pPr>
              <w:pStyle w:val="Normal"/>
              <w:bidi w:val="0"/>
              <w:jc w:val="left"/>
              <w:rPr/>
            </w:pPr>
            <w:r>
              <w:rPr/>
            </w:r>
          </w:p>
        </w:tc>
      </w:tr>
      <w:tr>
        <w:trPr/>
        <w:tc>
          <w:tcPr>
            <w:tcW w:w="4003" w:type="dxa"/>
            <w:tcBorders/>
            <w:shd w:fill="000000" w:val="clear"/>
            <w:vAlign w:val="center"/>
          </w:tcPr>
          <w:p>
            <w:pPr>
              <w:pStyle w:val="TableContents"/>
              <w:bidi w:val="0"/>
              <w:spacing w:before="0" w:after="0"/>
              <w:jc w:val="left"/>
              <w:rPr/>
            </w:pPr>
            <w:r>
              <w:rPr/>
              <w:drawing>
                <wp:inline distT="0" distB="0" distL="0" distR="0">
                  <wp:extent cx="2477770" cy="26816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477770" cy="2681605"/>
                          </a:xfrm>
                          <a:prstGeom prst="rect">
                            <a:avLst/>
                          </a:prstGeom>
                        </pic:spPr>
                      </pic:pic>
                    </a:graphicData>
                  </a:graphic>
                </wp:inline>
              </w:drawing>
            </w:r>
            <w:bookmarkStart w:id="5" w:name="i-4"/>
            <w:bookmarkEnd w:id="5"/>
          </w:p>
        </w:tc>
        <w:tc>
          <w:tcPr>
            <w:tcW w:w="109" w:type="dxa"/>
            <w:tcBorders/>
            <w:vAlign w:val="center"/>
          </w:tcPr>
          <w:p>
            <w:pPr>
              <w:pStyle w:val="TableContents"/>
              <w:bidi w:val="0"/>
              <w:spacing w:before="0" w:after="283"/>
              <w:jc w:val="left"/>
              <w:rPr>
                <w:sz w:val="4"/>
                <w:szCs w:val="4"/>
              </w:rPr>
            </w:pPr>
            <w:r>
              <w:rPr>
                <w:sz w:val="4"/>
                <w:szCs w:val="4"/>
              </w:rPr>
            </w:r>
          </w:p>
        </w:tc>
        <w:tc>
          <w:tcPr>
            <w:tcW w:w="5806" w:type="dxa"/>
            <w:vMerge w:val="continue"/>
            <w:tcBorders/>
            <w:vAlign w:val="center"/>
          </w:tcPr>
          <w:p>
            <w:pPr>
              <w:pStyle w:val="Normal"/>
              <w:bidi w:val="0"/>
              <w:jc w:val="left"/>
              <w:rPr/>
            </w:pPr>
            <w:r>
              <w:rPr/>
            </w:r>
          </w:p>
        </w:tc>
      </w:tr>
      <w:tr>
        <w:trPr/>
        <w:tc>
          <w:tcPr>
            <w:tcW w:w="4003"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6" w:type="dxa"/>
            <w:vMerge w:val="continue"/>
            <w:tcBorders/>
            <w:vAlign w:val="center"/>
          </w:tcPr>
          <w:p>
            <w:pPr>
              <w:pStyle w:val="Normal"/>
              <w:bidi w:val="0"/>
              <w:jc w:val="left"/>
              <w:rPr/>
            </w:pPr>
            <w:r>
              <w:rPr/>
            </w:r>
          </w:p>
        </w:tc>
      </w:tr>
      <w:tr>
        <w:trPr/>
        <w:tc>
          <w:tcPr>
            <w:tcW w:w="4003"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6" w:type="dxa"/>
            <w:vMerge w:val="continue"/>
            <w:tcBorders/>
            <w:vAlign w:val="center"/>
          </w:tcPr>
          <w:p>
            <w:pPr>
              <w:pStyle w:val="Normal"/>
              <w:bidi w:val="0"/>
              <w:jc w:val="left"/>
              <w:rPr/>
            </w:pPr>
            <w:r>
              <w:rPr/>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Lucid Group, Inc.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Notice of Annual Meeting of Stockholders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to Be Held on June 4, 2026</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April 23, 2026</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Dear Stockholder: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You are cordially invited to attend the 2026 Annual Meeting of Stockholders (the “Annual Meeting”) of Lucid Group, Inc.,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Delaware corporation (“we,” “us,” “Lucid Group,” “Lucid” or the “Company”). The Annual Meeting will be held virtually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June 4, 2026 at 9:00 a.m. (Pacific Time) to consider and vote on the following proposals: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1.To elect the nine nominees to serve as directors, to hold office until the 2027 annual meeting of stockholders and until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their successors are duly elected and qualified, or until their earlier death, resignation or removal;</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2.To ratify the selection of KPMG LLP as our independent registered public accounting firm for the fiscal year ending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December 31, 2026;</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3.To approve, on an advisory basis, the compensation for our named executive officers;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4.To approve the amendment and restatement of the Lucid Group, Inc. Amended and Restated 2021 Stock Incentive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Plan; and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5.To conduct such other business as may properly come before the Annual Meeting or any adjournment thereof.</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These items of business are more fully described in the proxy statement accompanying this Notice of Annual Meeting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Stockholders (the “Proxy Statement”).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record date for the Annual Meeting is April 6, 2026 (the “Record Date”). Only stockholders of record of shares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Class A common stock, par value $0.0001 per share, shares of our Series A convertible preferred stock, par value $0.0001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 share, or shares of our Series B convertible preferred stock, par value $0.0001 per share at the close of business on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Record Date may vote at the Annual Meeting or any postponement or adjournment thereof. You will be able to attend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Annual Meeting remotely by registering at www.proxydocs.com/LCID. Upon completing your registration, you will receive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further instructions via email, including a unique link that will allow you access to the Annual Meeting and to vote and submit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questions. As part of the registration process, you must enter the control number located on your proxy card, voting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instruction form, or Important Notice Regarding the Availability of Proxy Materials.</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Important Notice Regarding the Availability of Proxy Materials for the Annual Meeting to be held on</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June 4, 2026 at 9:00 a.m. (Pacific Time)</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via the internet at www.proxydocs.com/LCID</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The Proxy Statement and the Company’s Annual Report to Stockholders are available at: www.proxydocs.com/</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LCID.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have determined that the Annual Meeting will be held in a virtual meeting format only, via the internet. If you plan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participate in the virtual meeting, please see the Questions and Answers section below. Stockholders will be able to attend,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vote and submit questions (both before, and for a portion of, the meeting) via the internet.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the event of an adjournment, postponement or emergency that may change the Annual Meeting’s time or date, we will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make an announcement, issue a press release or post information at www.lucidmotors.com to notify stockholders,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appropriate. If you have any questions or need assistance in voting your shares, please write to Lucid Investor Relations 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7373 Gateway Boulevard, Newark, CA 94560 or by email at investor@lucidmotors.com.</w:t>
      </w:r>
    </w:p>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Brian K. Tomkiel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General Counsel &amp; Corporate Secretary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Newark, California</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ALL STOCKHOLDERS ARE CORDIALLY INVITED TO VIRTUALLY ATTEND THE ANNUAL MEETING. WHETHER OR </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NOT YOU EXPECT TO ATTEND THE ANNUAL MEETING, PLEASE COMPLETE, DATE, SIGN AND RETURN THE </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PROXY CARD, OR VOTE OVER THE TELEPHONE OR INTERNET AS INSTRUCTED IN THOSE MATERIALS, AS </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PROMPTLY AS POSSIBLE IN ORDER TO ENSURE YOUR REPRESENTATION AT THE ANNUAL MEETING. EVEN IF </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YOU HAVE VOTED BY PROXY, YOU MAY STILL VOTE AT THE ANNUAL MEETING IF YOU ATTEND.</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FEFEF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54" w:type="dxa"/>
        <w:jc w:val="left"/>
        <w:tblInd w:w="0" w:type="dxa"/>
        <w:tblLayout w:type="fixed"/>
        <w:tblCellMar>
          <w:top w:w="28" w:type="dxa"/>
          <w:left w:w="28" w:type="dxa"/>
          <w:bottom w:w="28" w:type="dxa"/>
          <w:right w:w="28" w:type="dxa"/>
        </w:tblCellMar>
      </w:tblPr>
      <w:tblGrid>
        <w:gridCol w:w="124"/>
        <w:gridCol w:w="30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0"/>
              <w:jc w:val="left"/>
              <w:rPr/>
            </w:pPr>
            <w:r>
              <w:rPr/>
              <w:drawing>
                <wp:inline distT="0" distB="0" distL="0" distR="0">
                  <wp:extent cx="1572895" cy="990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72895" cy="99060"/>
                          </a:xfrm>
                          <a:prstGeom prst="rect">
                            <a:avLst/>
                          </a:prstGeom>
                        </pic:spPr>
                      </pic:pic>
                    </a:graphicData>
                  </a:graphic>
                </wp:inline>
              </w:drawing>
            </w:r>
            <w:bookmarkStart w:id="6" w:name="i-5"/>
            <w:bookmarkEnd w:id="6"/>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76"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76" w:type="dxa"/>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lineRule="atLeast" w:line="400" w:before="0" w:after="0"/>
              <w:jc w:val="left"/>
              <w:rPr>
                <w:rFonts w:ascii="Times New Roman;serif" w:hAnsi="Times New Roman;serif"/>
                <w:b w:val="false"/>
                <w:i w:val="false"/>
                <w:caps w:val="false"/>
                <w:smallCaps w:val="false"/>
                <w:strike w:val="false"/>
                <w:dstrike w:val="false"/>
                <w:color w:val="FFFFFF"/>
                <w:sz w:val="40"/>
                <w:u w:val="none"/>
                <w:effect w:val="none"/>
              </w:rPr>
            </w:pPr>
            <w:r>
              <w:rPr>
                <w:rFonts w:ascii="Times New Roman;serif" w:hAnsi="Times New Roman;serif"/>
                <w:b w:val="false"/>
                <w:i w:val="false"/>
                <w:caps w:val="false"/>
                <w:smallCaps w:val="false"/>
                <w:strike w:val="false"/>
                <w:dstrike w:val="false"/>
                <w:color w:val="FFFFFF"/>
                <w:sz w:val="40"/>
                <w:u w:val="none"/>
                <w:effect w:val="none"/>
              </w:rPr>
              <w:t>Table of Contents</w:t>
            </w:r>
          </w:p>
        </w:tc>
        <w:tc>
          <w:tcPr>
            <w:tcW w:w="154" w:type="dxa"/>
            <w:tcBorders/>
            <w:vAlign w:val="center"/>
          </w:tcPr>
          <w:p>
            <w:pPr>
              <w:pStyle w:val="TableContents"/>
              <w:bidi w:val="0"/>
              <w:spacing w:before="0" w:after="283"/>
              <w:jc w:val="left"/>
              <w:rPr>
                <w:sz w:val="4"/>
                <w:szCs w:val="4"/>
              </w:rPr>
            </w:pPr>
            <w:r>
              <w:rPr>
                <w:sz w:val="4"/>
                <w:szCs w:val="4"/>
              </w:rPr>
            </w:r>
          </w:p>
        </w:tc>
      </w:tr>
    </w:tbl>
    <w:tbl>
      <w:tblPr>
        <w:tblW w:w="4866" w:type="dxa"/>
        <w:jc w:val="left"/>
        <w:tblInd w:w="0" w:type="dxa"/>
        <w:tblLayout w:type="fixed"/>
        <w:tblCellMar>
          <w:top w:w="28" w:type="dxa"/>
          <w:left w:w="28" w:type="dxa"/>
          <w:bottom w:w="28" w:type="dxa"/>
          <w:right w:w="28" w:type="dxa"/>
        </w:tblCellMar>
      </w:tblPr>
      <w:tblGrid>
        <w:gridCol w:w="124"/>
        <w:gridCol w:w="4231"/>
        <w:gridCol w:w="511"/>
      </w:tblGrid>
      <w:tr>
        <w:trPr/>
        <w:tc>
          <w:tcPr>
            <w:tcW w:w="124"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FFFFF"/>
                <w:sz w:val="14"/>
                <w:u w:val="none"/>
                <w:effect w:val="none"/>
              </w:rPr>
            </w:pPr>
            <w:r>
              <w:rPr>
                <w:rFonts w:ascii="Arial;sans-serif" w:hAnsi="Arial;sans-serif"/>
                <w:b/>
                <w:i w:val="false"/>
                <w:caps w:val="false"/>
                <w:smallCaps w:val="false"/>
                <w:strike w:val="false"/>
                <w:dstrike w:val="false"/>
                <w:color w:val="FFFFFF"/>
                <w:sz w:val="14"/>
                <w:u w:val="none"/>
                <w:effect w:val="none"/>
              </w:rPr>
              <w:t xml:space="preserve">Page </w:t>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16">
              <w:r>
                <w:rPr>
                  <w:rStyle w:val="InternetLink"/>
                  <w:rFonts w:ascii="Arial;sans-serif" w:hAnsi="Arial;sans-serif"/>
                  <w:b w:val="false"/>
                  <w:i w:val="false"/>
                  <w:caps w:val="false"/>
                  <w:smallCaps w:val="false"/>
                  <w:color w:val="FFFFFF"/>
                  <w:sz w:val="18"/>
                  <w:u w:val="single"/>
                </w:rPr>
                <w:t xml:space="preserve">Questions and Answers About These Proxy </w:t>
              </w:r>
            </w:hyperlink>
          </w:p>
          <w:p>
            <w:pPr>
              <w:pStyle w:val="TableContents"/>
              <w:bidi w:val="0"/>
              <w:spacing w:lineRule="atLeast" w:line="180" w:before="0" w:after="0"/>
              <w:jc w:val="left"/>
              <w:rPr/>
            </w:pPr>
            <w:hyperlink w:anchor="i8e46ffef7ba64d5685b12ae81aaaa434_16">
              <w:r>
                <w:rPr>
                  <w:rStyle w:val="InternetLink"/>
                  <w:rFonts w:ascii="Arial;sans-serif" w:hAnsi="Arial;sans-serif"/>
                  <w:b w:val="false"/>
                  <w:i w:val="false"/>
                  <w:caps w:val="false"/>
                  <w:smallCaps w:val="false"/>
                  <w:color w:val="FFFFFF"/>
                  <w:sz w:val="18"/>
                  <w:u w:val="single"/>
                </w:rPr>
                <w:t>Materials and Voting</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16">
              <w:r>
                <w:rPr>
                  <w:rStyle w:val="InternetLink"/>
                  <w:rFonts w:ascii="Arial;sans-serif" w:hAnsi="Arial;sans-serif"/>
                  <w:b w:val="false"/>
                  <w:i w:val="false"/>
                  <w:caps w:val="false"/>
                  <w:smallCaps w:val="false"/>
                  <w:color w:val="FFFFFF"/>
                  <w:sz w:val="18"/>
                  <w:u w:val="single"/>
                </w:rPr>
                <w:t>1</w:t>
              </w:r>
            </w:hyperlink>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19">
              <w:r>
                <w:rPr>
                  <w:rStyle w:val="InternetLink"/>
                  <w:rFonts w:ascii="Arial;sans-serif" w:hAnsi="Arial;sans-serif"/>
                  <w:b w:val="false"/>
                  <w:i w:val="false"/>
                  <w:caps w:val="false"/>
                  <w:smallCaps w:val="false"/>
                  <w:color w:val="FFFFFF"/>
                  <w:sz w:val="18"/>
                  <w:u w:val="single"/>
                </w:rPr>
                <w:t>Proposal No. 1: Election of Directors</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19">
              <w:r>
                <w:rPr>
                  <w:rStyle w:val="InternetLink"/>
                  <w:rFonts w:ascii="Arial;sans-serif" w:hAnsi="Arial;sans-serif"/>
                  <w:b w:val="false"/>
                  <w:i w:val="false"/>
                  <w:caps w:val="false"/>
                  <w:smallCaps w:val="false"/>
                  <w:color w:val="FFFFFF"/>
                  <w:sz w:val="18"/>
                  <w:u w:val="single"/>
                </w:rPr>
                <w:t>9</w:t>
              </w:r>
            </w:hyperlink>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22">
              <w:r>
                <w:rPr>
                  <w:rStyle w:val="InternetLink"/>
                  <w:rFonts w:ascii="Arial;sans-serif" w:hAnsi="Arial;sans-serif"/>
                  <w:b w:val="false"/>
                  <w:i w:val="false"/>
                  <w:caps w:val="false"/>
                  <w:smallCaps w:val="false"/>
                  <w:color w:val="FFFFFF"/>
                  <w:sz w:val="18"/>
                  <w:u w:val="single"/>
                </w:rPr>
                <w:t xml:space="preserve">Information Regarding the Board of Directors and </w:t>
              </w:r>
            </w:hyperlink>
          </w:p>
          <w:p>
            <w:pPr>
              <w:pStyle w:val="TableContents"/>
              <w:bidi w:val="0"/>
              <w:spacing w:lineRule="atLeast" w:line="180" w:before="0" w:after="0"/>
              <w:jc w:val="left"/>
              <w:rPr/>
            </w:pPr>
            <w:hyperlink w:anchor="i8e46ffef7ba64d5685b12ae81aaaa434_22">
              <w:r>
                <w:rPr>
                  <w:rStyle w:val="InternetLink"/>
                  <w:rFonts w:ascii="Arial;sans-serif" w:hAnsi="Arial;sans-serif"/>
                  <w:b w:val="false"/>
                  <w:i w:val="false"/>
                  <w:caps w:val="false"/>
                  <w:smallCaps w:val="false"/>
                  <w:color w:val="FFFFFF"/>
                  <w:sz w:val="18"/>
                  <w:u w:val="single"/>
                </w:rPr>
                <w:t>Corporate Governance</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22">
              <w:r>
                <w:rPr>
                  <w:rStyle w:val="InternetLink"/>
                  <w:rFonts w:ascii="Arial;sans-serif" w:hAnsi="Arial;sans-serif"/>
                  <w:b w:val="false"/>
                  <w:i w:val="false"/>
                  <w:caps w:val="false"/>
                  <w:smallCaps w:val="false"/>
                  <w:color w:val="FFFFFF"/>
                  <w:sz w:val="18"/>
                  <w:u w:val="single"/>
                </w:rPr>
                <w:t>15</w:t>
              </w:r>
            </w:hyperlink>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25">
              <w:r>
                <w:rPr>
                  <w:rStyle w:val="InternetLink"/>
                  <w:rFonts w:ascii="Arial;sans-serif" w:hAnsi="Arial;sans-serif"/>
                  <w:b w:val="false"/>
                  <w:i w:val="false"/>
                  <w:caps w:val="false"/>
                  <w:smallCaps w:val="false"/>
                  <w:color w:val="FFFFFF"/>
                  <w:sz w:val="18"/>
                  <w:u w:val="single"/>
                </w:rPr>
                <w:t xml:space="preserve">Report of the Audit Committee of the Board of </w:t>
              </w:r>
            </w:hyperlink>
          </w:p>
          <w:p>
            <w:pPr>
              <w:pStyle w:val="TableContents"/>
              <w:bidi w:val="0"/>
              <w:spacing w:lineRule="atLeast" w:line="180" w:before="0" w:after="0"/>
              <w:jc w:val="left"/>
              <w:rPr/>
            </w:pPr>
            <w:hyperlink w:anchor="i8e46ffef7ba64d5685b12ae81aaaa434_25">
              <w:r>
                <w:rPr>
                  <w:rStyle w:val="InternetLink"/>
                  <w:rFonts w:ascii="Arial;sans-serif" w:hAnsi="Arial;sans-serif"/>
                  <w:b w:val="false"/>
                  <w:i w:val="false"/>
                  <w:caps w:val="false"/>
                  <w:smallCaps w:val="false"/>
                  <w:color w:val="FFFFFF"/>
                  <w:sz w:val="18"/>
                  <w:u w:val="single"/>
                </w:rPr>
                <w:t>Directors</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25">
              <w:r>
                <w:rPr>
                  <w:rStyle w:val="InternetLink"/>
                  <w:rFonts w:ascii="Arial;sans-serif" w:hAnsi="Arial;sans-serif"/>
                  <w:b w:val="false"/>
                  <w:i w:val="false"/>
                  <w:caps w:val="false"/>
                  <w:smallCaps w:val="false"/>
                  <w:color w:val="FFFFFF"/>
                  <w:sz w:val="18"/>
                  <w:u w:val="single"/>
                </w:rPr>
                <w:t>23</w:t>
              </w:r>
            </w:hyperlink>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28">
              <w:r>
                <w:rPr>
                  <w:rStyle w:val="InternetLink"/>
                  <w:rFonts w:ascii="Arial;sans-serif" w:hAnsi="Arial;sans-serif"/>
                  <w:b w:val="false"/>
                  <w:i w:val="false"/>
                  <w:caps w:val="false"/>
                  <w:smallCaps w:val="false"/>
                  <w:color w:val="FFFFFF"/>
                  <w:sz w:val="18"/>
                  <w:u w:val="single"/>
                </w:rPr>
                <w:t xml:space="preserve">Proposal No. 2: Ratification of the Selection of the </w:t>
              </w:r>
            </w:hyperlink>
          </w:p>
          <w:p>
            <w:pPr>
              <w:pStyle w:val="TableContents"/>
              <w:bidi w:val="0"/>
              <w:spacing w:lineRule="atLeast" w:line="180" w:before="0" w:after="0"/>
              <w:jc w:val="left"/>
              <w:rPr/>
            </w:pPr>
            <w:hyperlink w:anchor="i8e46ffef7ba64d5685b12ae81aaaa434_28">
              <w:r>
                <w:rPr>
                  <w:rStyle w:val="InternetLink"/>
                  <w:rFonts w:ascii="Arial;sans-serif" w:hAnsi="Arial;sans-serif"/>
                  <w:b w:val="false"/>
                  <w:i w:val="false"/>
                  <w:caps w:val="false"/>
                  <w:smallCaps w:val="false"/>
                  <w:color w:val="FFFFFF"/>
                  <w:sz w:val="18"/>
                  <w:u w:val="single"/>
                </w:rPr>
                <w:t>Independent Registered Public Accounting Firm</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28">
              <w:r>
                <w:rPr>
                  <w:rStyle w:val="InternetLink"/>
                  <w:rFonts w:ascii="Arial;sans-serif" w:hAnsi="Arial;sans-serif"/>
                  <w:b w:val="false"/>
                  <w:i w:val="false"/>
                  <w:caps w:val="false"/>
                  <w:smallCaps w:val="false"/>
                  <w:color w:val="FFFFFF"/>
                  <w:sz w:val="18"/>
                  <w:u w:val="single"/>
                </w:rPr>
                <w:t>24</w:t>
              </w:r>
            </w:hyperlink>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31">
              <w:r>
                <w:rPr>
                  <w:rStyle w:val="InternetLink"/>
                  <w:rFonts w:ascii="Arial;sans-serif" w:hAnsi="Arial;sans-serif"/>
                  <w:b w:val="false"/>
                  <w:i w:val="false"/>
                  <w:caps w:val="false"/>
                  <w:smallCaps w:val="false"/>
                  <w:color w:val="FFFFFF"/>
                  <w:sz w:val="18"/>
                  <w:u w:val="single"/>
                </w:rPr>
                <w:t xml:space="preserve">Proposal No. 3: Approval, on an Advisory Basis, of </w:t>
              </w:r>
            </w:hyperlink>
          </w:p>
          <w:p>
            <w:pPr>
              <w:pStyle w:val="TableContents"/>
              <w:bidi w:val="0"/>
              <w:spacing w:lineRule="atLeast" w:line="180" w:before="0" w:after="0"/>
              <w:jc w:val="left"/>
              <w:rPr/>
            </w:pPr>
            <w:hyperlink w:anchor="i8e46ffef7ba64d5685b12ae81aaaa434_31">
              <w:r>
                <w:rPr>
                  <w:rStyle w:val="InternetLink"/>
                  <w:rFonts w:ascii="Arial;sans-serif" w:hAnsi="Arial;sans-serif"/>
                  <w:b w:val="false"/>
                  <w:i w:val="false"/>
                  <w:caps w:val="false"/>
                  <w:smallCaps w:val="false"/>
                  <w:color w:val="FFFFFF"/>
                  <w:sz w:val="18"/>
                  <w:u w:val="single"/>
                </w:rPr>
                <w:t xml:space="preserve">the Compensation of Our Named Executive </w:t>
              </w:r>
            </w:hyperlink>
          </w:p>
          <w:p>
            <w:pPr>
              <w:pStyle w:val="TableContents"/>
              <w:bidi w:val="0"/>
              <w:spacing w:lineRule="atLeast" w:line="180" w:before="0" w:after="0"/>
              <w:jc w:val="left"/>
              <w:rPr/>
            </w:pPr>
            <w:hyperlink w:anchor="i8e46ffef7ba64d5685b12ae81aaaa434_31">
              <w:r>
                <w:rPr>
                  <w:rStyle w:val="InternetLink"/>
                  <w:rFonts w:ascii="Arial;sans-serif" w:hAnsi="Arial;sans-serif"/>
                  <w:b w:val="false"/>
                  <w:i w:val="false"/>
                  <w:caps w:val="false"/>
                  <w:smallCaps w:val="false"/>
                  <w:color w:val="FFFFFF"/>
                  <w:sz w:val="18"/>
                  <w:u w:val="single"/>
                </w:rPr>
                <w:t>Officers</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31">
              <w:r>
                <w:rPr>
                  <w:rStyle w:val="InternetLink"/>
                  <w:rFonts w:ascii="Arial;sans-serif" w:hAnsi="Arial;sans-serif"/>
                  <w:b w:val="false"/>
                  <w:i w:val="false"/>
                  <w:caps w:val="false"/>
                  <w:smallCaps w:val="false"/>
                  <w:color w:val="FFFFFF"/>
                  <w:sz w:val="18"/>
                  <w:u w:val="single"/>
                </w:rPr>
                <w:t>26</w:t>
              </w:r>
            </w:hyperlink>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34">
              <w:r>
                <w:rPr>
                  <w:rStyle w:val="InternetLink"/>
                  <w:rFonts w:ascii="Arial;sans-serif" w:hAnsi="Arial;sans-serif"/>
                  <w:b w:val="false"/>
                  <w:i w:val="false"/>
                  <w:caps w:val="false"/>
                  <w:smallCaps w:val="false"/>
                  <w:color w:val="FFFFFF"/>
                  <w:sz w:val="18"/>
                  <w:u w:val="single"/>
                </w:rPr>
                <w:t xml:space="preserve">Proposal No. 4: Approval of the Amendment and </w:t>
              </w:r>
            </w:hyperlink>
          </w:p>
          <w:p>
            <w:pPr>
              <w:pStyle w:val="TableContents"/>
              <w:bidi w:val="0"/>
              <w:spacing w:lineRule="atLeast" w:line="180" w:before="0" w:after="0"/>
              <w:jc w:val="left"/>
              <w:rPr/>
            </w:pPr>
            <w:hyperlink w:anchor="i8e46ffef7ba64d5685b12ae81aaaa434_34">
              <w:r>
                <w:rPr>
                  <w:rStyle w:val="InternetLink"/>
                  <w:rFonts w:ascii="Arial;sans-serif" w:hAnsi="Arial;sans-serif"/>
                  <w:b w:val="false"/>
                  <w:i w:val="false"/>
                  <w:caps w:val="false"/>
                  <w:smallCaps w:val="false"/>
                  <w:color w:val="FFFFFF"/>
                  <w:sz w:val="18"/>
                  <w:u w:val="single"/>
                </w:rPr>
                <w:t xml:space="preserve">Restatement of the Lucid Group, Inc. Amended </w:t>
              </w:r>
            </w:hyperlink>
          </w:p>
          <w:p>
            <w:pPr>
              <w:pStyle w:val="TableContents"/>
              <w:bidi w:val="0"/>
              <w:spacing w:lineRule="atLeast" w:line="180" w:before="0" w:after="0"/>
              <w:jc w:val="left"/>
              <w:rPr/>
            </w:pPr>
            <w:hyperlink w:anchor="i8e46ffef7ba64d5685b12ae81aaaa434_34">
              <w:r>
                <w:rPr>
                  <w:rStyle w:val="InternetLink"/>
                  <w:rFonts w:ascii="Arial;sans-serif" w:hAnsi="Arial;sans-serif"/>
                  <w:b w:val="false"/>
                  <w:i w:val="false"/>
                  <w:caps w:val="false"/>
                  <w:smallCaps w:val="false"/>
                  <w:color w:val="FFFFFF"/>
                  <w:sz w:val="18"/>
                  <w:u w:val="single"/>
                </w:rPr>
                <w:t>and Restated 2021 Stock Incentive Plan</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34">
              <w:r>
                <w:rPr>
                  <w:rStyle w:val="InternetLink"/>
                  <w:rFonts w:ascii="Arial;sans-serif" w:hAnsi="Arial;sans-serif"/>
                  <w:b w:val="false"/>
                  <w:i w:val="false"/>
                  <w:caps w:val="false"/>
                  <w:smallCaps w:val="false"/>
                  <w:color w:val="FFFFFF"/>
                  <w:sz w:val="18"/>
                  <w:u w:val="single"/>
                </w:rPr>
                <w:t>28</w:t>
              </w:r>
            </w:hyperlink>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37">
              <w:r>
                <w:rPr>
                  <w:rStyle w:val="InternetLink"/>
                  <w:rFonts w:ascii="Arial;sans-serif" w:hAnsi="Arial;sans-serif"/>
                  <w:b w:val="false"/>
                  <w:i w:val="false"/>
                  <w:caps w:val="false"/>
                  <w:smallCaps w:val="false"/>
                  <w:color w:val="FFFFFF"/>
                  <w:sz w:val="18"/>
                  <w:u w:val="single"/>
                </w:rPr>
                <w:t>Equity Compensation Plan Information</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37">
              <w:r>
                <w:rPr>
                  <w:rStyle w:val="InternetLink"/>
                  <w:rFonts w:ascii="Arial;sans-serif" w:hAnsi="Arial;sans-serif"/>
                  <w:b w:val="false"/>
                  <w:i w:val="false"/>
                  <w:caps w:val="false"/>
                  <w:smallCaps w:val="false"/>
                  <w:color w:val="FFFFFF"/>
                  <w:sz w:val="18"/>
                  <w:u w:val="single"/>
                </w:rPr>
                <w:t>30</w:t>
              </w:r>
            </w:hyperlink>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40">
              <w:r>
                <w:rPr>
                  <w:rStyle w:val="InternetLink"/>
                  <w:rFonts w:ascii="Arial;sans-serif" w:hAnsi="Arial;sans-serif"/>
                  <w:b w:val="false"/>
                  <w:i w:val="false"/>
                  <w:caps w:val="false"/>
                  <w:smallCaps w:val="false"/>
                  <w:color w:val="FFFFFF"/>
                  <w:sz w:val="18"/>
                  <w:u w:val="single"/>
                </w:rPr>
                <w:t>Executive Officers</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40">
              <w:r>
                <w:rPr>
                  <w:rStyle w:val="InternetLink"/>
                  <w:rFonts w:ascii="Arial;sans-serif" w:hAnsi="Arial;sans-serif"/>
                  <w:b w:val="false"/>
                  <w:i w:val="false"/>
                  <w:caps w:val="false"/>
                  <w:smallCaps w:val="false"/>
                  <w:color w:val="FFFFFF"/>
                  <w:sz w:val="18"/>
                  <w:u w:val="single"/>
                </w:rPr>
                <w:t>39</w:t>
              </w:r>
            </w:hyperlink>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43">
              <w:r>
                <w:rPr>
                  <w:rStyle w:val="InternetLink"/>
                  <w:rFonts w:ascii="Arial;sans-serif" w:hAnsi="Arial;sans-serif"/>
                  <w:b w:val="false"/>
                  <w:i w:val="false"/>
                  <w:caps w:val="false"/>
                  <w:smallCaps w:val="false"/>
                  <w:color w:val="FFFFFF"/>
                  <w:sz w:val="18"/>
                  <w:u w:val="single"/>
                </w:rPr>
                <w:t>Compensation Discussion and Analysis</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43">
              <w:r>
                <w:rPr>
                  <w:rStyle w:val="InternetLink"/>
                  <w:rFonts w:ascii="Arial;sans-serif" w:hAnsi="Arial;sans-serif"/>
                  <w:b w:val="false"/>
                  <w:i w:val="false"/>
                  <w:caps w:val="false"/>
                  <w:smallCaps w:val="false"/>
                  <w:color w:val="FFFFFF"/>
                  <w:sz w:val="18"/>
                  <w:u w:val="single"/>
                </w:rPr>
                <w:t>42</w:t>
              </w:r>
            </w:hyperlink>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46">
              <w:r>
                <w:rPr>
                  <w:rStyle w:val="InternetLink"/>
                  <w:rFonts w:ascii="Arial;sans-serif" w:hAnsi="Arial;sans-serif"/>
                  <w:b w:val="false"/>
                  <w:i w:val="false"/>
                  <w:caps w:val="false"/>
                  <w:smallCaps w:val="false"/>
                  <w:color w:val="FFFFFF"/>
                  <w:sz w:val="18"/>
                  <w:u w:val="single"/>
                </w:rPr>
                <w:t xml:space="preserve">Compensation and Human Capital Committee </w:t>
              </w:r>
            </w:hyperlink>
          </w:p>
          <w:p>
            <w:pPr>
              <w:pStyle w:val="TableContents"/>
              <w:bidi w:val="0"/>
              <w:spacing w:lineRule="atLeast" w:line="180" w:before="0" w:after="0"/>
              <w:jc w:val="left"/>
              <w:rPr/>
            </w:pPr>
            <w:hyperlink w:anchor="i8e46ffef7ba64d5685b12ae81aaaa434_46">
              <w:r>
                <w:rPr>
                  <w:rStyle w:val="InternetLink"/>
                  <w:rFonts w:ascii="Arial;sans-serif" w:hAnsi="Arial;sans-serif"/>
                  <w:b w:val="false"/>
                  <w:i w:val="false"/>
                  <w:caps w:val="false"/>
                  <w:smallCaps w:val="false"/>
                  <w:color w:val="FFFFFF"/>
                  <w:sz w:val="18"/>
                  <w:u w:val="single"/>
                </w:rPr>
                <w:t>Report</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46">
              <w:r>
                <w:rPr>
                  <w:rStyle w:val="InternetLink"/>
                  <w:rFonts w:ascii="Arial;sans-serif" w:hAnsi="Arial;sans-serif"/>
                  <w:b w:val="false"/>
                  <w:i w:val="false"/>
                  <w:caps w:val="false"/>
                  <w:smallCaps w:val="false"/>
                  <w:color w:val="FFFFFF"/>
                  <w:sz w:val="18"/>
                  <w:u w:val="single"/>
                </w:rPr>
                <w:t>62</w:t>
              </w:r>
            </w:hyperlink>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423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49">
              <w:r>
                <w:rPr>
                  <w:rStyle w:val="InternetLink"/>
                  <w:rFonts w:ascii="Arial;sans-serif" w:hAnsi="Arial;sans-serif"/>
                  <w:b w:val="false"/>
                  <w:i w:val="false"/>
                  <w:caps w:val="false"/>
                  <w:smallCaps w:val="false"/>
                  <w:color w:val="FFFFFF"/>
                  <w:sz w:val="18"/>
                  <w:u w:val="single"/>
                </w:rPr>
                <w:t>2025 Summary Compensation Table</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49">
              <w:r>
                <w:rPr>
                  <w:rStyle w:val="InternetLink"/>
                  <w:rFonts w:ascii="Arial;sans-serif" w:hAnsi="Arial;sans-serif"/>
                  <w:b w:val="false"/>
                  <w:i w:val="false"/>
                  <w:caps w:val="false"/>
                  <w:smallCaps w:val="false"/>
                  <w:color w:val="FFFFFF"/>
                  <w:sz w:val="18"/>
                  <w:u w:val="single"/>
                </w:rPr>
                <w:t>63</w:t>
              </w:r>
            </w:hyperlink>
          </w:p>
        </w:tc>
      </w:tr>
    </w:tbl>
    <w:tbl>
      <w:tblPr>
        <w:tblW w:w="5012" w:type="dxa"/>
        <w:jc w:val="left"/>
        <w:tblInd w:w="0" w:type="dxa"/>
        <w:tblLayout w:type="fixed"/>
        <w:tblCellMar>
          <w:top w:w="28" w:type="dxa"/>
          <w:left w:w="28" w:type="dxa"/>
          <w:bottom w:w="28" w:type="dxa"/>
          <w:right w:w="28" w:type="dxa"/>
        </w:tblCellMar>
      </w:tblPr>
      <w:tblGrid>
        <w:gridCol w:w="4501"/>
        <w:gridCol w:w="511"/>
      </w:tblGrid>
      <w:tr>
        <w:trPr/>
        <w:tc>
          <w:tcPr>
            <w:tcW w:w="450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FFFFF"/>
                <w:sz w:val="14"/>
                <w:u w:val="none"/>
                <w:effect w:val="none"/>
              </w:rPr>
            </w:pPr>
            <w:r>
              <w:rPr>
                <w:rFonts w:ascii="Arial;sans-serif" w:hAnsi="Arial;sans-serif"/>
                <w:b/>
                <w:i w:val="false"/>
                <w:caps w:val="false"/>
                <w:smallCaps w:val="false"/>
                <w:strike w:val="false"/>
                <w:dstrike w:val="false"/>
                <w:color w:val="FFFFFF"/>
                <w:sz w:val="14"/>
                <w:u w:val="none"/>
                <w:effect w:val="none"/>
              </w:rPr>
              <w:t xml:space="preserve">Page </w:t>
            </w:r>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52">
              <w:r>
                <w:rPr>
                  <w:rStyle w:val="InternetLink"/>
                  <w:rFonts w:ascii="Arial;sans-serif" w:hAnsi="Arial;sans-serif"/>
                  <w:b w:val="false"/>
                  <w:i w:val="false"/>
                  <w:caps w:val="false"/>
                  <w:smallCaps w:val="false"/>
                  <w:color w:val="FFFFFF"/>
                  <w:sz w:val="18"/>
                  <w:u w:val="single"/>
                </w:rPr>
                <w:t>Grants of Plan-Based Awards</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52">
              <w:r>
                <w:rPr>
                  <w:rStyle w:val="InternetLink"/>
                  <w:rFonts w:ascii="Arial;sans-serif" w:hAnsi="Arial;sans-serif"/>
                  <w:b w:val="false"/>
                  <w:i w:val="false"/>
                  <w:caps w:val="false"/>
                  <w:smallCaps w:val="false"/>
                  <w:color w:val="FFFFFF"/>
                  <w:sz w:val="18"/>
                  <w:u w:val="single"/>
                </w:rPr>
                <w:t>65</w:t>
              </w:r>
            </w:hyperlink>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55">
              <w:r>
                <w:rPr>
                  <w:rStyle w:val="InternetLink"/>
                  <w:rFonts w:ascii="Arial;sans-serif" w:hAnsi="Arial;sans-serif"/>
                  <w:b w:val="false"/>
                  <w:i w:val="false"/>
                  <w:caps w:val="false"/>
                  <w:smallCaps w:val="false"/>
                  <w:color w:val="FFFFFF"/>
                  <w:sz w:val="18"/>
                  <w:u w:val="single"/>
                </w:rPr>
                <w:t>Outstanding Equity Awards at Fiscal Year-End</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55">
              <w:r>
                <w:rPr>
                  <w:rStyle w:val="InternetLink"/>
                  <w:rFonts w:ascii="Arial;sans-serif" w:hAnsi="Arial;sans-serif"/>
                  <w:b w:val="false"/>
                  <w:i w:val="false"/>
                  <w:caps w:val="false"/>
                  <w:smallCaps w:val="false"/>
                  <w:color w:val="FFFFFF"/>
                  <w:sz w:val="18"/>
                  <w:u w:val="single"/>
                </w:rPr>
                <w:t>67</w:t>
              </w:r>
            </w:hyperlink>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58">
              <w:r>
                <w:rPr>
                  <w:rStyle w:val="InternetLink"/>
                  <w:rFonts w:ascii="Arial;sans-serif" w:hAnsi="Arial;sans-serif"/>
                  <w:b w:val="false"/>
                  <w:i w:val="false"/>
                  <w:caps w:val="false"/>
                  <w:smallCaps w:val="false"/>
                  <w:color w:val="FFFFFF"/>
                  <w:sz w:val="18"/>
                  <w:u w:val="single"/>
                </w:rPr>
                <w:t>Option Exercises and Stock Vested</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58">
              <w:r>
                <w:rPr>
                  <w:rStyle w:val="InternetLink"/>
                  <w:rFonts w:ascii="Arial;sans-serif" w:hAnsi="Arial;sans-serif"/>
                  <w:b w:val="false"/>
                  <w:i w:val="false"/>
                  <w:caps w:val="false"/>
                  <w:smallCaps w:val="false"/>
                  <w:color w:val="FFFFFF"/>
                  <w:sz w:val="18"/>
                  <w:u w:val="single"/>
                </w:rPr>
                <w:t>69</w:t>
              </w:r>
            </w:hyperlink>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61">
              <w:r>
                <w:rPr>
                  <w:rStyle w:val="InternetLink"/>
                  <w:rFonts w:ascii="Arial;sans-serif" w:hAnsi="Arial;sans-serif"/>
                  <w:b w:val="false"/>
                  <w:i w:val="false"/>
                  <w:caps w:val="false"/>
                  <w:smallCaps w:val="false"/>
                  <w:color w:val="FFFFFF"/>
                  <w:sz w:val="18"/>
                  <w:u w:val="single"/>
                </w:rPr>
                <w:t xml:space="preserve">Potential Payments Upon Termination or Change in </w:t>
              </w:r>
            </w:hyperlink>
          </w:p>
          <w:p>
            <w:pPr>
              <w:pStyle w:val="TableContents"/>
              <w:bidi w:val="0"/>
              <w:spacing w:lineRule="atLeast" w:line="180" w:before="0" w:after="0"/>
              <w:jc w:val="left"/>
              <w:rPr/>
            </w:pPr>
            <w:hyperlink w:anchor="i8e46ffef7ba64d5685b12ae81aaaa434_61">
              <w:r>
                <w:rPr>
                  <w:rStyle w:val="InternetLink"/>
                  <w:rFonts w:ascii="Arial;sans-serif" w:hAnsi="Arial;sans-serif"/>
                  <w:b w:val="false"/>
                  <w:i w:val="false"/>
                  <w:caps w:val="false"/>
                  <w:smallCaps w:val="false"/>
                  <w:color w:val="FFFFFF"/>
                  <w:sz w:val="18"/>
                  <w:u w:val="single"/>
                </w:rPr>
                <w:t>Control</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61">
              <w:r>
                <w:rPr>
                  <w:rStyle w:val="InternetLink"/>
                  <w:rFonts w:ascii="Arial;sans-serif" w:hAnsi="Arial;sans-serif"/>
                  <w:b w:val="false"/>
                  <w:i w:val="false"/>
                  <w:caps w:val="false"/>
                  <w:smallCaps w:val="false"/>
                  <w:color w:val="FFFFFF"/>
                  <w:sz w:val="18"/>
                  <w:u w:val="single"/>
                </w:rPr>
                <w:t>70</w:t>
              </w:r>
            </w:hyperlink>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64">
              <w:r>
                <w:rPr>
                  <w:rStyle w:val="InternetLink"/>
                  <w:rFonts w:ascii="Arial;sans-serif" w:hAnsi="Arial;sans-serif"/>
                  <w:b w:val="false"/>
                  <w:i w:val="false"/>
                  <w:caps w:val="false"/>
                  <w:smallCaps w:val="false"/>
                  <w:color w:val="FFFFFF"/>
                  <w:sz w:val="18"/>
                  <w:u w:val="single"/>
                </w:rPr>
                <w:t>Director Compensation</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64">
              <w:r>
                <w:rPr>
                  <w:rStyle w:val="InternetLink"/>
                  <w:rFonts w:ascii="Arial;sans-serif" w:hAnsi="Arial;sans-serif"/>
                  <w:b w:val="false"/>
                  <w:i w:val="false"/>
                  <w:caps w:val="false"/>
                  <w:smallCaps w:val="false"/>
                  <w:color w:val="FFFFFF"/>
                  <w:sz w:val="18"/>
                  <w:u w:val="single"/>
                </w:rPr>
                <w:t>72</w:t>
              </w:r>
            </w:hyperlink>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67">
              <w:r>
                <w:rPr>
                  <w:rStyle w:val="InternetLink"/>
                  <w:rFonts w:ascii="Arial;sans-serif" w:hAnsi="Arial;sans-serif"/>
                  <w:b w:val="false"/>
                  <w:i w:val="false"/>
                  <w:caps w:val="false"/>
                  <w:smallCaps w:val="false"/>
                  <w:color w:val="FFFFFF"/>
                  <w:sz w:val="18"/>
                  <w:u w:val="single"/>
                </w:rPr>
                <w:t>CEO Pay Ratio</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67">
              <w:r>
                <w:rPr>
                  <w:rStyle w:val="InternetLink"/>
                  <w:rFonts w:ascii="Arial;sans-serif" w:hAnsi="Arial;sans-serif"/>
                  <w:b w:val="false"/>
                  <w:i w:val="false"/>
                  <w:caps w:val="false"/>
                  <w:smallCaps w:val="false"/>
                  <w:color w:val="FFFFFF"/>
                  <w:sz w:val="18"/>
                  <w:u w:val="single"/>
                </w:rPr>
                <w:t>74</w:t>
              </w:r>
            </w:hyperlink>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70">
              <w:r>
                <w:rPr>
                  <w:rStyle w:val="InternetLink"/>
                  <w:rFonts w:ascii="Arial;sans-serif" w:hAnsi="Arial;sans-serif"/>
                  <w:b w:val="false"/>
                  <w:i w:val="false"/>
                  <w:caps w:val="false"/>
                  <w:smallCaps w:val="false"/>
                  <w:color w:val="FFFFFF"/>
                  <w:sz w:val="18"/>
                  <w:u w:val="single"/>
                </w:rPr>
                <w:t>Pay Versus Performance</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70">
              <w:r>
                <w:rPr>
                  <w:rStyle w:val="InternetLink"/>
                  <w:rFonts w:ascii="Arial;sans-serif" w:hAnsi="Arial;sans-serif"/>
                  <w:b w:val="false"/>
                  <w:i w:val="false"/>
                  <w:caps w:val="false"/>
                  <w:smallCaps w:val="false"/>
                  <w:color w:val="FFFFFF"/>
                  <w:sz w:val="18"/>
                  <w:u w:val="single"/>
                </w:rPr>
                <w:t>75</w:t>
              </w:r>
            </w:hyperlink>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73">
              <w:r>
                <w:rPr>
                  <w:rStyle w:val="InternetLink"/>
                  <w:rFonts w:ascii="Arial;sans-serif" w:hAnsi="Arial;sans-serif"/>
                  <w:b w:val="false"/>
                  <w:i w:val="false"/>
                  <w:caps w:val="false"/>
                  <w:smallCaps w:val="false"/>
                  <w:color w:val="FFFFFF"/>
                  <w:sz w:val="18"/>
                  <w:u w:val="single"/>
                </w:rPr>
                <w:t xml:space="preserve">Security Ownership of Certain Beneficial Owners and </w:t>
              </w:r>
            </w:hyperlink>
          </w:p>
          <w:p>
            <w:pPr>
              <w:pStyle w:val="TableContents"/>
              <w:bidi w:val="0"/>
              <w:spacing w:lineRule="atLeast" w:line="180" w:before="0" w:after="0"/>
              <w:jc w:val="left"/>
              <w:rPr/>
            </w:pPr>
            <w:hyperlink w:anchor="i8e46ffef7ba64d5685b12ae81aaaa434_73">
              <w:r>
                <w:rPr>
                  <w:rStyle w:val="InternetLink"/>
                  <w:rFonts w:ascii="Arial;sans-serif" w:hAnsi="Arial;sans-serif"/>
                  <w:b w:val="false"/>
                  <w:i w:val="false"/>
                  <w:caps w:val="false"/>
                  <w:smallCaps w:val="false"/>
                  <w:color w:val="FFFFFF"/>
                  <w:sz w:val="18"/>
                  <w:u w:val="single"/>
                </w:rPr>
                <w:t>Management</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73">
              <w:r>
                <w:rPr>
                  <w:rStyle w:val="InternetLink"/>
                  <w:rFonts w:ascii="Arial;sans-serif" w:hAnsi="Arial;sans-serif"/>
                  <w:b w:val="false"/>
                  <w:i w:val="false"/>
                  <w:caps w:val="false"/>
                  <w:smallCaps w:val="false"/>
                  <w:color w:val="FFFFFF"/>
                  <w:sz w:val="18"/>
                  <w:u w:val="single"/>
                </w:rPr>
                <w:t>79</w:t>
              </w:r>
            </w:hyperlink>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76">
              <w:r>
                <w:rPr>
                  <w:rStyle w:val="InternetLink"/>
                  <w:rFonts w:ascii="Arial;sans-serif" w:hAnsi="Arial;sans-serif"/>
                  <w:b w:val="false"/>
                  <w:i w:val="false"/>
                  <w:caps w:val="false"/>
                  <w:smallCaps w:val="false"/>
                  <w:color w:val="FFFFFF"/>
                  <w:sz w:val="18"/>
                  <w:u w:val="single"/>
                </w:rPr>
                <w:t>Certain Relationships and Related Party Transactions</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76">
              <w:r>
                <w:rPr>
                  <w:rStyle w:val="InternetLink"/>
                  <w:rFonts w:ascii="Arial;sans-serif" w:hAnsi="Arial;sans-serif"/>
                  <w:b w:val="false"/>
                  <w:i w:val="false"/>
                  <w:caps w:val="false"/>
                  <w:smallCaps w:val="false"/>
                  <w:color w:val="FFFFFF"/>
                  <w:sz w:val="18"/>
                  <w:u w:val="single"/>
                </w:rPr>
                <w:t>82</w:t>
              </w:r>
            </w:hyperlink>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79">
              <w:r>
                <w:rPr>
                  <w:rStyle w:val="InternetLink"/>
                  <w:rFonts w:ascii="Arial;sans-serif" w:hAnsi="Arial;sans-serif"/>
                  <w:b w:val="false"/>
                  <w:i w:val="false"/>
                  <w:caps w:val="false"/>
                  <w:smallCaps w:val="false"/>
                  <w:color w:val="FFFFFF"/>
                  <w:sz w:val="18"/>
                  <w:u w:val="single"/>
                </w:rPr>
                <w:t xml:space="preserve">Householding of Proxy Materials; Availability of </w:t>
              </w:r>
            </w:hyperlink>
          </w:p>
          <w:p>
            <w:pPr>
              <w:pStyle w:val="TableContents"/>
              <w:bidi w:val="0"/>
              <w:spacing w:lineRule="atLeast" w:line="180" w:before="0" w:after="0"/>
              <w:jc w:val="left"/>
              <w:rPr/>
            </w:pPr>
            <w:hyperlink w:anchor="i8e46ffef7ba64d5685b12ae81aaaa434_79">
              <w:r>
                <w:rPr>
                  <w:rStyle w:val="InternetLink"/>
                  <w:rFonts w:ascii="Arial;sans-serif" w:hAnsi="Arial;sans-serif"/>
                  <w:b w:val="false"/>
                  <w:i w:val="false"/>
                  <w:caps w:val="false"/>
                  <w:smallCaps w:val="false"/>
                  <w:color w:val="FFFFFF"/>
                  <w:sz w:val="18"/>
                  <w:u w:val="single"/>
                </w:rPr>
                <w:t>Annual Report</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79">
              <w:r>
                <w:rPr>
                  <w:rStyle w:val="InternetLink"/>
                  <w:rFonts w:ascii="Arial;sans-serif" w:hAnsi="Arial;sans-serif"/>
                  <w:b w:val="false"/>
                  <w:i w:val="false"/>
                  <w:caps w:val="false"/>
                  <w:smallCaps w:val="false"/>
                  <w:color w:val="FFFFFF"/>
                  <w:sz w:val="18"/>
                  <w:u w:val="single"/>
                </w:rPr>
                <w:t>87</w:t>
              </w:r>
            </w:hyperlink>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82">
              <w:r>
                <w:rPr>
                  <w:rStyle w:val="InternetLink"/>
                  <w:rFonts w:ascii="Arial;sans-serif" w:hAnsi="Arial;sans-serif"/>
                  <w:b w:val="false"/>
                  <w:i w:val="false"/>
                  <w:caps w:val="false"/>
                  <w:smallCaps w:val="false"/>
                  <w:color w:val="FFFFFF"/>
                  <w:sz w:val="18"/>
                  <w:u w:val="single"/>
                </w:rPr>
                <w:t>Other Matters</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82">
              <w:r>
                <w:rPr>
                  <w:rStyle w:val="InternetLink"/>
                  <w:rFonts w:ascii="Arial;sans-serif" w:hAnsi="Arial;sans-serif"/>
                  <w:b w:val="false"/>
                  <w:i w:val="false"/>
                  <w:caps w:val="false"/>
                  <w:smallCaps w:val="false"/>
                  <w:color w:val="FFFFFF"/>
                  <w:sz w:val="18"/>
                  <w:u w:val="single"/>
                </w:rPr>
                <w:t>87</w:t>
              </w:r>
            </w:hyperlink>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85">
              <w:r>
                <w:rPr>
                  <w:rStyle w:val="InternetLink"/>
                  <w:rFonts w:ascii="Arial;sans-serif" w:hAnsi="Arial;sans-serif"/>
                  <w:b w:val="false"/>
                  <w:i w:val="false"/>
                  <w:caps w:val="false"/>
                  <w:smallCaps w:val="false"/>
                  <w:color w:val="FFFFFF"/>
                  <w:sz w:val="18"/>
                  <w:u w:val="single"/>
                </w:rPr>
                <w:t xml:space="preserve">Annex A — Lucid Group, Inc. Amended and Restated </w:t>
              </w:r>
            </w:hyperlink>
          </w:p>
          <w:p>
            <w:pPr>
              <w:pStyle w:val="TableContents"/>
              <w:bidi w:val="0"/>
              <w:spacing w:lineRule="atLeast" w:line="180" w:before="0" w:after="0"/>
              <w:jc w:val="left"/>
              <w:rPr/>
            </w:pPr>
            <w:hyperlink w:anchor="i8e46ffef7ba64d5685b12ae81aaaa434_85">
              <w:r>
                <w:rPr>
                  <w:rStyle w:val="InternetLink"/>
                  <w:rFonts w:ascii="Arial;sans-serif" w:hAnsi="Arial;sans-serif"/>
                  <w:b w:val="false"/>
                  <w:i w:val="false"/>
                  <w:caps w:val="false"/>
                  <w:smallCaps w:val="false"/>
                  <w:color w:val="FFFFFF"/>
                  <w:sz w:val="18"/>
                  <w:u w:val="single"/>
                </w:rPr>
                <w:t>2021 Stock Incentive Plan</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91">
              <w:r>
                <w:rPr>
                  <w:rStyle w:val="InternetLink"/>
                  <w:rFonts w:ascii="Arial;sans-serif" w:hAnsi="Arial;sans-serif"/>
                  <w:b w:val="false"/>
                  <w:i w:val="false"/>
                  <w:caps w:val="false"/>
                  <w:smallCaps w:val="false"/>
                  <w:color w:val="FFFFFF"/>
                  <w:sz w:val="18"/>
                  <w:u w:val="single"/>
                </w:rPr>
                <w:t>A-1</w:t>
              </w:r>
            </w:hyperlink>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450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517">
              <w:r>
                <w:rPr>
                  <w:rStyle w:val="InternetLink"/>
                  <w:rFonts w:ascii="Arial;sans-serif" w:hAnsi="Arial;sans-serif"/>
                  <w:b w:val="false"/>
                  <w:i w:val="false"/>
                  <w:caps w:val="false"/>
                  <w:smallCaps w:val="false"/>
                  <w:color w:val="FFFFFF"/>
                  <w:sz w:val="18"/>
                  <w:u w:val="single"/>
                </w:rPr>
                <w:t>Annex B — GAAP Reconciliation</w:t>
              </w:r>
            </w:hyperlink>
          </w:p>
        </w:tc>
        <w:tc>
          <w:tcPr>
            <w:tcW w:w="511"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80" w:before="0" w:after="0"/>
              <w:jc w:val="left"/>
              <w:rPr/>
            </w:pPr>
            <w:hyperlink w:anchor="i8e46ffef7ba64d5685b12ae81aaaa434_517">
              <w:r>
                <w:rPr>
                  <w:rStyle w:val="InternetLink"/>
                  <w:rFonts w:ascii="Arial;sans-serif" w:hAnsi="Arial;sans-serif"/>
                  <w:b w:val="false"/>
                  <w:i w:val="false"/>
                  <w:caps w:val="false"/>
                  <w:smallCaps w:val="false"/>
                  <w:color w:val="FFFFFF"/>
                  <w:sz w:val="18"/>
                  <w:u w:val="single"/>
                </w:rPr>
                <w:t>B-1</w:t>
              </w:r>
            </w:hyperlink>
          </w:p>
        </w:tc>
      </w:tr>
    </w:tbl>
    <w:tbl>
      <w:tblPr>
        <w:tblW w:w="1836" w:type="dxa"/>
        <w:jc w:val="left"/>
        <w:tblInd w:w="0" w:type="dxa"/>
        <w:tblLayout w:type="fixed"/>
        <w:tblCellMar>
          <w:top w:w="28" w:type="dxa"/>
          <w:left w:w="28" w:type="dxa"/>
          <w:bottom w:w="28" w:type="dxa"/>
          <w:right w:w="28" w:type="dxa"/>
        </w:tblCellMar>
      </w:tblPr>
      <w:tblGrid>
        <w:gridCol w:w="1501"/>
        <w:gridCol w:w="109"/>
        <w:gridCol w:w="226"/>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1</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Questions and Answers About These Proxy Materials and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Voting</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 xml:space="preserve">WHY DID I RECEIVE A ONE-PAGE NOTICE IN THE MAIL REGARDING THE INTERNET AVAILABILITY OF PROXY MATERIALS </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INSTEAD OF A FULL SET OF PROXY MATERIALS?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Pursuant to the “Notice and Access” rules adopted by the Securities and Exchange Commission (the “SEC”), we have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elected to provide access to our proxy materials over the internet. Accordingly, we are sending an Important Notice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Regarding the Availability of Proxy Materials (the “Proxy Availability Notice”) to our stockholders of record as of April 6, 2026.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All stockholders will have the ability to access the proxy materials on the website referred to in the Proxy Availability Notice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free of charge or request to receive a printed set of the proxy materials for the Annual Meeting. Instructions on how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access the proxy materials over the internet or to request a printed copy may be found in the Proxy Availability Notice. We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encourage stockholders to take advantage of the availability of the proxy materials online to help reduce the environmental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impact of our annual meetings and reduce our printing and mailing costs.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expect that this Proxy Statement and the other proxy materials will be available to stockholders on or about April 23,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2026.</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WHY ARE YOU HAVING A VIRTUAL ANNUAL MEETING?</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believe that a virtual Annual Meeting allows for participation by a broader group of stockholders and reduces the costs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stockholders associated with holding an in-person meeting.</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HOW CAN I ATTEND THE VIRTUAL ANNUAL MEETING?</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Annual Meeting will be held on June 4, 2026 at 9:00 a.m. (Pacific Time) via live webcast.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Only stockholders of record and beneficial owners of shares of our Class A common stock, par value $0.0001 per share (the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Common Stock”), together with stockholders of record and beneficial owners of shares of our Series A convertible preferred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 par value $0.0001 per share (the “Series A Convertible Preferred Stock”), and stockholders of record and beneficial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owners of shares of our Series B convertible preferred stock, par value $0.0001 per share (the “Series B Convertible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Preferred Stock,” and together with the Series A Convertible Preferred Stock, the “Convertible Preferred Stock”) (who vote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an as converted to Common Stock basis), as of the close of business on April 6, 2026, the Record Date, may participate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 the Annual Meeting, including voting and asking questions.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order to attend the Annual Meeting, you must register at www.proxydocs.com/LCID. Upon completing your registration,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you will receive further instructions via email, including a unique link that will allow you access to the Annual Meeting and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vote and submit questions.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part of the registration process, you must enter the control number located on your proxy card, voting instruction form,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Proxy Availability Notice. If you are a beneficial owner of shares registered in the name of a broker, bank or other nominee,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you will also need to provide the registered name on your account and the name of your broker, bank or other nominee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 of the registration process. If you are having trouble registering online, please use the link “Having trouble registering” 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bottom of the registration page to access the FAQ or email DSMsupport@BetaNXT.com.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Whether or not you plan to attend the Annual Meeting, we urge you to vote and submit your proxy in advance of the meeting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by one of the methods described in these proxy materials.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CAN I ASK QUESTIONS AT THE VIRTUAL ANNUAL MEETING?</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Stockholders of record and beneficial owners of our Common Stock or Convertible Preferred Stock as of our Record Date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who attend and participate in our virtual Annual Meeting will have an opportunity to submit questions live via the internet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during a designated portion of the meeting. These stockholders may also submit a question in advance of the Annual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Meeting by registering at www.proxydocs.com/LCID. In both cases, stockholders must have available their control number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provided on their proxy card, voting instruction form, or Proxy Availability Notice.</w:t>
      </w:r>
    </w:p>
    <w:tbl>
      <w:tblPr>
        <w:tblW w:w="1836" w:type="dxa"/>
        <w:jc w:val="left"/>
        <w:tblInd w:w="0" w:type="dxa"/>
        <w:tblLayout w:type="fixed"/>
        <w:tblCellMar>
          <w:top w:w="28" w:type="dxa"/>
          <w:left w:w="28" w:type="dxa"/>
          <w:bottom w:w="28" w:type="dxa"/>
          <w:right w:w="28" w:type="dxa"/>
        </w:tblCellMar>
      </w:tblPr>
      <w:tblGrid>
        <w:gridCol w:w="196"/>
        <w:gridCol w:w="109"/>
        <w:gridCol w:w="1531"/>
      </w:tblGrid>
      <w:tr>
        <w:trPr/>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WHAT DOES IT MEAN IF I RECEIVE MORE THAN ONE PROXY AVAILABILITY NOTICE?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If you receive more than one Proxy Availability Notice, your shares may be registered at the same address but in more than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one name or in different accounts. Please follow the voting instructions on each Proxy Availability Notice to ensure that all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your shares are voted.</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WILL I RECEIVE ANY OTHER PROXY MATERIALS BY MAIL?</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We may send you a proxy card, along with a Proxy Availability Notice, by mail on or after April 23, 2026.</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WHO CAN VOTE AT THE ANNUAL MEETING?</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Only stockholders of record of our Common Stock or Convertible Preferred Stock at the close of business on the Record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Date of April 6, 2026 will be entitled to vote at the Annual Meeting. On the Record Date, there were 330,144,675 shares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Common Stock outstanding and entitled to vote, and 100,000 shares of Series A Convertible Preferred Stock and 75,000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of Series B Convertible Preferred Stock outstanding and entitled to vote, which are convertible, in the aggregate, into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53,132,446 shares of Common Stock. Accordingly, on the Record Date, the stockholders of our Common Stock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Convertible Preferred Stock are entitled to an aggregate of 383,277,121 votes in respect of such shares of Common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Convertible Preferred Stock (on an as converted to Common Stock basis).</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Stockholder of Record: Shares Registered in Your Name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If, on April 6, 2026, your shares were registered directly in your name with our transfer agent, Equiniti Trust Company or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Company’s stock ledger, then you are a stockholder of record. As a stockholder of record of Common Stock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Convertible Preferred Stock, you may vote at the Annual Meeting or vote by proxy.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Whether or not you plan to attend the Annual Meeting, we urge you to vote by proxy over the telephone or on the internet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instructed below (see “How do I vote?”) or complete, date, sign and return the proxy card mailed to you to ensure your vote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is counted.</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Beneficial Owner: Shares Registered in the Name of a Broker, Bank or Other Nominee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If, on April 6, 2026, your shares were held in an account at a brokerage firm, bank, dealer or other similar organization, but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not directly in your name, then you are the beneficial owner of shares held in “street name” and the Proxy Availability Notice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is being forwarded to you by the organization that holds your account. The organization holding your account is considered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be the stockholder of record for purposes of voting at the Annual Meeting. As a beneficial owner, you have the right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direct your broker, bank or other nominee regarding how to vote the shares in your account. You are also invited to attend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Annual Meeting. You may attend and vote at the Annual Meeting by registering as instructed above (see “How can I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attend the virtual Annual Meeting?”).</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WHAT AM I VOTING 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There are four matters scheduled for a vote:</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Election of directors;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Ratification of the selection of KPMG LLP as our independent registered public accounting firm for the fiscal year ending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December 31, 2026;</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Approval, on an advisory basis, of the compensation of our named executive officers; and</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Approval of the amendment and restatement of the Lucid Group, Inc. Amended and Restated 2021 Stock Incentive Plan.</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WHAT IF ANOTHER MATTER IS PROPERLY BROUGHT BEFORE THE ANNUAL MEETING?</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Board of Directors (the “Board” or the “Board of Directors”) knows of no other matters that will be presented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consideration at the Annual Meeting. If any other matters are properly brought before the Annual Meeting, the persons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named in the accompanying proxy will vote the shares for which you grant your proxy on those matters in accordance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their best judgment. </w:t>
      </w:r>
    </w:p>
    <w:tbl>
      <w:tblPr>
        <w:tblW w:w="1836" w:type="dxa"/>
        <w:jc w:val="left"/>
        <w:tblInd w:w="0" w:type="dxa"/>
        <w:tblLayout w:type="fixed"/>
        <w:tblCellMar>
          <w:top w:w="28" w:type="dxa"/>
          <w:left w:w="28" w:type="dxa"/>
          <w:bottom w:w="28" w:type="dxa"/>
          <w:right w:w="28" w:type="dxa"/>
        </w:tblCellMar>
      </w:tblPr>
      <w:tblGrid>
        <w:gridCol w:w="1501"/>
        <w:gridCol w:w="109"/>
        <w:gridCol w:w="226"/>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3</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WHAT IS THE BOARD’S VOTING RECOMMENDATION?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Board recommends that you vote your shares:</w:t>
      </w:r>
    </w:p>
    <w:p>
      <w:pPr>
        <w:pStyle w:val="TextBody"/>
        <w:bidi w:val="0"/>
        <w:spacing w:lineRule="atLeast" w:line="180" w:before="0" w:after="0"/>
        <w:jc w:val="left"/>
        <w:rPr/>
      </w:pPr>
      <w:r>
        <w:rPr>
          <w:caps w:val="false"/>
          <w:smallCaps w:val="false"/>
          <w:strike w:val="false"/>
          <w:dstrike w:val="false"/>
          <w:color w:val="8A6B24"/>
          <w:u w:val="none"/>
          <w:effect w:val="none"/>
        </w:rPr>
        <w:t>■</w:t>
      </w:r>
      <w:r>
        <w:rPr>
          <w:caps w:val="false"/>
          <w:smallCaps w:val="false"/>
          <w:strike w:val="false"/>
          <w:dstrike w:val="false"/>
          <w:u w:val="none"/>
          <w:effect w:val="none"/>
        </w:rPr>
        <w:t>“</w:t>
      </w:r>
      <w:r>
        <w:rPr>
          <w:rFonts w:ascii="Arial;sans-serif" w:hAnsi="Arial;sans-serif"/>
          <w:b/>
          <w:i w:val="false"/>
          <w:caps w:val="false"/>
          <w:smallCaps w:val="false"/>
          <w:strike w:val="false"/>
          <w:dstrike w:val="false"/>
          <w:sz w:val="18"/>
          <w:u w:val="none"/>
          <w:effect w:val="none"/>
        </w:rPr>
        <w:t>For</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the election of each of the nominees for director;</w:t>
      </w:r>
    </w:p>
    <w:p>
      <w:pPr>
        <w:pStyle w:val="TextBody"/>
        <w:bidi w:val="0"/>
        <w:spacing w:lineRule="atLeast" w:line="180" w:before="0" w:after="0"/>
        <w:jc w:val="left"/>
        <w:rPr/>
      </w:pPr>
      <w:r>
        <w:rPr>
          <w:caps w:val="false"/>
          <w:smallCaps w:val="false"/>
          <w:strike w:val="false"/>
          <w:dstrike w:val="false"/>
          <w:color w:val="8A6B24"/>
          <w:u w:val="none"/>
          <w:effect w:val="none"/>
        </w:rPr>
        <w:t>■</w:t>
      </w:r>
      <w:r>
        <w:rPr>
          <w:caps w:val="false"/>
          <w:smallCaps w:val="false"/>
          <w:strike w:val="false"/>
          <w:dstrike w:val="false"/>
          <w:u w:val="none"/>
          <w:effect w:val="none"/>
        </w:rPr>
        <w:t>“</w:t>
      </w:r>
      <w:r>
        <w:rPr>
          <w:rFonts w:ascii="Arial;sans-serif" w:hAnsi="Arial;sans-serif"/>
          <w:b/>
          <w:i w:val="false"/>
          <w:caps w:val="false"/>
          <w:smallCaps w:val="false"/>
          <w:strike w:val="false"/>
          <w:dstrike w:val="false"/>
          <w:sz w:val="18"/>
          <w:u w:val="none"/>
          <w:effect w:val="none"/>
        </w:rPr>
        <w:t>For</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the ratification of KPMG LLP as our independent registered public accounting firm for the fiscal year ending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December 31, 2026;</w:t>
      </w:r>
    </w:p>
    <w:p>
      <w:pPr>
        <w:pStyle w:val="TextBody"/>
        <w:bidi w:val="0"/>
        <w:spacing w:lineRule="atLeast" w:line="180" w:before="0" w:after="0"/>
        <w:jc w:val="left"/>
        <w:rPr/>
      </w:pPr>
      <w:r>
        <w:rPr>
          <w:caps w:val="false"/>
          <w:smallCaps w:val="false"/>
          <w:strike w:val="false"/>
          <w:dstrike w:val="false"/>
          <w:color w:val="8A6B24"/>
          <w:u w:val="none"/>
          <w:effect w:val="none"/>
        </w:rPr>
        <w:t>■</w:t>
      </w:r>
      <w:r>
        <w:rPr>
          <w:caps w:val="false"/>
          <w:smallCaps w:val="false"/>
          <w:strike w:val="false"/>
          <w:dstrike w:val="false"/>
          <w:u w:val="none"/>
          <w:effect w:val="none"/>
        </w:rPr>
        <w:t>“</w:t>
      </w:r>
      <w:r>
        <w:rPr>
          <w:rFonts w:ascii="Arial;sans-serif" w:hAnsi="Arial;sans-serif"/>
          <w:b/>
          <w:i w:val="false"/>
          <w:caps w:val="false"/>
          <w:smallCaps w:val="false"/>
          <w:strike w:val="false"/>
          <w:dstrike w:val="false"/>
          <w:sz w:val="18"/>
          <w:u w:val="none"/>
          <w:effect w:val="none"/>
        </w:rPr>
        <w:t>For</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the approval, on an advisory basis, of the compensation of our named executive officers; and</w:t>
      </w:r>
    </w:p>
    <w:p>
      <w:pPr>
        <w:pStyle w:val="TextBody"/>
        <w:bidi w:val="0"/>
        <w:spacing w:lineRule="atLeast" w:line="180" w:before="0" w:after="0"/>
        <w:jc w:val="left"/>
        <w:rPr/>
      </w:pPr>
      <w:r>
        <w:rPr>
          <w:caps w:val="false"/>
          <w:smallCaps w:val="false"/>
          <w:strike w:val="false"/>
          <w:dstrike w:val="false"/>
          <w:color w:val="8A6B24"/>
          <w:u w:val="none"/>
          <w:effect w:val="none"/>
        </w:rPr>
        <w:t>■</w:t>
      </w:r>
      <w:r>
        <w:rPr>
          <w:caps w:val="false"/>
          <w:smallCaps w:val="false"/>
          <w:strike w:val="false"/>
          <w:dstrike w:val="false"/>
          <w:u w:val="none"/>
          <w:effect w:val="none"/>
        </w:rPr>
        <w:t>“</w:t>
      </w:r>
      <w:r>
        <w:rPr>
          <w:rFonts w:ascii="Arial;sans-serif" w:hAnsi="Arial;sans-serif"/>
          <w:b/>
          <w:i w:val="false"/>
          <w:caps w:val="false"/>
          <w:smallCaps w:val="false"/>
          <w:strike w:val="false"/>
          <w:dstrike w:val="false"/>
          <w:sz w:val="18"/>
          <w:u w:val="none"/>
          <w:effect w:val="none"/>
        </w:rPr>
        <w:t>For</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the approval of the amendment and restatement of the Lucid Group, Inc. Amended and Restated 2021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Incentive Plan.</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HOW DO I VOTE?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Regarding the election of directors, you may either vote “For” the nominees to the Board or you may “Withhold” your vote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any nominee you specify. For any other matters to be voted on, you may vote “For” or “Against,” or abstain from voting.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procedures for voting depend on whether your shares are registered in your name or are held by a bank, broker or other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nominee.</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Stockholder of Record: Shares Registered in Your Name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If you are a stockholder of record, you may vote at the Annual Meeting, or vote in advance of the Annual Meeting by proxy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over the telephone, by proxy through the internet, or by proxy using a proxy card that you may request or that we may elect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deliver at a later time. Whether or not you plan to attend the Annual Meeting, we urge you to vote in advance by proxy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ensure your vote is counted. You may still attend the Annual Meeting and vote even if you have already voted by proxy.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Voting at the Annual Meeting will have the effect of revoking your previously submitted proxy (see “Can I change my vote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after submitting my proxy?” below).</w:t>
      </w:r>
    </w:p>
    <w:tbl>
      <w:tblPr>
        <w:tblW w:w="10205" w:type="dxa"/>
        <w:jc w:val="left"/>
        <w:tblInd w:w="0" w:type="dxa"/>
        <w:tblLayout w:type="fixed"/>
        <w:tblCellMar>
          <w:top w:w="28" w:type="dxa"/>
          <w:left w:w="28" w:type="dxa"/>
          <w:bottom w:w="28" w:type="dxa"/>
          <w:right w:w="28" w:type="dxa"/>
        </w:tblCellMar>
      </w:tblPr>
      <w:tblGrid>
        <w:gridCol w:w="1915"/>
        <w:gridCol w:w="8290"/>
      </w:tblGrid>
      <w:tr>
        <w:trPr/>
        <w:tc>
          <w:tcPr>
            <w:tcW w:w="1915" w:type="dxa"/>
            <w:tcBorders/>
            <w:vAlign w:val="center"/>
          </w:tcPr>
          <w:p>
            <w:pPr>
              <w:pStyle w:val="TableContents"/>
              <w:bidi w:val="0"/>
              <w:spacing w:before="0" w:after="283"/>
              <w:jc w:val="left"/>
              <w:rPr>
                <w:sz w:val="4"/>
                <w:szCs w:val="4"/>
              </w:rPr>
            </w:pPr>
            <w:r>
              <w:rPr>
                <w:sz w:val="4"/>
                <w:szCs w:val="4"/>
              </w:rPr>
            </w:r>
          </w:p>
        </w:tc>
        <w:tc>
          <w:tcPr>
            <w:tcW w:w="8290" w:type="dxa"/>
            <w:tcBorders/>
            <w:vAlign w:val="center"/>
          </w:tcPr>
          <w:p>
            <w:pPr>
              <w:pStyle w:val="TableContents"/>
              <w:bidi w:val="0"/>
              <w:spacing w:before="0" w:after="283"/>
              <w:jc w:val="left"/>
              <w:rPr>
                <w:sz w:val="4"/>
                <w:szCs w:val="4"/>
              </w:rPr>
            </w:pPr>
            <w:r>
              <w:rPr>
                <w:sz w:val="4"/>
                <w:szCs w:val="4"/>
              </w:rPr>
            </w:r>
          </w:p>
        </w:tc>
      </w:tr>
      <w:tr>
        <w:trPr/>
        <w:tc>
          <w:tcPr>
            <w:tcW w:w="1915" w:type="dxa"/>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By Internet</w:t>
            </w:r>
          </w:p>
        </w:tc>
        <w:tc>
          <w:tcPr>
            <w:tcW w:w="8290" w:type="dxa"/>
            <w:tcBorders/>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Go to www.proxypush.com/LCID, which is available 24 hours a day, 7 days a week until 11:59 p.m.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(Eastern Time) on June 3, 2026, and follow the instructions on the proxy card or in the Proxy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Availability Notice. If you vote via the internet, you do not need to return a proxy card by mail. </w:t>
            </w:r>
          </w:p>
        </w:tc>
      </w:tr>
      <w:tr>
        <w:trPr/>
        <w:tc>
          <w:tcPr>
            <w:tcW w:w="1915" w:type="dxa"/>
            <w:tcBorders/>
            <w:vAlign w:val="center"/>
          </w:tcPr>
          <w:p>
            <w:pPr>
              <w:pStyle w:val="TableContents"/>
              <w:bidi w:val="0"/>
              <w:spacing w:before="0" w:after="283"/>
              <w:jc w:val="left"/>
              <w:rPr>
                <w:sz w:val="4"/>
                <w:szCs w:val="4"/>
              </w:rPr>
            </w:pPr>
            <w:r>
              <w:rPr>
                <w:sz w:val="4"/>
                <w:szCs w:val="4"/>
              </w:rPr>
            </w:r>
          </w:p>
        </w:tc>
        <w:tc>
          <w:tcPr>
            <w:tcW w:w="8290" w:type="dxa"/>
            <w:tcBorders/>
            <w:vAlign w:val="center"/>
          </w:tcPr>
          <w:p>
            <w:pPr>
              <w:pStyle w:val="TableContents"/>
              <w:bidi w:val="0"/>
              <w:spacing w:before="0" w:after="283"/>
              <w:jc w:val="left"/>
              <w:rPr>
                <w:sz w:val="4"/>
                <w:szCs w:val="4"/>
              </w:rPr>
            </w:pPr>
            <w:r>
              <w:rPr>
                <w:sz w:val="4"/>
                <w:szCs w:val="4"/>
              </w:rPr>
            </w:r>
          </w:p>
        </w:tc>
      </w:tr>
      <w:tr>
        <w:trPr/>
        <w:tc>
          <w:tcPr>
            <w:tcW w:w="1915" w:type="dxa"/>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By Telephone</w:t>
            </w:r>
          </w:p>
        </w:tc>
        <w:tc>
          <w:tcPr>
            <w:tcW w:w="8290" w:type="dxa"/>
            <w:tcBorders/>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a touch-tone telephone, dial toll-free 1-866-883-3382, which is available 24 hours a day, 7 days a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week until 11:59 p.m. (Eastern Time) on June 3, 2026, and follow the instructions on the proxy card or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the Proxy Availability Notice. If you vote by telephone, you do not need to return a proxy card by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mail. </w:t>
            </w:r>
          </w:p>
        </w:tc>
      </w:tr>
      <w:tr>
        <w:trPr/>
        <w:tc>
          <w:tcPr>
            <w:tcW w:w="1915" w:type="dxa"/>
            <w:tcBorders/>
            <w:vAlign w:val="center"/>
          </w:tcPr>
          <w:p>
            <w:pPr>
              <w:pStyle w:val="TableContents"/>
              <w:bidi w:val="0"/>
              <w:spacing w:before="0" w:after="283"/>
              <w:jc w:val="left"/>
              <w:rPr>
                <w:sz w:val="4"/>
                <w:szCs w:val="4"/>
              </w:rPr>
            </w:pPr>
            <w:r>
              <w:rPr>
                <w:sz w:val="4"/>
                <w:szCs w:val="4"/>
              </w:rPr>
            </w:r>
          </w:p>
        </w:tc>
        <w:tc>
          <w:tcPr>
            <w:tcW w:w="8290" w:type="dxa"/>
            <w:tcBorders/>
            <w:vAlign w:val="center"/>
          </w:tcPr>
          <w:p>
            <w:pPr>
              <w:pStyle w:val="TableContents"/>
              <w:bidi w:val="0"/>
              <w:spacing w:before="0" w:after="283"/>
              <w:jc w:val="left"/>
              <w:rPr>
                <w:sz w:val="4"/>
                <w:szCs w:val="4"/>
              </w:rPr>
            </w:pPr>
            <w:r>
              <w:rPr>
                <w:sz w:val="4"/>
                <w:szCs w:val="4"/>
              </w:rPr>
            </w:r>
          </w:p>
        </w:tc>
      </w:tr>
      <w:tr>
        <w:trPr/>
        <w:tc>
          <w:tcPr>
            <w:tcW w:w="1915" w:type="dxa"/>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By Mail</w:t>
            </w:r>
          </w:p>
        </w:tc>
        <w:tc>
          <w:tcPr>
            <w:tcW w:w="8290" w:type="dxa"/>
            <w:tcBorders/>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Complete, sign, date, and mail your proxy card in the enclosed, postage-prepaid envelope. If mailed, </w:t>
            </w:r>
          </w:p>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your completed and signed proxy card must be received by June 3, 2026. </w:t>
            </w:r>
          </w:p>
        </w:tc>
      </w:tr>
      <w:tr>
        <w:trPr/>
        <w:tc>
          <w:tcPr>
            <w:tcW w:w="1915" w:type="dxa"/>
            <w:tcBorders/>
            <w:vAlign w:val="center"/>
          </w:tcPr>
          <w:p>
            <w:pPr>
              <w:pStyle w:val="TableContents"/>
              <w:bidi w:val="0"/>
              <w:spacing w:before="0" w:after="283"/>
              <w:jc w:val="left"/>
              <w:rPr>
                <w:sz w:val="4"/>
                <w:szCs w:val="4"/>
              </w:rPr>
            </w:pPr>
            <w:r>
              <w:rPr>
                <w:sz w:val="4"/>
                <w:szCs w:val="4"/>
              </w:rPr>
            </w:r>
          </w:p>
        </w:tc>
        <w:tc>
          <w:tcPr>
            <w:tcW w:w="8290" w:type="dxa"/>
            <w:tcBorders/>
            <w:vAlign w:val="center"/>
          </w:tcPr>
          <w:p>
            <w:pPr>
              <w:pStyle w:val="TableContents"/>
              <w:bidi w:val="0"/>
              <w:spacing w:before="0" w:after="283"/>
              <w:jc w:val="left"/>
              <w:rPr>
                <w:sz w:val="4"/>
                <w:szCs w:val="4"/>
              </w:rPr>
            </w:pPr>
            <w:r>
              <w:rPr>
                <w:sz w:val="4"/>
                <w:szCs w:val="4"/>
              </w:rPr>
            </w:r>
          </w:p>
        </w:tc>
      </w:tr>
      <w:tr>
        <w:trPr/>
        <w:tc>
          <w:tcPr>
            <w:tcW w:w="1915" w:type="dxa"/>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At the Virtual Meeting</w:t>
            </w:r>
          </w:p>
        </w:tc>
        <w:tc>
          <w:tcPr>
            <w:tcW w:w="8290" w:type="dxa"/>
            <w:tcBorders/>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You may also vote by attending the meeting virtually through www.proxydocs.com/LCID. To attend the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Annual Meeting and vote your shares, you must register for the Annual Meeting and provide the control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number located on your proxy card, voting instruction form, or Proxy Availability Notice. Even if you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plan to attend and participate in our virtual Annual Meeting, we encourage you to vote over the internet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by telephone as described above, or by returning a proxy card following your request of paper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copies. This will ensure that your vote will be counted if you are unable to, or later decide not to,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participate in the virtual Annual Meeting.</w:t>
            </w:r>
          </w:p>
        </w:tc>
      </w:tr>
    </w:tbl>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Beneficial Owner: Shares Registered in the Name of Broker, Bank or Other Nominee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If you are a beneficial owner of shares registered in the name of your broker, bank or other nominee, you should have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received a Proxy Availability Notice containing voting instructions from that organization rather than from us. Simply follow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voting instructions in the Proxy Availability Notice to ensure that your vote is counted.</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HOW MANY VOTES DO I HAVE?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each matter to be voted upon, stockholders of Common Stock have one vote for each share of Common Stock they own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of April 6, 2026, the Record Date, and stockholders of Convertible Preferred Stock are entitled to the number of votes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equal to the number of whole shares of Common Stock into which the aggregate shares of Convertible Preferred Stock held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by such stockholders are convertible on the Record Date.</w:t>
      </w:r>
    </w:p>
    <w:tbl>
      <w:tblPr>
        <w:tblW w:w="1836" w:type="dxa"/>
        <w:jc w:val="left"/>
        <w:tblInd w:w="0" w:type="dxa"/>
        <w:tblLayout w:type="fixed"/>
        <w:tblCellMar>
          <w:top w:w="28" w:type="dxa"/>
          <w:left w:w="28" w:type="dxa"/>
          <w:bottom w:w="28" w:type="dxa"/>
          <w:right w:w="28" w:type="dxa"/>
        </w:tblCellMar>
      </w:tblPr>
      <w:tblGrid>
        <w:gridCol w:w="196"/>
        <w:gridCol w:w="109"/>
        <w:gridCol w:w="1531"/>
      </w:tblGrid>
      <w:tr>
        <w:trPr/>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4</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Stockholders of Convertible Preferred Stock are entitled to notice of any meeting of stockholders and to vote together as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single class with stockholders of Common Stock, except as otherwise required by law. In addition, for each series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Convertible Preferred Stock, as long as at least 10% of the aggregate number of shares of such series issued on their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respective initial issue date remain outstanding, and subject to certain other conditions, stockholders of such series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Convertible Preferred Stock will be entitled to a separate class vote with respect to, among other things, amendments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Company’s organizational documents that have an adverse effect on such series, authorizations or issuances by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 of capital stock of the Company that ranks senior or equal to such series with respect to dividends or distributions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liquidation or the terms of which provide for cash dividends (other than the Common Stock), winding-up and dissolution,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decreases in the number of authorized shares of such series.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August 29, 2025, the Company effected a reverse stock split of its Common Stock at a ratio of one-for-ten (1:10) and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corresponding reduction of the authorized shares of Common Stock, as approved by the Board and stockholders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"Reverse Stock Split"). The shares of Common Stock began trading on a reverse split-adjusted basis at market open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September 2, 2025. Unless otherwise noted, the share, per share, and related information in this Proxy Statement has been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retrospectively adjusted to reflect the Reverse Stock Split.</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WHAT IF I RETURN A PROXY CARD OR OTHERWISE VOTE BUT DO NOT MAKE SPECIFIC CHOICES?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If you return a signed and dated proxy card or otherwise vote without marking voting selections, your shares will be voted,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applicable, “For” the election of each of the nominees for director, “For” the ratification of KPMG LLP as our independent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registered public accounting firm, “For” the approval, on an advisory basis, of the compensation of our named executive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officers, and “For” the amendment and restatement of the Lucid Group, Inc. Amended and Restated 2021 Stock Incentive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Plan. If any other matter is properly presented at the Annual Meeting, your proxy holder (one of the individuals named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your proxy card) will vote your shares using his or her best judgment.</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WILL MY VOTE BE KEPT CONFIDENTIAL?</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Proxies, ballots, and voting tabulations are handled on a confidential basis to protect your voting privacy. This information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will not be disclosed, except as required by law.</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WHO IS PAYING FOR THIS PROXY SOLICITATION?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accompanying proxy is solicited on behalf of the Board for use at the Annual Meeting. Accordingly, we will pay for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entire cost of soliciting proxies. In addition to these proxy materials, our directors and employees may also solicit proxies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person, by telephone or by other means of communication. Our directors and employees will not be paid any additional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for soliciting proxies. We may also reimburse brokerage firms, banks and other nominees for the cost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forwarding proxy materials to beneficial owners.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CAN I CHANGE MY VOTE AFTER SUBMITTING MY PROXY?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Yes. You can revoke your proxy at any time before the final vote at the Annual Meeting. If you are the record holder of your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shares, you may revoke your proxy in any one of the following ways: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You may grant a subsequent proxy via the internet or telephone.</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You may submit another properly completed proxy card with a later date.</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You may send a timely written notice that you are revoking your proxy to our Corporate Secretary at Lucid Group, Inc.,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7373 Gateway Boulevard, Newark, CA 94560, which must be received by June 3, 2026.</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You may attend and vote at the Annual Meeting. Simply attending the Annual Meeting will not, by itself, revoke your proxy.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Your most current proxy card or telephone or internet proxy is the one that is counted, so long as it is provided by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applicable deadline. If your shares are held by your broker, banker or other nominee, you should follow the instructions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provided by your broker, bank or other nominee to change your vote or revoke your proxy or you may attend and vote at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Annual Meeting.</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 xml:space="preserve">WHEN ARE STOCKHOLDER PROPOSALS FOR INCLUSION IN OUR PROXY STATEMENT FOR NEXT YEAR’S ANNUAL MEETING </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DUE?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Stockholders wishing to present proposals for inclusion in our Proxy Statement for the 2027 annual meeting of stockholders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“2027 Annual Meeting”) pursuant to Rule 14a-8 of the Securities Exchange Act of 1934, as amended (the “Exchange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Act”), must submit their proposals so that they are received by us at our principal executive offices no later than December </w:t>
      </w:r>
    </w:p>
    <w:tbl>
      <w:tblPr>
        <w:tblW w:w="1836" w:type="dxa"/>
        <w:jc w:val="left"/>
        <w:tblInd w:w="0" w:type="dxa"/>
        <w:tblLayout w:type="fixed"/>
        <w:tblCellMar>
          <w:top w:w="28" w:type="dxa"/>
          <w:left w:w="28" w:type="dxa"/>
          <w:bottom w:w="28" w:type="dxa"/>
          <w:right w:w="28" w:type="dxa"/>
        </w:tblCellMar>
      </w:tblPr>
      <w:tblGrid>
        <w:gridCol w:w="1501"/>
        <w:gridCol w:w="109"/>
        <w:gridCol w:w="226"/>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5</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24, 2026. Proposals should be sent to our Corporate Secretary at Lucid Group, Inc., 7373 Gateway Boulevard, Newark, CA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94560.</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WHEN ARE OTHER PROPOSALS AND STOCKHOLDER NOMINATIONS FOR THE 2027 ANNUAL MEETING DUE?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With respect to proposals and nominations not to be included in our Proxy Statement pursuant to Rule 14a-8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Exchange Act, our second amended and restated bylaws (our “Bylaws”) provide that stockholders who wish to nominate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director or propose other business to be brought before the stockholders at an annual meeting of stockholders must notify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Corporate Secretary by a written notice, which notice must be received at our principal executive offices not less than 90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days nor more than 120 days prior to the first anniversary date of the immediately preceding year’s annual meeting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stockholders.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Stockholders wishing to present nominations for director or proposals for consideration at the 2027 Annual Meeting under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these provisions of our Bylaws (including nominations pursuant to Rule 14a-19 under the Exchange Act) must submit their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nominations or proposals so that they are received at our principal executive offices not later than March 6, 2027 and not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earlier than February 4, 2027 in order to be considered. In the event that the date of the 2027 Annual Meeting is advanced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more than 30 days prior to such anniversary date or delayed more than 70 days after such anniversary date then to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timely such notice must be received by the Company no earlier than 120 days prior to the 2027 Annual Meeting and no later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than the later of 70 days prior to the date of the 2027 Annual Meeting or the 10th day following the day on which public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announcement of the date of the 2027 Annual Meeting was first made by the Company.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Nominations or proposals should be sent in writing to our Corporate Secretary at Lucid Group, Inc., 7373 Gateway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Boulevard, Newark, CA 94560. A stockholder’s notice to nominate a director or bring any other business before the Annual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Meeting or the 2027 Annual Meeting must set forth certain information, which is specified in our Bylaws. A complete copy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our Bylaws is included as Exhibit 3.2 to our Current Report on Form 8-K filed with the SEC on March 3, 2023.</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HOW ARE VOTES COUNTED?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Votes will be counted by the inspector of election appointed for the Annual Meeting, who will separately count votes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votes to “Withhold” and broker non-votes for the proposal to elect directors. With respect to other proposals, the inspector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election will separately count votes “For,” votes “Against,” votes to “Abstain” and broker non-votes (if applicable).</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WHAT ARE “BROKER NON-VOTES”?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Broker non-votes occur when a beneficial owner of shares held in “street name” does not give instructions to the broker,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bank or other nominee holding the shares as to how to vote. Generally, if shares are held in street name, the beneficial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owner of the shares is entitled to give voting instructions to the broker, bank or other nominee holding the shares. If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beneficial owner does not provide voting instructions, the broker, bank or other nominee can still vote the shares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respect to matters that are considered to be “routine,” but cannot vote the shares with respect to “non-routine” matters.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Brokers, banks or other nominees have discretionary authority to vote shares for which their customers do not provide voting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instructions on matters that are considered “routine.” On non-routine proposals, such “uninstructed shares” may not be voted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by such brokers, banks or nominees. Only the proposal to ratify the selection of our independent registered public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accounting firm is considered a “routine” matter for this purpose and brokers, banks or other nominees generally have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discretionary voting power with respect to such proposal. Broker non-votes will be counted for the purpose of determining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whether a quorum is present at the Annual Meeting.</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WHAT IS THE EFFECT OF ABSTENTIONS, VOTES TO WITHHOLD AND BROKER NON-VOTES?</w:t>
      </w:r>
    </w:p>
    <w:p>
      <w:pPr>
        <w:pStyle w:val="TextBody"/>
        <w:bidi w:val="0"/>
        <w:spacing w:lineRule="atLeast" w:line="180" w:before="0" w:after="0"/>
        <w:jc w:val="left"/>
        <w:rPr/>
      </w:pPr>
      <w:r>
        <w:rPr>
          <w:rFonts w:ascii="Arial;sans-serif" w:hAnsi="Arial;sans-serif"/>
          <w:b/>
          <w:i/>
          <w:strike w:val="false"/>
          <w:dstrike w:val="false"/>
          <w:sz w:val="18"/>
          <w:u w:val="none"/>
          <w:effect w:val="none"/>
        </w:rPr>
        <w:t>Abstentions</w:t>
      </w:r>
      <w:r>
        <w:rPr>
          <w:rFonts w:ascii="Arial;sans-serif" w:hAnsi="Arial;sans-serif"/>
          <w:b w:val="false"/>
          <w:i w:val="false"/>
          <w:caps w:val="false"/>
          <w:smallCaps w:val="false"/>
          <w:strike w:val="false"/>
          <w:dstrike w:val="false"/>
          <w:sz w:val="18"/>
          <w:u w:val="none"/>
          <w:effect w:val="none"/>
        </w:rPr>
        <w:t xml:space="preserve">: Under Delaware law (under which we are incorporated), abstentions are counted as shares present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entitled to vote at the Annual Meeting, but they are not counted as shares cast. Our Bylaws provide that a stockholder action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(other than the election of directors) shall be decided by the vote of the holders of a majority of the total number of votes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Company’s capital stock cast on the matter. Therefore, abstentions will have no effect on Proposal No. 2: Ratification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selection of the independent registered public accounting firm, Proposal No. 3: The approval, on an advisory basis,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of our named executive officers, or Proposal No. 4: The approval of the amendment and restatement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Lucid Group, Inc. Amended and Restated 2021 Stock Incentive Plan. </w:t>
      </w:r>
    </w:p>
    <w:p>
      <w:pPr>
        <w:pStyle w:val="TextBody"/>
        <w:bidi w:val="0"/>
        <w:spacing w:lineRule="atLeast" w:line="180" w:before="0" w:after="0"/>
        <w:jc w:val="left"/>
        <w:rPr/>
      </w:pPr>
      <w:r>
        <w:rPr>
          <w:rFonts w:ascii="Arial;sans-serif" w:hAnsi="Arial;sans-serif"/>
          <w:b/>
          <w:i/>
          <w:strike w:val="false"/>
          <w:dstrike w:val="false"/>
          <w:sz w:val="18"/>
          <w:u w:val="none"/>
          <w:effect w:val="none"/>
        </w:rPr>
        <w:t>Votes to Withhold</w:t>
      </w:r>
      <w:r>
        <w:rPr>
          <w:rFonts w:ascii="Arial;sans-serif" w:hAnsi="Arial;sans-serif"/>
          <w:b w:val="false"/>
          <w:i w:val="false"/>
          <w:caps w:val="false"/>
          <w:smallCaps w:val="false"/>
          <w:strike w:val="false"/>
          <w:dstrike w:val="false"/>
          <w:sz w:val="18"/>
          <w:u w:val="none"/>
          <w:effect w:val="none"/>
        </w:rPr>
        <w:t xml:space="preserve">: For Proposal No. 1: Election of Directors, you may vote “For” all or some of the nominees or you may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Withhold” your vote with respect to one or more of the nominees. The nine nominees who receive the most “For” votes cast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by the holders of shares either present at the Annual Meeting or represented by proxy will be elected to our Board. </w:t>
      </w:r>
    </w:p>
    <w:tbl>
      <w:tblPr>
        <w:tblW w:w="1836" w:type="dxa"/>
        <w:jc w:val="left"/>
        <w:tblInd w:w="0" w:type="dxa"/>
        <w:tblLayout w:type="fixed"/>
        <w:tblCellMar>
          <w:top w:w="28" w:type="dxa"/>
          <w:left w:w="28" w:type="dxa"/>
          <w:bottom w:w="28" w:type="dxa"/>
          <w:right w:w="28" w:type="dxa"/>
        </w:tblCellMar>
      </w:tblPr>
      <w:tblGrid>
        <w:gridCol w:w="196"/>
        <w:gridCol w:w="109"/>
        <w:gridCol w:w="1531"/>
      </w:tblGrid>
      <w:tr>
        <w:trPr/>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6</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Broker non-votes will have no effect on Proposal No. 1: Election of Directors. In an uncontested election, “Withhold” votes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will not prevent a candidate from being elected.</w:t>
      </w:r>
    </w:p>
    <w:p>
      <w:pPr>
        <w:pStyle w:val="TextBody"/>
        <w:bidi w:val="0"/>
        <w:spacing w:lineRule="atLeast" w:line="180" w:before="0" w:after="0"/>
        <w:jc w:val="left"/>
        <w:rPr/>
      </w:pPr>
      <w:r>
        <w:rPr>
          <w:rFonts w:ascii="Arial;sans-serif" w:hAnsi="Arial;sans-serif"/>
          <w:b/>
          <w:i/>
          <w:strike w:val="false"/>
          <w:dstrike w:val="false"/>
          <w:sz w:val="18"/>
          <w:u w:val="none"/>
          <w:effect w:val="none"/>
        </w:rPr>
        <w:t>Broker Non-Votes</w:t>
      </w:r>
      <w:r>
        <w:rPr>
          <w:rFonts w:ascii="Arial;sans-serif" w:hAnsi="Arial;sans-serif"/>
          <w:b w:val="false"/>
          <w:i w:val="false"/>
          <w:caps w:val="false"/>
          <w:smallCaps w:val="false"/>
          <w:strike w:val="false"/>
          <w:dstrike w:val="false"/>
          <w:sz w:val="18"/>
          <w:u w:val="none"/>
          <w:effect w:val="none"/>
        </w:rPr>
        <w:t xml:space="preserve">: A “broker non-vote” occurs when a broker, bank or other nominee holding your shares in street name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does not vote on a particular matter because you did not provide the broker, bank or other nominee voting instructions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broker, bank or other nominee lacks discretionary voting authority to vote the shares because the matter is considered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non-routine.”. The “non-routine” matters on the agenda for the Annual Meeting are Proposal No. 1: Election of Directors,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Proposal No. 3: The approval, on an advisory basis, of the compensation of our named executive officers and Proposal No.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4: The approval of the amendment and restatement of the Lucid Group, Inc. Amended and Restated 2021 Stock Incentive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Plan.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Broker non-votes will be counted for the purpose of determining whether a quorum is present at the Annual Meeting.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However, because broker non-votes are not considered under Delaware law to be entitled to vote at the Annual Meeting,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they will have no effect on the outcome of the vote on Proposal No. 1: Election of Directors, Proposal No. 3: The approval,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an advisory basis, of the compensation of our named executive officers, and Proposal No. 4: The approval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amendment and restatement of the Lucid Group, Inc. Amended and Restated 2021 Stock Incentive Plan. As a result, if you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hold your shares in street name and you do not instruct your broker, bank or other nominee how to vote your shares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these proposals, no votes will be cast on your behalf on these proposals. Therefore, it is critical that you indicate your vote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on this proposal if you want your vote to be counted.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proposal to ratify the selection of KPMG LLP as our independent registered public accounting firm for the fiscal year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ending December 31, 2026 is considered a “routine” matter. Therefore, your broker, bank or other nominee will be able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vote on Proposal No. 2: Ratification of the Selection of the Independent Registered Public Accounting Firm even if it does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not receive instructions from you, so long as it holds your shares in its name.</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HOW MANY VOTES ARE NEEDED TO APPROVE EACH PROPOSAL?</w:t>
      </w:r>
    </w:p>
    <w:tbl>
      <w:tblPr>
        <w:tblW w:w="9792" w:type="dxa"/>
        <w:jc w:val="left"/>
        <w:tblInd w:w="0" w:type="dxa"/>
        <w:tblLayout w:type="fixed"/>
        <w:tblCellMar>
          <w:top w:w="28" w:type="dxa"/>
          <w:left w:w="28" w:type="dxa"/>
          <w:bottom w:w="28" w:type="dxa"/>
          <w:right w:w="28" w:type="dxa"/>
        </w:tblCellMar>
      </w:tblPr>
      <w:tblGrid>
        <w:gridCol w:w="241"/>
        <w:gridCol w:w="7201"/>
        <w:gridCol w:w="109"/>
        <w:gridCol w:w="1111"/>
        <w:gridCol w:w="109"/>
        <w:gridCol w:w="1021"/>
      </w:tblGrid>
      <w:tr>
        <w:trPr/>
        <w:tc>
          <w:tcPr>
            <w:tcW w:w="241" w:type="dxa"/>
            <w:tcBorders/>
            <w:vAlign w:val="center"/>
          </w:tcPr>
          <w:p>
            <w:pPr>
              <w:pStyle w:val="TableContents"/>
              <w:bidi w:val="0"/>
              <w:spacing w:before="0" w:after="283"/>
              <w:jc w:val="left"/>
              <w:rPr>
                <w:sz w:val="4"/>
                <w:szCs w:val="4"/>
              </w:rPr>
            </w:pPr>
            <w:r>
              <w:rPr>
                <w:sz w:val="4"/>
                <w:szCs w:val="4"/>
              </w:rPr>
            </w:r>
          </w:p>
        </w:tc>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41" w:type="dxa"/>
            <w:tcBorders/>
            <w:shd w:fill="000000" w:val="clear"/>
            <w:vAlign w:val="center"/>
          </w:tcPr>
          <w:p>
            <w:pPr>
              <w:pStyle w:val="TableContents"/>
              <w:bidi w:val="0"/>
              <w:spacing w:before="0" w:after="283"/>
              <w:jc w:val="left"/>
              <w:rPr>
                <w:sz w:val="4"/>
                <w:szCs w:val="4"/>
              </w:rPr>
            </w:pPr>
            <w:r>
              <w:rPr>
                <w:sz w:val="4"/>
                <w:szCs w:val="4"/>
              </w:rPr>
            </w:r>
          </w:p>
        </w:tc>
        <w:tc>
          <w:tcPr>
            <w:tcW w:w="720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1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21" w:type="dxa"/>
            <w:tcBorders/>
            <w:shd w:fill="000000" w:val="clear"/>
            <w:vAlign w:val="center"/>
          </w:tcPr>
          <w:p>
            <w:pPr>
              <w:pStyle w:val="TableContents"/>
              <w:bidi w:val="0"/>
              <w:spacing w:before="0" w:after="283"/>
              <w:jc w:val="left"/>
              <w:rPr>
                <w:sz w:val="4"/>
                <w:szCs w:val="4"/>
              </w:rPr>
            </w:pPr>
            <w:r>
              <w:rPr>
                <w:sz w:val="4"/>
                <w:szCs w:val="4"/>
              </w:rPr>
            </w:r>
          </w:p>
        </w:tc>
      </w:tr>
      <w:tr>
        <w:trPr/>
        <w:tc>
          <w:tcPr>
            <w:tcW w:w="7442" w:type="dxa"/>
            <w:gridSpan w:val="2"/>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Proposal</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11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Vote Required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2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Discretionary</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Voting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Allowed? </w:t>
            </w:r>
          </w:p>
        </w:tc>
      </w:tr>
      <w:tr>
        <w:trPr/>
        <w:tc>
          <w:tcPr>
            <w:tcW w:w="241" w:type="dxa"/>
            <w:tcBorders/>
            <w:shd w:fill="000000" w:val="clear"/>
            <w:vAlign w:val="center"/>
          </w:tcPr>
          <w:p>
            <w:pPr>
              <w:pStyle w:val="TableContents"/>
              <w:bidi w:val="0"/>
              <w:spacing w:before="0" w:after="283"/>
              <w:jc w:val="left"/>
              <w:rPr>
                <w:sz w:val="4"/>
                <w:szCs w:val="4"/>
              </w:rPr>
            </w:pPr>
            <w:r>
              <w:rPr>
                <w:sz w:val="4"/>
                <w:szCs w:val="4"/>
              </w:rPr>
            </w:r>
          </w:p>
        </w:tc>
        <w:tc>
          <w:tcPr>
            <w:tcW w:w="720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1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21" w:type="dxa"/>
            <w:tcBorders/>
            <w:shd w:fill="000000" w:val="clear"/>
            <w:vAlign w:val="center"/>
          </w:tcPr>
          <w:p>
            <w:pPr>
              <w:pStyle w:val="TableContents"/>
              <w:bidi w:val="0"/>
              <w:spacing w:before="0" w:after="283"/>
              <w:jc w:val="left"/>
              <w:rPr>
                <w:sz w:val="4"/>
                <w:szCs w:val="4"/>
              </w:rPr>
            </w:pPr>
            <w:r>
              <w:rPr>
                <w:sz w:val="4"/>
                <w:szCs w:val="4"/>
              </w:rPr>
            </w:r>
          </w:p>
        </w:tc>
      </w:tr>
      <w:tr>
        <w:trPr/>
        <w:tc>
          <w:tcPr>
            <w:tcW w:w="241" w:type="dxa"/>
            <w:tcBorders/>
            <w:vAlign w:val="center"/>
          </w:tcPr>
          <w:p>
            <w:pPr>
              <w:pStyle w:val="TableContents"/>
              <w:bidi w:val="0"/>
              <w:spacing w:before="0" w:after="283"/>
              <w:jc w:val="left"/>
              <w:rPr>
                <w:sz w:val="4"/>
                <w:szCs w:val="4"/>
              </w:rPr>
            </w:pPr>
            <w:r>
              <w:rPr>
                <w:sz w:val="4"/>
                <w:szCs w:val="4"/>
              </w:rPr>
            </w:r>
          </w:p>
        </w:tc>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41" w:type="dxa"/>
            <w:tcBorders/>
            <w:vAlign w:val="center"/>
          </w:tcPr>
          <w:p>
            <w:pPr>
              <w:pStyle w:val="TableContents"/>
              <w:bidi w:val="0"/>
              <w:spacing w:lineRule="atLeast" w:line="22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1</w:t>
            </w:r>
          </w:p>
        </w:tc>
        <w:tc>
          <w:tcPr>
            <w:tcW w:w="7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Election of Directors </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Plurality </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No </w:t>
            </w:r>
          </w:p>
        </w:tc>
      </w:tr>
      <w:tr>
        <w:trPr/>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 w:type="dxa"/>
            <w:tcBorders/>
            <w:vAlign w:val="center"/>
          </w:tcPr>
          <w:p>
            <w:pPr>
              <w:pStyle w:val="TableContents"/>
              <w:bidi w:val="0"/>
              <w:spacing w:lineRule="atLeast" w:line="22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2</w:t>
            </w:r>
          </w:p>
        </w:tc>
        <w:tc>
          <w:tcPr>
            <w:tcW w:w="7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Ratification of the Selection of the Independent Registered Public Accounting Firm </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Majority Cast </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Yes </w:t>
            </w:r>
          </w:p>
        </w:tc>
      </w:tr>
      <w:tr>
        <w:trPr/>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 w:type="dxa"/>
            <w:tcBorders/>
            <w:vAlign w:val="center"/>
          </w:tcPr>
          <w:p>
            <w:pPr>
              <w:pStyle w:val="TableContents"/>
              <w:bidi w:val="0"/>
              <w:spacing w:lineRule="atLeast" w:line="22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3</w:t>
            </w:r>
          </w:p>
        </w:tc>
        <w:tc>
          <w:tcPr>
            <w:tcW w:w="7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The approval, on an advisory basis, of the compensation of our named executive officers </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Majority Cast </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No </w:t>
            </w:r>
          </w:p>
        </w:tc>
      </w:tr>
      <w:tr>
        <w:trPr/>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 w:type="dxa"/>
            <w:tcBorders/>
            <w:vAlign w:val="center"/>
          </w:tcPr>
          <w:p>
            <w:pPr>
              <w:pStyle w:val="TableContents"/>
              <w:bidi w:val="0"/>
              <w:spacing w:lineRule="atLeast" w:line="22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4</w:t>
            </w:r>
          </w:p>
        </w:tc>
        <w:tc>
          <w:tcPr>
            <w:tcW w:w="7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The approval of the amendment and restatement of the Lucid Group, Inc. Amended and Restated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2021 Stock Incentive Plan </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Majority Cast </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No</w:t>
            </w:r>
          </w:p>
        </w:tc>
      </w:tr>
      <w:tr>
        <w:trPr/>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 “Plurality,” with regard to the election of directors, means that the nine nominees who receive the most “For” votes cast by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holders of shares either present at the Annual Meeting or represented by proxy will be elected to our Board. A “Majority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Cast,” with regard to each of Proposal No.’s 2, 3 and 4 means that, to be approved, a majority of the votes cast on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proposal must be voted “For” the proposal.</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Accordingly:</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i w:val="false"/>
          <w:caps w:val="false"/>
          <w:smallCaps w:val="false"/>
          <w:strike w:val="false"/>
          <w:dstrike w:val="false"/>
          <w:sz w:val="18"/>
          <w:u w:val="none"/>
          <w:effect w:val="none"/>
        </w:rPr>
        <w:t>Proposal No. 1:</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For the election of directors, the nine nominees receiving the most “For” votes from the holders of shares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present at the Annual Meeting or represented by proxy and entitled to vote on Proposal No. 1 will be elected as directors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hold office until the 2027 Annual Meeting. Only votes “For” or “Withheld” will affect the outcome. Broker non-votes will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have no effect.</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i w:val="false"/>
          <w:caps w:val="false"/>
          <w:smallCaps w:val="false"/>
          <w:strike w:val="false"/>
          <w:dstrike w:val="false"/>
          <w:sz w:val="18"/>
          <w:u w:val="none"/>
          <w:effect w:val="none"/>
        </w:rPr>
        <w:t>Proposal No. 2:</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To be approved, a majority of the total votes cast on Proposal No. 2 must be voted “For” the ratification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selection of KPMG LLP as our independent registered public accounting firm for the fiscal year ending December 31,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2026. Broker non-votes are not applicable with respect to Proposal No. 2 as brokers generally have discretion to vote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uninstructed shares on this proposal. Abstentions will have no effect.</w:t>
      </w:r>
    </w:p>
    <w:tbl>
      <w:tblPr>
        <w:tblW w:w="1836" w:type="dxa"/>
        <w:jc w:val="left"/>
        <w:tblInd w:w="0" w:type="dxa"/>
        <w:tblLayout w:type="fixed"/>
        <w:tblCellMar>
          <w:top w:w="28" w:type="dxa"/>
          <w:left w:w="28" w:type="dxa"/>
          <w:bottom w:w="28" w:type="dxa"/>
          <w:right w:w="28" w:type="dxa"/>
        </w:tblCellMar>
      </w:tblPr>
      <w:tblGrid>
        <w:gridCol w:w="1501"/>
        <w:gridCol w:w="109"/>
        <w:gridCol w:w="226"/>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7</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i w:val="false"/>
          <w:caps w:val="false"/>
          <w:smallCaps w:val="false"/>
          <w:strike w:val="false"/>
          <w:dstrike w:val="false"/>
          <w:sz w:val="18"/>
          <w:u w:val="none"/>
          <w:effect w:val="none"/>
        </w:rPr>
        <w:t>Proposal No. 3:</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To be approved, a majority of the total votes cast on Proposal No. 3 must be voted “For” the approval,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 advisory basis, of the compensation of our named executive officers. Only votes “For” or “Against” will affect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outcome. Broker non-votes and abstentions will have no effect.</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i w:val="false"/>
          <w:caps w:val="false"/>
          <w:smallCaps w:val="false"/>
          <w:strike w:val="false"/>
          <w:dstrike w:val="false"/>
          <w:sz w:val="18"/>
          <w:u w:val="none"/>
          <w:effect w:val="none"/>
        </w:rPr>
        <w:t>Proposal No. 4:</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To be approved, a majority of the total votes cast on Proposal No. 4 must be voted “For” the approval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amendment and restatement of the Lucid Group, Inc. Amended and Restated 2021 Stock Incentive Plan. Only votes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For” or “Against” will affect the outcome. Broker non-votes and abstentions will have no effect.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None of the proposals, if approved, entitles stockholders to appraisal rights under Delaware law or our certificate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incorporation.</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WHAT IS THE QUORUM REQUIREMENT?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 quorum of stockholders is necessary to hold a valid stockholder meeting. A quorum will be present if stockholders holding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at least a majority of the outstanding shares entitled to vote are present or represented by proxy at the Annual Meeting.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Record Date, there were an aggregate of 383,277,121 shares of Common Stock and Convertible Preferred Stock (on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converted to Common Stock basis) outstanding and entitled to vote. Virtual attendance at our Annual Meeting constitutes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presence” for purposes of a quorum at the meeting.</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Your shares will be counted toward the quorum only if you submit a valid proxy by mail, over the phone or through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internet (or one is submitted on your behalf by your broker, bank or other nominee) or if you vote at the Annual Meeting.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Abstentions, votes to “Withhold” and broker non-votes will be counted toward the quorum requirement. If there is no quorum,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then either the chair of the Annual Meeting or the holders of a majority of shares present at the Annual Meeting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represented by proxy may adjourn the meeting to another date. At any adjourned Annual Meeting at which a quorum 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present, any business may be transacted that might have been transacted at the Annual Meeting as originally notified. If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adjournment is for more than 30 days, or if after that adjournment a new record date is fixed for the adjourned Annual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Meeting, a notice of the adjourned Annual Meeting shall be given to each stockholder of record entitled to vote at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adjourned Annual Meeting.</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HOW CAN I FIND OUT THE RESULTS OF THE VOTING AT THE ANNUAL MEETING?</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Preliminary voting results will be announced at the Annual Meeting. In addition, final voting results will be published in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Current Report on Form 8-K that we expect to file with the SEC within four business days after the Annual Meeting. If final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voting results are not available to us in time to file a Form 8-K with the SEC within four business days after the Annual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Meeting, we intend to file a Form 8-K to publish the preliminary results within four business days after the Annual Meeting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file an additional Form 8-K to publish the final results within four business days after the final results are known to us.</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If you have any questions or need assistance in voting your shares, please write to Lucid Investor Relations at </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investor@lucidmotors.com.</w:t>
      </w:r>
    </w:p>
    <w:tbl>
      <w:tblPr>
        <w:tblW w:w="1836" w:type="dxa"/>
        <w:jc w:val="left"/>
        <w:tblInd w:w="0" w:type="dxa"/>
        <w:tblLayout w:type="fixed"/>
        <w:tblCellMar>
          <w:top w:w="28" w:type="dxa"/>
          <w:left w:w="28" w:type="dxa"/>
          <w:bottom w:w="28" w:type="dxa"/>
          <w:right w:w="28" w:type="dxa"/>
        </w:tblCellMar>
      </w:tblPr>
      <w:tblGrid>
        <w:gridCol w:w="196"/>
        <w:gridCol w:w="109"/>
        <w:gridCol w:w="1531"/>
      </w:tblGrid>
      <w:tr>
        <w:trPr/>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8</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Interest of Certain Persons in Matters to Be Acted Upon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Employees and non-employee directors will be eligible to receive awards under the Lucid Group, Inc. Amended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Restated 2021 Stock Incentive Plan, including as amended and restated pursuant to Proposal No. 4. Accordingly, members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our Board (including as director nominees) and our executive officers have a substantial interest in the approval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amendment and restatement of the Lucid Group, Inc. Amended and Restated 2021 Stock Incentive Plan. The tables below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“Outstanding Equity Awards at Fiscal Year-End” and “Director Compensation” provide information concerning 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outstanding awards held by a named executive officer or director as of December 31, 2025, including awards made under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Lucid Group, Inc. Amended and Restated 2021 Stock Incentive Plan.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Other than disclosed above, none of our directors, director nominees, or executive officers has any special interest in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matter to be voted upon other than election to the Board of Directors.</w:t>
      </w:r>
    </w:p>
    <w:tbl>
      <w:tblPr>
        <w:tblW w:w="1836" w:type="dxa"/>
        <w:jc w:val="left"/>
        <w:tblInd w:w="0" w:type="dxa"/>
        <w:tblLayout w:type="fixed"/>
        <w:tblCellMar>
          <w:top w:w="28" w:type="dxa"/>
          <w:left w:w="28" w:type="dxa"/>
          <w:bottom w:w="28" w:type="dxa"/>
          <w:right w:w="28" w:type="dxa"/>
        </w:tblCellMar>
      </w:tblPr>
      <w:tblGrid>
        <w:gridCol w:w="1501"/>
        <w:gridCol w:w="109"/>
        <w:gridCol w:w="226"/>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9</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7726680" cy="304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726680" cy="3048000"/>
                    </a:xfrm>
                    <a:prstGeom prst="rect">
                      <a:avLst/>
                    </a:prstGeom>
                  </pic:spPr>
                </pic:pic>
              </a:graphicData>
            </a:graphic>
          </wp:inline>
        </w:drawing>
      </w:r>
      <w:bookmarkStart w:id="7" w:name="i-6"/>
      <w:bookmarkEnd w:id="7"/>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PROPOSAL NO. 1</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Election of Directors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Board of Directors is currently composed of nine members. All directors are elected by the stockholders at each annual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meeting to serve until the next annual meeting of stockholders. The current Board of Directors is comprised of Turqi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Alnowaiser, Douglas Grimm, Lisa M. Lambert, Andrew Liveris, Nichelle Maynard-Elliott, Silvio Napoli, Chabi Nouri, Ori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Winitzer and Janet S. Wong. Ms. Wong will not be standing for reelection at the Annual Meeting. The Board thanks Ms.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Wong for her years of valuable leadership and service to both the Company and the Board.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Nominating and Corporate Governance Committee of the Board has recommended, and the Board has approved,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nomination of Turqi Alnowaiser, Douglas Grimm, Sachin Kansal, Lisa M. Lambert, Andrew Liveris, Nichelle Maynard-Elliott,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Silvio Napoli, Chabi Nouri and Ori Winitzer, as directors for a one-year term expiring at the 2027 Annual Meeting and until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their respective successors are duly elected and qualified, or, if sooner, until the director’s death, resignation or removal.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Each of Mr. Alnowaiser, Mr. Grimm, Ms. Lambert, Mr. Liveris, Ms. Maynard-Elliott, Mr. Napoli, Ms. Nouri and Mr. Winitzer 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currently a director of the Company. Directors are elected by a plurality of the votes of the holders of shares present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represented by proxy and entitled to vote on the election of directors. The nine nominees receiving the highest number of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For” votes will be elected.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Proxies cannot be voted for a greater number of persons than the number of nominees named in this Proxy Statement. If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any nominee should become unavailable to serve for any reason, it is intended that votes will be cast for a substitute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nominee designated by the Nominating and Corporate Governance Committee and approved by the Board. We have no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reason to believe that any nominee named will be unable to serve if elected.</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CERTAIN STOCKHOLDER RIGHTS TO NOMINATE DIRECTORS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Pursuant to the Investor Rights Agreement, dated as of February 22, 2021 and as amended from time to time, by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among the Company, Ayar Third Investment Company (“Ayar”) and certain other parties (the “Investor Rights Agreement”),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Ayar has the right to nominate five directors to our Board of Directors.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Ayar’s right to nominate directors to our Board of Directors is subject to its (and its permitted transferees’) continued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beneficial ownership of our Common Stock, including shares of Common Stock issuable from outstanding Convertible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Preferred Stock, as compared to the Common Stock issued and outstanding as of the record date of each applicable annual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special meeting of stockholders at which directors are to be elected. If Ayar (or its permitted transferees) owns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beneficially: (i) 50% or greater of the shares of our Common Stock issued and outstanding as of the record date of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annual or special meeting of stockholders, it has the right to nominate five directors; (ii) less than 50% but greater than or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10</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equal to 40% of the shares of our Common Stock issued and outstanding as of the record date of such annual or special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meeting of stockholders, it has the right to nominate four directors; (iii) less than 40% but greater than or equal to 30%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of our Common Stock issued and outstanding as of the record date of such annual or special meeting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stockholders, it has the right to nominate three directors; (iv) less than 30% but greater than or equal to 20% of the shares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Common Stock issued and outstanding as of the record date of such annual or special meeting of stockholders, it has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right to nominate two directors; (v) less than 20% but greater than or equal to 10% of the shares of our Common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issued and outstanding as of the record date of such annual or special meeting of stockholders, it has the right to nominate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one director; (vi) less than 10% of the shares of our Common Stock issued and outstanding as of the record date of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annual or special meeting of stockholders, it will not have the right to nominate any directors pursuant to the Investor Rights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Agreement. If the size of our Board is increased or decreased, the number of directors Ayar is entitled to nominate will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increased or decreased in proportion to such increase or decrease in the size of our Board, rounded down to the nearest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whole number.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Further, for so long as Ayar beneficially owns twenty percent (20%) or greater of the shares of our Common Stock issued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outstanding, it has the right to designate the Chairman of our Board. In addition, for so long as Ayar beneficially owns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of our Common Stock representing at least one-third (33 1∕3%) of the Common Stock then issued and outstanding,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Ayar has the right to have at least one Ayar director appointed to serve on each committee of the Board. For additional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information, please see the section entitled “Certain Relationships and Related Party Transactions.” In accordance with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Investor Rights Agreement, Turqi Alnowaiser, Douglas Grimm, Andrew Liveris, Nichelle Maynard-Elliott and Ori Winitzer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were designated for nomination by Ayar to the Board of Directors and nominated by the Nominating and Corporate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Governance Committee and the Board.</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NOMINEES FOR DIRECTOR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names and ages as of the date of this Proxy Statement of the nominees, length of service with the Company, and Board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committee memberships are set forth in the table below.</w:t>
      </w:r>
    </w:p>
    <w:tbl>
      <w:tblPr>
        <w:tblW w:w="9391" w:type="dxa"/>
        <w:jc w:val="left"/>
        <w:tblInd w:w="0" w:type="dxa"/>
        <w:tblLayout w:type="fixed"/>
        <w:tblCellMar>
          <w:top w:w="28" w:type="dxa"/>
          <w:left w:w="28" w:type="dxa"/>
          <w:bottom w:w="28" w:type="dxa"/>
          <w:right w:w="28" w:type="dxa"/>
        </w:tblCellMar>
      </w:tblPr>
      <w:tblGrid>
        <w:gridCol w:w="124"/>
        <w:gridCol w:w="1426"/>
        <w:gridCol w:w="391"/>
        <w:gridCol w:w="109"/>
        <w:gridCol w:w="631"/>
        <w:gridCol w:w="109"/>
        <w:gridCol w:w="646"/>
        <w:gridCol w:w="109"/>
        <w:gridCol w:w="916"/>
        <w:gridCol w:w="109"/>
        <w:gridCol w:w="841"/>
        <w:gridCol w:w="109"/>
        <w:gridCol w:w="1006"/>
        <w:gridCol w:w="109"/>
        <w:gridCol w:w="871"/>
        <w:gridCol w:w="109"/>
        <w:gridCol w:w="841"/>
        <w:gridCol w:w="109"/>
        <w:gridCol w:w="826"/>
      </w:tblGrid>
      <w:tr>
        <w:trPr/>
        <w:tc>
          <w:tcPr>
            <w:tcW w:w="1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426" w:type="dxa"/>
            <w:tcBorders/>
            <w:shd w:fill="000000" w:val="clear"/>
            <w:vAlign w:val="center"/>
          </w:tcPr>
          <w:p>
            <w:pPr>
              <w:pStyle w:val="TableContents"/>
              <w:bidi w:val="0"/>
              <w:spacing w:before="0" w:after="283"/>
              <w:jc w:val="left"/>
              <w:rPr>
                <w:sz w:val="4"/>
                <w:szCs w:val="4"/>
              </w:rPr>
            </w:pPr>
            <w:r>
              <w:rPr>
                <w:sz w:val="4"/>
                <w:szCs w:val="4"/>
              </w:rPr>
            </w:r>
          </w:p>
        </w:tc>
        <w:tc>
          <w:tcPr>
            <w:tcW w:w="39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3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4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4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7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4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42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 </w:t>
            </w:r>
          </w:p>
        </w:tc>
        <w:tc>
          <w:tcPr>
            <w:tcW w:w="39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Age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3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Director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Since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4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Current</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Term</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Expires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Independent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4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Audit</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Committee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Compensation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and</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Human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Capital</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Committee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7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Nominating</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and</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Corporate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Governance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Committee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4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Executive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Committee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Public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Company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Boards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(including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Lucid)</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426" w:type="dxa"/>
            <w:tcBorders/>
            <w:shd w:fill="000000" w:val="clear"/>
            <w:vAlign w:val="center"/>
          </w:tcPr>
          <w:p>
            <w:pPr>
              <w:pStyle w:val="TableContents"/>
              <w:bidi w:val="0"/>
              <w:spacing w:before="0" w:after="283"/>
              <w:jc w:val="left"/>
              <w:rPr>
                <w:sz w:val="4"/>
                <w:szCs w:val="4"/>
              </w:rPr>
            </w:pPr>
            <w:r>
              <w:rPr>
                <w:sz w:val="4"/>
                <w:szCs w:val="4"/>
              </w:rPr>
            </w:r>
          </w:p>
        </w:tc>
        <w:tc>
          <w:tcPr>
            <w:tcW w:w="39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4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4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7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4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Turqi Alnowaiser* </w:t>
            </w:r>
          </w:p>
        </w:tc>
        <w:tc>
          <w:tcPr>
            <w:tcW w:w="3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49</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2019</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2027</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 cy="104775"/>
                          </a:xfrm>
                          <a:prstGeom prst="rect">
                            <a:avLst/>
                          </a:prstGeom>
                        </pic:spPr>
                      </pic:pic>
                    </a:graphicData>
                  </a:graphic>
                </wp:inline>
              </w:drawing>
            </w:r>
            <w:bookmarkStart w:id="8" w:name="i-7"/>
            <w:bookmarkEnd w:id="8"/>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Chair </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Chair </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w:t>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Douglas Grimm </w:t>
            </w:r>
          </w:p>
        </w:tc>
        <w:tc>
          <w:tcPr>
            <w:tcW w:w="3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64</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2025</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2027</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 cy="104775"/>
                          </a:xfrm>
                          <a:prstGeom prst="rect">
                            <a:avLst/>
                          </a:prstGeom>
                        </pic:spPr>
                      </pic:pic>
                    </a:graphicData>
                  </a:graphic>
                </wp:inline>
              </w:drawing>
            </w:r>
            <w:bookmarkStart w:id="9" w:name="i-8"/>
            <w:bookmarkEnd w:id="9"/>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5725" cy="104775"/>
                          </a:xfrm>
                          <a:prstGeom prst="rect">
                            <a:avLst/>
                          </a:prstGeom>
                        </pic:spPr>
                      </pic:pic>
                    </a:graphicData>
                  </a:graphic>
                </wp:inline>
              </w:drawing>
            </w:r>
            <w:bookmarkStart w:id="10" w:name="i-9"/>
            <w:bookmarkEnd w:id="10"/>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Sachin Kansal</w:t>
            </w:r>
          </w:p>
        </w:tc>
        <w:tc>
          <w:tcPr>
            <w:tcW w:w="3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48</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5725" cy="104775"/>
                          </a:xfrm>
                          <a:prstGeom prst="rect">
                            <a:avLst/>
                          </a:prstGeom>
                        </pic:spPr>
                      </pic:pic>
                    </a:graphicData>
                  </a:graphic>
                </wp:inline>
              </w:drawing>
            </w:r>
            <w:bookmarkStart w:id="11" w:name="i-10"/>
            <w:bookmarkEnd w:id="11"/>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0</w:t>
            </w:r>
          </w:p>
        </w:tc>
      </w:tr>
      <w:tr>
        <w:trPr/>
        <w:tc>
          <w:tcPr>
            <w:tcW w:w="1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Lisa M. Lambert </w:t>
            </w:r>
          </w:p>
        </w:tc>
        <w:tc>
          <w:tcPr>
            <w:tcW w:w="3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58</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2024</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2027</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 cy="104775"/>
                          </a:xfrm>
                          <a:prstGeom prst="rect">
                            <a:avLst/>
                          </a:prstGeom>
                        </pic:spPr>
                      </pic:pic>
                    </a:graphicData>
                  </a:graphic>
                </wp:inline>
              </w:drawing>
            </w:r>
            <w:bookmarkStart w:id="12" w:name="i-11"/>
            <w:bookmarkEnd w:id="12"/>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5725" cy="104775"/>
                          </a:xfrm>
                          <a:prstGeom prst="rect">
                            <a:avLst/>
                          </a:prstGeom>
                        </pic:spPr>
                      </pic:pic>
                    </a:graphicData>
                  </a:graphic>
                </wp:inline>
              </w:drawing>
            </w:r>
            <w:bookmarkStart w:id="13" w:name="i-12"/>
            <w:bookmarkEnd w:id="13"/>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w:t>
            </w:r>
          </w:p>
        </w:tc>
      </w:tr>
      <w:tr>
        <w:trPr/>
        <w:tc>
          <w:tcPr>
            <w:tcW w:w="1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Andrew Liveris </w:t>
            </w:r>
          </w:p>
        </w:tc>
        <w:tc>
          <w:tcPr>
            <w:tcW w:w="3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71</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2019</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2027</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 cy="104775"/>
                          </a:xfrm>
                          <a:prstGeom prst="rect">
                            <a:avLst/>
                          </a:prstGeom>
                        </pic:spPr>
                      </pic:pic>
                    </a:graphicData>
                  </a:graphic>
                </wp:inline>
              </w:drawing>
            </w:r>
            <w:bookmarkStart w:id="14" w:name="i-13"/>
            <w:bookmarkEnd w:id="14"/>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Chair </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 cy="104775"/>
                          </a:xfrm>
                          <a:prstGeom prst="rect">
                            <a:avLst/>
                          </a:prstGeom>
                        </pic:spPr>
                      </pic:pic>
                    </a:graphicData>
                  </a:graphic>
                </wp:inline>
              </w:drawing>
            </w:r>
            <w:bookmarkStart w:id="15" w:name="i-14"/>
            <w:bookmarkEnd w:id="15"/>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w:t>
            </w:r>
          </w:p>
        </w:tc>
      </w:tr>
      <w:tr>
        <w:trPr/>
        <w:tc>
          <w:tcPr>
            <w:tcW w:w="1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Nichelle Maynard-</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Elliott </w:t>
            </w:r>
          </w:p>
        </w:tc>
        <w:tc>
          <w:tcPr>
            <w:tcW w:w="3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57</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2021</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2027</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725" cy="104775"/>
                          </a:xfrm>
                          <a:prstGeom prst="rect">
                            <a:avLst/>
                          </a:prstGeom>
                        </pic:spPr>
                      </pic:pic>
                    </a:graphicData>
                  </a:graphic>
                </wp:inline>
              </w:drawing>
            </w:r>
            <w:bookmarkStart w:id="16" w:name="i-15"/>
            <w:bookmarkEnd w:id="16"/>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5725" cy="104775"/>
                          </a:xfrm>
                          <a:prstGeom prst="rect">
                            <a:avLst/>
                          </a:prstGeom>
                        </pic:spPr>
                      </pic:pic>
                    </a:graphicData>
                  </a:graphic>
                </wp:inline>
              </w:drawing>
            </w:r>
            <w:bookmarkStart w:id="17" w:name="i-16"/>
            <w:bookmarkEnd w:id="17"/>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5725" cy="104775"/>
                          </a:xfrm>
                          <a:prstGeom prst="rect">
                            <a:avLst/>
                          </a:prstGeom>
                        </pic:spPr>
                      </pic:pic>
                    </a:graphicData>
                  </a:graphic>
                </wp:inline>
              </w:drawing>
            </w:r>
            <w:bookmarkStart w:id="18" w:name="i-17"/>
            <w:bookmarkEnd w:id="18"/>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5725" cy="104775"/>
                          </a:xfrm>
                          <a:prstGeom prst="rect">
                            <a:avLst/>
                          </a:prstGeom>
                        </pic:spPr>
                      </pic:pic>
                    </a:graphicData>
                  </a:graphic>
                </wp:inline>
              </w:drawing>
            </w:r>
            <w:bookmarkStart w:id="19" w:name="i-18"/>
            <w:bookmarkEnd w:id="19"/>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w:t>
            </w:r>
          </w:p>
        </w:tc>
      </w:tr>
      <w:tr>
        <w:trPr/>
        <w:tc>
          <w:tcPr>
            <w:tcW w:w="1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Silvio Napoli</w:t>
            </w:r>
          </w:p>
        </w:tc>
        <w:tc>
          <w:tcPr>
            <w:tcW w:w="3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2026</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2027</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5725" cy="104775"/>
                          </a:xfrm>
                          <a:prstGeom prst="rect">
                            <a:avLst/>
                          </a:prstGeom>
                        </pic:spPr>
                      </pic:pic>
                    </a:graphicData>
                  </a:graphic>
                </wp:inline>
              </w:drawing>
            </w:r>
            <w:bookmarkStart w:id="20" w:name="i-19"/>
            <w:bookmarkEnd w:id="20"/>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w:t>
            </w:r>
          </w:p>
        </w:tc>
      </w:tr>
      <w:tr>
        <w:trPr/>
        <w:tc>
          <w:tcPr>
            <w:tcW w:w="1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Chabi Nouri </w:t>
            </w:r>
          </w:p>
        </w:tc>
        <w:tc>
          <w:tcPr>
            <w:tcW w:w="3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52</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2023</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2027</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5725" cy="104775"/>
                          </a:xfrm>
                          <a:prstGeom prst="rect">
                            <a:avLst/>
                          </a:prstGeom>
                        </pic:spPr>
                      </pic:pic>
                    </a:graphicData>
                  </a:graphic>
                </wp:inline>
              </w:drawing>
            </w:r>
            <w:bookmarkStart w:id="21" w:name="i-20"/>
            <w:bookmarkEnd w:id="21"/>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5725" cy="104775"/>
                          </a:xfrm>
                          <a:prstGeom prst="rect">
                            <a:avLst/>
                          </a:prstGeom>
                        </pic:spPr>
                      </pic:pic>
                    </a:graphicData>
                  </a:graphic>
                </wp:inline>
              </w:drawing>
            </w:r>
            <w:bookmarkStart w:id="22" w:name="i-21"/>
            <w:bookmarkEnd w:id="22"/>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w:t>
            </w:r>
          </w:p>
        </w:tc>
      </w:tr>
      <w:tr>
        <w:trPr/>
        <w:tc>
          <w:tcPr>
            <w:tcW w:w="1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Ori Winitzer </w:t>
            </w:r>
          </w:p>
        </w:tc>
        <w:tc>
          <w:tcPr>
            <w:tcW w:w="3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50</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2023</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2027</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5725" cy="104775"/>
                          </a:xfrm>
                          <a:prstGeom prst="rect">
                            <a:avLst/>
                          </a:prstGeom>
                        </pic:spPr>
                      </pic:pic>
                    </a:graphicData>
                  </a:graphic>
                </wp:inline>
              </w:drawing>
            </w:r>
            <w:bookmarkStart w:id="23" w:name="i-22"/>
            <w:bookmarkEnd w:id="23"/>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5725" cy="104775"/>
                          </a:xfrm>
                          <a:prstGeom prst="rect">
                            <a:avLst/>
                          </a:prstGeom>
                        </pic:spPr>
                      </pic:pic>
                    </a:graphicData>
                  </a:graphic>
                </wp:inline>
              </w:drawing>
            </w:r>
            <w:bookmarkStart w:id="24" w:name="i-23"/>
            <w:bookmarkEnd w:id="24"/>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 cy="1047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5725" cy="104775"/>
                          </a:xfrm>
                          <a:prstGeom prst="rect">
                            <a:avLst/>
                          </a:prstGeom>
                        </pic:spPr>
                      </pic:pic>
                    </a:graphicData>
                  </a:graphic>
                </wp:inline>
              </w:drawing>
            </w:r>
            <w:bookmarkStart w:id="25" w:name="i-24"/>
            <w:bookmarkEnd w:id="25"/>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w:t>
            </w:r>
          </w:p>
        </w:tc>
      </w:tr>
    </w:tbl>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*Chairman of the Board</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11</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 brief biography of each nominee is set forth below, which includes information, as of the date of this Proxy Statement,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regarding specific and particular experience, qualifications, attributes or skills of each nominee that led the Nominating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Corporate Governance Committee and the Board to believe that the nominee should serve on the Board:</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DIRECTOR NOMINEES</w:t>
      </w:r>
    </w:p>
    <w:tbl>
      <w:tblPr>
        <w:tblW w:w="9729" w:type="dxa"/>
        <w:jc w:val="left"/>
        <w:tblInd w:w="0" w:type="dxa"/>
        <w:tblLayout w:type="fixed"/>
        <w:tblCellMar>
          <w:top w:w="28" w:type="dxa"/>
          <w:left w:w="28" w:type="dxa"/>
          <w:bottom w:w="28" w:type="dxa"/>
          <w:right w:w="28" w:type="dxa"/>
        </w:tblCellMar>
      </w:tblPr>
      <w:tblGrid>
        <w:gridCol w:w="124"/>
        <w:gridCol w:w="2531"/>
        <w:gridCol w:w="109"/>
        <w:gridCol w:w="681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0"/>
              <w:jc w:val="left"/>
              <w:rPr/>
            </w:pPr>
            <w:r>
              <w:rPr/>
              <w:drawing>
                <wp:inline distT="0" distB="0" distL="0" distR="0">
                  <wp:extent cx="1514475" cy="1514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514475" cy="1514475"/>
                          </a:xfrm>
                          <a:prstGeom prst="rect">
                            <a:avLst/>
                          </a:prstGeom>
                        </pic:spPr>
                      </pic:pic>
                    </a:graphicData>
                  </a:graphic>
                </wp:inline>
              </w:drawing>
            </w:r>
            <w:bookmarkStart w:id="26" w:name="i-25"/>
            <w:bookmarkEnd w:id="26"/>
          </w:p>
          <w:p>
            <w:pPr>
              <w:pStyle w:val="TableContents"/>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Turqi Alnowaiser</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Chairman of the Lucid Board of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Directors</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Age: 49</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Director Since: 2019 </w:t>
            </w:r>
          </w:p>
        </w:tc>
        <w:tc>
          <w:tcPr>
            <w:tcW w:w="109" w:type="dxa"/>
            <w:tcBorders/>
            <w:vAlign w:val="center"/>
          </w:tcPr>
          <w:p>
            <w:pPr>
              <w:pStyle w:val="TableContents"/>
              <w:bidi w:val="0"/>
              <w:spacing w:before="0" w:after="283"/>
              <w:jc w:val="left"/>
              <w:rPr>
                <w:sz w:val="4"/>
                <w:szCs w:val="4"/>
              </w:rPr>
            </w:pPr>
            <w:r>
              <w:rPr>
                <w:sz w:val="4"/>
                <w:szCs w:val="4"/>
              </w:rPr>
            </w:r>
          </w:p>
        </w:tc>
        <w:tc>
          <w:tcPr>
            <w:tcW w:w="6811" w:type="dxa"/>
            <w:tcBorders/>
            <w:vAlign w:val="center"/>
          </w:tcPr>
          <w:p>
            <w:pPr>
              <w:pStyle w:val="TableContents"/>
              <w:bidi w:val="0"/>
              <w:spacing w:lineRule="atLeast" w:line="170" w:before="0" w:after="0"/>
              <w:jc w:val="left"/>
              <w:rPr/>
            </w:pPr>
            <w:r>
              <w:rPr>
                <w:rFonts w:ascii="Arial;sans-serif" w:hAnsi="Arial;sans-serif"/>
                <w:b/>
                <w:i w:val="false"/>
                <w:caps w:val="false"/>
                <w:smallCaps w:val="false"/>
                <w:strike w:val="false"/>
                <w:dstrike w:val="false"/>
                <w:sz w:val="17"/>
                <w:u w:val="none"/>
                <w:effect w:val="none"/>
              </w:rPr>
              <w:t>Turqi Alnowaiser</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7"/>
                <w:u w:val="none"/>
                <w:effect w:val="none"/>
              </w:rPr>
              <w:t xml:space="preserve">has served as a member of our Board of Directors since April 2019 and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as Chairman of our Board since April 2023. Mr. Alnowaiser has served as Deputy Governor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and Head of the International Investments Division at the Public Investment Fund of the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Kingdom of Saudi Arabia, one of the largest sovereign wealth funds in the world, since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June 2021, and has served as Head of International Investments at the Public Investment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Fund since October 2016. Mr. Alnowaiser previously served as Senior Advisor at the Public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Investment Fund from October 2015 to September 2016, prior to which he held several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executive roles at Saudi Fransi Capital, a leading financial services firm based in Saudi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Arabia, including as Head of Asset Management. Before his career at Saudi Fransi Capital,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Mr. Alnowaiser specialized in developing, managing, and regulating various financial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products across asset classes at Morgan Stanley, the Capital Market Authority of Saudi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Arabia, and the Saudi Industrial Development Fund. Mr. Alnowaiser has served on the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board of directors of Uber Technologies, Inc., a technology platform that uses massive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network to power movement from point A to point B, since November 2023 and Hapag-</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Lloyd AG, an international shipping and container transportation company, since February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2018. Mr. Alnowaiser holds a B.A. in International Business from King Saud University and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an M.B.A. from the University of San Francisco.</w:t>
            </w:r>
          </w:p>
          <w:p>
            <w:pPr>
              <w:pStyle w:val="TableContents"/>
              <w:bidi w:val="0"/>
              <w:spacing w:lineRule="atLeast" w:line="170" w:before="0" w:after="0"/>
              <w:jc w:val="left"/>
              <w:rPr>
                <w:rFonts w:ascii="Arial;sans-serif" w:hAnsi="Arial;sans-serif"/>
                <w:b/>
                <w:i w:val="false"/>
                <w:caps w:val="false"/>
                <w:smallCaps w:val="false"/>
                <w:strike w:val="false"/>
                <w:dstrike w:val="false"/>
                <w:sz w:val="17"/>
                <w:u w:val="none"/>
                <w:effect w:val="none"/>
              </w:rPr>
            </w:pPr>
            <w:r>
              <w:rPr>
                <w:rFonts w:ascii="Arial;sans-serif" w:hAnsi="Arial;sans-serif"/>
                <w:b/>
                <w:i w:val="false"/>
                <w:caps w:val="false"/>
                <w:smallCaps w:val="false"/>
                <w:strike w:val="false"/>
                <w:dstrike w:val="false"/>
                <w:sz w:val="17"/>
                <w:u w:val="none"/>
                <w:effect w:val="none"/>
              </w:rPr>
              <w:t>Skills and Qualifications:</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We believe Mr. Alnowaiser is qualified to serve as a director due to his extensive investing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experience, his leading global enterprises, and his experience in overseeing Lucid’s growth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as Chairman of our Board of Directors.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0"/>
              <w:jc w:val="left"/>
              <w:rPr/>
            </w:pPr>
            <w:r>
              <w:rPr/>
              <w:drawing>
                <wp:inline distT="0" distB="0" distL="0" distR="0">
                  <wp:extent cx="1552575" cy="15525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552575" cy="1552575"/>
                          </a:xfrm>
                          <a:prstGeom prst="rect">
                            <a:avLst/>
                          </a:prstGeom>
                        </pic:spPr>
                      </pic:pic>
                    </a:graphicData>
                  </a:graphic>
                </wp:inline>
              </w:drawing>
            </w:r>
            <w:bookmarkStart w:id="27" w:name="i-26"/>
            <w:bookmarkEnd w:id="27"/>
          </w:p>
          <w:p>
            <w:pPr>
              <w:pStyle w:val="TableContents"/>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Douglas Grimm</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Board Member</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Age: 64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Director Since: 2025</w:t>
            </w:r>
          </w:p>
        </w:tc>
        <w:tc>
          <w:tcPr>
            <w:tcW w:w="109" w:type="dxa"/>
            <w:tcBorders/>
            <w:vAlign w:val="center"/>
          </w:tcPr>
          <w:p>
            <w:pPr>
              <w:pStyle w:val="TableContents"/>
              <w:bidi w:val="0"/>
              <w:spacing w:before="0" w:after="283"/>
              <w:jc w:val="left"/>
              <w:rPr>
                <w:sz w:val="4"/>
                <w:szCs w:val="4"/>
              </w:rPr>
            </w:pPr>
            <w:r>
              <w:rPr>
                <w:sz w:val="4"/>
                <w:szCs w:val="4"/>
              </w:rPr>
            </w:r>
          </w:p>
        </w:tc>
        <w:tc>
          <w:tcPr>
            <w:tcW w:w="6811" w:type="dxa"/>
            <w:tcBorders/>
            <w:vAlign w:val="center"/>
          </w:tcPr>
          <w:p>
            <w:pPr>
              <w:pStyle w:val="TableContents"/>
              <w:bidi w:val="0"/>
              <w:spacing w:lineRule="atLeast" w:line="170" w:before="0" w:after="0"/>
              <w:jc w:val="left"/>
              <w:rPr/>
            </w:pPr>
            <w:r>
              <w:rPr>
                <w:rFonts w:ascii="Arial;sans-serif" w:hAnsi="Arial;sans-serif"/>
                <w:b/>
                <w:i w:val="false"/>
                <w:caps w:val="false"/>
                <w:smallCaps w:val="false"/>
                <w:strike w:val="false"/>
                <w:dstrike w:val="false"/>
                <w:sz w:val="17"/>
                <w:u w:val="none"/>
                <w:effect w:val="none"/>
              </w:rPr>
              <w:t>Douglas Grimm</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7"/>
                <w:u w:val="none"/>
                <w:effect w:val="none"/>
              </w:rPr>
              <w:t xml:space="preserve">has served as the Chief Executive Officer of V-to-X, LLC, which is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focused on advising and investing in the mobility sector, since April 2017. From December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2015 to April 2017, Mr. Grimm served as President and Chief Operating Officer of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Metaldyne Performance Group, Inc., a global provider of components for use in vehicle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engine, transmission, powertrain and safety systems. Additionally, Mr. Grimm brings more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than three decades of leadership experience in the automotive industry, including service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as Co</w:t>
              <w:noBreakHyphen/>
              <w:t xml:space="preserve">Founder, Chairman, President, and Chief Executive Officer of Grede Holdings LLC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and its predecessor, Citation Corporation, and later as Co</w:t>
              <w:noBreakHyphen/>
              <w:t xml:space="preserve">President during the merger of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Grede, HHI Group Holdings, and Metaldyne LLC. He previously held senior executive roles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at Visteon Corporation, Metaldyne LLC, and Dana Corporation, with responsibilities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spanning global operations, commercial management, strategic sourcing, purchasing, and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quality. Earlier in his career, Mr. Grimm spent ten years in progressively responsible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management positions at Chrysler Corporation.  Mr. Grimm serves as Chairman of the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Board of Blue Bird Corporation, a manufacturer of school buses. Mr. Grimm also serves on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the board of directors of Fox Factory Holding Corp., a designer and manufacturer of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components for vehicles. Mr. Grimm holds a B.A. degree in Economics and Management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from Hiram College, and an M.B.A. degree from the University of Detroit. </w:t>
            </w:r>
          </w:p>
          <w:p>
            <w:pPr>
              <w:pStyle w:val="TableContents"/>
              <w:bidi w:val="0"/>
              <w:spacing w:lineRule="atLeast" w:line="170" w:before="0" w:after="0"/>
              <w:jc w:val="left"/>
              <w:rPr>
                <w:rFonts w:ascii="Arial;sans-serif" w:hAnsi="Arial;sans-serif"/>
                <w:b/>
                <w:i w:val="false"/>
                <w:caps w:val="false"/>
                <w:smallCaps w:val="false"/>
                <w:strike w:val="false"/>
                <w:dstrike w:val="false"/>
                <w:sz w:val="17"/>
                <w:u w:val="none"/>
                <w:effect w:val="none"/>
              </w:rPr>
            </w:pPr>
            <w:r>
              <w:rPr>
                <w:rFonts w:ascii="Arial;sans-serif" w:hAnsi="Arial;sans-serif"/>
                <w:b/>
                <w:i w:val="false"/>
                <w:caps w:val="false"/>
                <w:smallCaps w:val="false"/>
                <w:strike w:val="false"/>
                <w:dstrike w:val="false"/>
                <w:sz w:val="17"/>
                <w:u w:val="none"/>
                <w:effect w:val="none"/>
              </w:rPr>
              <w:t>Skills and Qualifications:</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Mr. Grimm has been selected to serve on our board of directors based on his extensive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executive experience in the automotive industry.</w:t>
            </w:r>
          </w:p>
        </w:tc>
        <w:tc>
          <w:tcPr>
            <w:tcW w:w="154" w:type="dxa"/>
            <w:tcBorders/>
            <w:vAlign w:val="center"/>
          </w:tcPr>
          <w:p>
            <w:pPr>
              <w:pStyle w:val="TableContents"/>
              <w:bidi w:val="0"/>
              <w:spacing w:before="0" w:after="283"/>
              <w:jc w:val="left"/>
              <w:rPr>
                <w:sz w:val="4"/>
                <w:szCs w:val="4"/>
              </w:rPr>
            </w:pPr>
            <w:r>
              <w:rPr>
                <w:sz w:val="4"/>
                <w:szCs w:val="4"/>
              </w:rPr>
            </w:r>
          </w:p>
        </w:tc>
      </w:tr>
    </w:tbl>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12</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tbl>
      <w:tblPr>
        <w:tblW w:w="9762" w:type="dxa"/>
        <w:jc w:val="left"/>
        <w:tblInd w:w="0" w:type="dxa"/>
        <w:tblLayout w:type="fixed"/>
        <w:tblCellMar>
          <w:top w:w="28" w:type="dxa"/>
          <w:left w:w="28" w:type="dxa"/>
          <w:bottom w:w="28" w:type="dxa"/>
          <w:right w:w="28" w:type="dxa"/>
        </w:tblCellMar>
      </w:tblPr>
      <w:tblGrid>
        <w:gridCol w:w="124"/>
        <w:gridCol w:w="2534"/>
        <w:gridCol w:w="109"/>
        <w:gridCol w:w="684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jc w:val="left"/>
              <w:rPr/>
            </w:pPr>
            <w:r>
              <w:rPr/>
              <w:drawing>
                <wp:inline distT="0" distB="0" distL="0" distR="0">
                  <wp:extent cx="1554480" cy="156083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554480" cy="1560830"/>
                          </a:xfrm>
                          <a:prstGeom prst="rect">
                            <a:avLst/>
                          </a:prstGeom>
                        </pic:spPr>
                      </pic:pic>
                    </a:graphicData>
                  </a:graphic>
                </wp:inline>
              </w:drawing>
            </w:r>
            <w:bookmarkStart w:id="28" w:name="i-27"/>
            <w:bookmarkEnd w:id="28"/>
          </w:p>
          <w:p>
            <w:pPr>
              <w:pStyle w:val="TableContents"/>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Sachin Kansal</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Director Nominee</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Age: 48</w:t>
            </w:r>
          </w:p>
        </w:tc>
        <w:tc>
          <w:tcPr>
            <w:tcW w:w="109"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lineRule="atLeast" w:line="170" w:before="0" w:after="0"/>
              <w:jc w:val="left"/>
              <w:rPr/>
            </w:pPr>
            <w:r>
              <w:rPr>
                <w:rFonts w:ascii="Arial;sans-serif" w:hAnsi="Arial;sans-serif"/>
                <w:b/>
                <w:i w:val="false"/>
                <w:caps w:val="false"/>
                <w:smallCaps w:val="false"/>
                <w:strike w:val="false"/>
                <w:dstrike w:val="false"/>
                <w:sz w:val="17"/>
                <w:u w:val="none"/>
                <w:effect w:val="none"/>
              </w:rPr>
              <w:t>Sachin Kansal</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7"/>
                <w:u w:val="none"/>
                <w:effect w:val="none"/>
              </w:rPr>
              <w:t xml:space="preserve">has served as the Chief Product Officer of Uber Technologies, Inc., a global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technology platform that uses its massive network to power movement, since October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2024, and previously served as Vice President, Product Management from March 2021 to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October 2024, Senior Director of Product Management from September 2018 to February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2021, and Director of Product Management from June 2017 to August 2018. Prior to that,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from May 2015 to June 2017, Mr. Kansal served as Vice President, Consumer Products for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Lookout, Inc., a cybersecurity company. From September 2012 to March 2015, Mr. Kansal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served as the Chief Product Officer for Flywheel Technologies Inc., a company that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develops technologies for riders, taxi drivers, and taxi companies. Before Flywheel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Technologies Inc., from June 2011 to June 2012, Mr. Kansal served as Vice President of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Product at Reputation.com, Inc., a company that provides a reputation experience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management platform that helps businesses monitor reviews. Prior to that, he spent over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nine years at Palm, Inc., a software platform for smart devices, in various product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management roles. Mr. Kansal holds an M.S. degree in Management Science and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Engineering from Stanford University. </w:t>
            </w:r>
          </w:p>
          <w:p>
            <w:pPr>
              <w:pStyle w:val="TableContents"/>
              <w:bidi w:val="0"/>
              <w:spacing w:lineRule="atLeast" w:line="170" w:before="0" w:after="0"/>
              <w:jc w:val="left"/>
              <w:rPr>
                <w:rFonts w:ascii="Arial;sans-serif" w:hAnsi="Arial;sans-serif"/>
                <w:b/>
                <w:i w:val="false"/>
                <w:caps w:val="false"/>
                <w:smallCaps w:val="false"/>
                <w:strike w:val="false"/>
                <w:dstrike w:val="false"/>
                <w:sz w:val="17"/>
                <w:u w:val="none"/>
                <w:effect w:val="none"/>
              </w:rPr>
            </w:pPr>
            <w:r>
              <w:rPr>
                <w:rFonts w:ascii="Arial;sans-serif" w:hAnsi="Arial;sans-serif"/>
                <w:b/>
                <w:i w:val="false"/>
                <w:caps w:val="false"/>
                <w:smallCaps w:val="false"/>
                <w:strike w:val="false"/>
                <w:dstrike w:val="false"/>
                <w:sz w:val="17"/>
                <w:u w:val="none"/>
                <w:effect w:val="none"/>
              </w:rPr>
              <w:t>Skills and Qualifications</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We believe Mr. Kansal is qualified to serve as a director due to his product experience in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the technology and automotive industries.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jc w:val="left"/>
              <w:rPr/>
            </w:pPr>
            <w:r>
              <w:rPr/>
              <w:drawing>
                <wp:inline distT="0" distB="0" distL="0" distR="0">
                  <wp:extent cx="1552575" cy="15525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552575" cy="1552575"/>
                          </a:xfrm>
                          <a:prstGeom prst="rect">
                            <a:avLst/>
                          </a:prstGeom>
                        </pic:spPr>
                      </pic:pic>
                    </a:graphicData>
                  </a:graphic>
                </wp:inline>
              </w:drawing>
            </w:r>
            <w:bookmarkStart w:id="29" w:name="i-28"/>
            <w:bookmarkEnd w:id="29"/>
          </w:p>
          <w:p>
            <w:pPr>
              <w:pStyle w:val="TableContents"/>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Lisa M. Lambert</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Board Member</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Age: 58</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Director Since: 2024 </w:t>
            </w:r>
          </w:p>
        </w:tc>
        <w:tc>
          <w:tcPr>
            <w:tcW w:w="109"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lineRule="atLeast" w:line="170" w:before="0" w:after="0"/>
              <w:jc w:val="left"/>
              <w:rPr/>
            </w:pPr>
            <w:r>
              <w:rPr>
                <w:rFonts w:ascii="Arial;sans-serif" w:hAnsi="Arial;sans-serif"/>
                <w:b/>
                <w:i w:val="false"/>
                <w:caps w:val="false"/>
                <w:smallCaps w:val="false"/>
                <w:strike w:val="false"/>
                <w:dstrike w:val="false"/>
                <w:sz w:val="17"/>
                <w:u w:val="none"/>
                <w:effect w:val="none"/>
              </w:rPr>
              <w:t>Lisa M. Lambert</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7"/>
                <w:u w:val="none"/>
                <w:effect w:val="none"/>
              </w:rPr>
              <w:t xml:space="preserve">has served as a member of our Board of Directors since April 2024.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Between December 2023 and August 2025, Ms. Lambert served as Chief Investment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Officer of Private Markets of George Kaiser Family Foundation, a charitable organization.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Between July 2023 and November 2023, Ms. Lambert served as Interim Chief Executive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Officer of Vital Energy Technology, an entity commercializing digital technologies invented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by Vital Energy, Inc., an independent energy company. Between January 2018 and July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2023, Ms. Lambert served as Chief Technology and Innovation Officer at National Grid Plc,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a multinational electricity and gas utility company, and as Founder and President of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National Grid Partners, the venture and innovation arm of National Grid plc. Ms. Lambert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previously served as Managing Partner of the Westly Group, a venture capital firm, and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spent nearly two decades in senior leadership roles at Intel Corporation. She served on the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board of directors of Vital Energy, Inc. between August 2020 and May 2025, and UL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Solutions, Inc., a global private safety company, between July 2021 and May 2025. Ms.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Lambert has served on the board of directors for several private companies associated with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her investment responsibilities, including Cyolo, a cybersecurity startup, from June 2022 to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June 2023, as well as other technology companies. Ms. Lambert is the founder and chair of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UPWARD, a non-profit advancing the careers of executive women. Ms. Lambert holds a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B.S. in management information systems from Pennsylvania State University and an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M.B.A. from Harvard University.</w:t>
            </w:r>
          </w:p>
          <w:p>
            <w:pPr>
              <w:pStyle w:val="TableContents"/>
              <w:bidi w:val="0"/>
              <w:spacing w:lineRule="atLeast" w:line="170" w:before="0" w:after="0"/>
              <w:jc w:val="left"/>
              <w:rPr>
                <w:rFonts w:ascii="Arial;sans-serif" w:hAnsi="Arial;sans-serif"/>
                <w:b/>
                <w:i w:val="false"/>
                <w:caps w:val="false"/>
                <w:smallCaps w:val="false"/>
                <w:strike w:val="false"/>
                <w:dstrike w:val="false"/>
                <w:sz w:val="17"/>
                <w:u w:val="none"/>
                <w:effect w:val="none"/>
              </w:rPr>
            </w:pPr>
            <w:r>
              <w:rPr>
                <w:rFonts w:ascii="Arial;sans-serif" w:hAnsi="Arial;sans-serif"/>
                <w:b/>
                <w:i w:val="false"/>
                <w:caps w:val="false"/>
                <w:smallCaps w:val="false"/>
                <w:strike w:val="false"/>
                <w:dstrike w:val="false"/>
                <w:sz w:val="17"/>
                <w:u w:val="none"/>
                <w:effect w:val="none"/>
              </w:rPr>
              <w:t>Skills and Qualifications</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We believe Ms. Lambert is qualified to serve as a director due to her extensive experience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overseeing a wide range of public companies and her deep financial knowledge.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jc w:val="left"/>
              <w:rPr/>
            </w:pPr>
            <w:r>
              <w:rPr/>
              <w:drawing>
                <wp:inline distT="0" distB="0" distL="0" distR="0">
                  <wp:extent cx="1552575" cy="15525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552575" cy="1552575"/>
                          </a:xfrm>
                          <a:prstGeom prst="rect">
                            <a:avLst/>
                          </a:prstGeom>
                        </pic:spPr>
                      </pic:pic>
                    </a:graphicData>
                  </a:graphic>
                </wp:inline>
              </w:drawing>
            </w:r>
            <w:bookmarkStart w:id="30" w:name="i-29"/>
            <w:bookmarkEnd w:id="30"/>
          </w:p>
          <w:p>
            <w:pPr>
              <w:pStyle w:val="TableContents"/>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Andrew Liveris</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Board Member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Age: 71</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Director Since: 2019 </w:t>
            </w:r>
          </w:p>
        </w:tc>
        <w:tc>
          <w:tcPr>
            <w:tcW w:w="109"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lineRule="atLeast" w:line="170" w:before="0" w:after="0"/>
              <w:jc w:val="left"/>
              <w:rPr/>
            </w:pPr>
            <w:r>
              <w:rPr>
                <w:rFonts w:ascii="Arial;sans-serif" w:hAnsi="Arial;sans-serif"/>
                <w:b/>
                <w:i w:val="false"/>
                <w:caps w:val="false"/>
                <w:smallCaps w:val="false"/>
                <w:strike w:val="false"/>
                <w:dstrike w:val="false"/>
                <w:sz w:val="17"/>
                <w:u w:val="none"/>
                <w:effect w:val="none"/>
              </w:rPr>
              <w:t>Andrew Liveris</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7"/>
                <w:u w:val="none"/>
                <w:effect w:val="none"/>
              </w:rPr>
              <w:t xml:space="preserve">has served as a member of our Board of Directors since April 2019.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Previously, Mr. Liveris served as the Chairman and Chief Executive Officer of The Dow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Chemical Company, a chemical corporation, from November 2004 to September 2017,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when he transitioned to the Executive Chairman of Dow DuPont Inc., a position he held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until his retirement in July 2018. Mr. Liveris has served on the boards of directors of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International Business Machines Corp., a technology company, since 2010, Saudi Aramco,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an integrated energy and chemicals company, since 2018, and WorleyParsons Limited, an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engineering company, since September 2018. He is also on the advisory board of NEOM,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an initiative driven by Saudi Vision 2030. Furthermore, Mr. Liveris was appointed as the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President of the 2032 Brisbane Olympics and Paralympic Games Organizing Committee.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Mr. Liveris holds a B.S. in Chemical Engineering from the University of Queensland and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received an honorary Ph.D. in Science from his alma mater in 2005.</w:t>
            </w:r>
          </w:p>
          <w:p>
            <w:pPr>
              <w:pStyle w:val="TableContents"/>
              <w:bidi w:val="0"/>
              <w:spacing w:lineRule="atLeast" w:line="170" w:before="0" w:after="0"/>
              <w:jc w:val="left"/>
              <w:rPr>
                <w:rFonts w:ascii="Arial;sans-serif" w:hAnsi="Arial;sans-serif"/>
                <w:b/>
                <w:i w:val="false"/>
                <w:caps w:val="false"/>
                <w:smallCaps w:val="false"/>
                <w:strike w:val="false"/>
                <w:dstrike w:val="false"/>
                <w:sz w:val="17"/>
                <w:u w:val="none"/>
                <w:effect w:val="none"/>
              </w:rPr>
            </w:pPr>
            <w:r>
              <w:rPr>
                <w:rFonts w:ascii="Arial;sans-serif" w:hAnsi="Arial;sans-serif"/>
                <w:b/>
                <w:i w:val="false"/>
                <w:caps w:val="false"/>
                <w:smallCaps w:val="false"/>
                <w:strike w:val="false"/>
                <w:dstrike w:val="false"/>
                <w:sz w:val="17"/>
                <w:u w:val="none"/>
                <w:effect w:val="none"/>
              </w:rPr>
              <w:t>Skills and Qualifications</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We believe Mr. Liveris is qualified to serve as a director due to his decades of experience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leading and overseeing large, complex global industrial enterprises, his knowledge of the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technology, energy and chemical sectors, his extensive public policy expertise and his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experience overseeing our growth as a member of our Board of Directors since 2019.</w:t>
            </w:r>
          </w:p>
        </w:tc>
        <w:tc>
          <w:tcPr>
            <w:tcW w:w="154" w:type="dxa"/>
            <w:tcBorders/>
            <w:vAlign w:val="center"/>
          </w:tcPr>
          <w:p>
            <w:pPr>
              <w:pStyle w:val="TableContents"/>
              <w:bidi w:val="0"/>
              <w:spacing w:before="0" w:after="283"/>
              <w:jc w:val="left"/>
              <w:rPr>
                <w:sz w:val="4"/>
                <w:szCs w:val="4"/>
              </w:rPr>
            </w:pPr>
            <w:r>
              <w:rPr>
                <w:sz w:val="4"/>
                <w:szCs w:val="4"/>
              </w:rPr>
            </w:r>
          </w:p>
        </w:tc>
      </w:tr>
    </w:tbl>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13</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tbl>
      <w:tblPr>
        <w:tblW w:w="9824" w:type="dxa"/>
        <w:jc w:val="left"/>
        <w:tblInd w:w="0" w:type="dxa"/>
        <w:tblLayout w:type="fixed"/>
        <w:tblCellMar>
          <w:top w:w="28" w:type="dxa"/>
          <w:left w:w="28" w:type="dxa"/>
          <w:bottom w:w="28" w:type="dxa"/>
          <w:right w:w="28" w:type="dxa"/>
        </w:tblCellMar>
      </w:tblPr>
      <w:tblGrid>
        <w:gridCol w:w="124"/>
        <w:gridCol w:w="2656"/>
        <w:gridCol w:w="109"/>
        <w:gridCol w:w="678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0"/>
              <w:jc w:val="left"/>
              <w:rPr/>
            </w:pPr>
            <w:r>
              <w:rPr/>
              <w:drawing>
                <wp:inline distT="0" distB="0" distL="0" distR="0">
                  <wp:extent cx="1552575" cy="15525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552575" cy="1552575"/>
                          </a:xfrm>
                          <a:prstGeom prst="rect">
                            <a:avLst/>
                          </a:prstGeom>
                        </pic:spPr>
                      </pic:pic>
                    </a:graphicData>
                  </a:graphic>
                </wp:inline>
              </w:drawing>
            </w:r>
            <w:bookmarkStart w:id="31" w:name="i-30"/>
            <w:bookmarkEnd w:id="31"/>
          </w:p>
          <w:p>
            <w:pPr>
              <w:pStyle w:val="TableContents"/>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 xml:space="preserve">Nichelle Maynard- </w:t>
            </w:r>
          </w:p>
          <w:p>
            <w:pPr>
              <w:pStyle w:val="TableContents"/>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Elliott</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Board Member</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Age: 57</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Director Since: 2021</w:t>
            </w:r>
          </w:p>
        </w:tc>
        <w:tc>
          <w:tcPr>
            <w:tcW w:w="109"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lineRule="atLeast" w:line="170" w:before="0" w:after="0"/>
              <w:jc w:val="left"/>
              <w:rPr/>
            </w:pPr>
            <w:r>
              <w:rPr>
                <w:rFonts w:ascii="Arial;sans-serif" w:hAnsi="Arial;sans-serif"/>
                <w:b/>
                <w:i w:val="false"/>
                <w:caps w:val="false"/>
                <w:smallCaps w:val="false"/>
                <w:strike w:val="false"/>
                <w:dstrike w:val="false"/>
                <w:sz w:val="17"/>
                <w:u w:val="none"/>
                <w:effect w:val="none"/>
              </w:rPr>
              <w:t>Nichelle Maynard-Elliott</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7"/>
                <w:u w:val="none"/>
                <w:effect w:val="none"/>
              </w:rPr>
              <w:t xml:space="preserve">has been a member of our Board of Directors since July 2021.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Ms. Maynard-Elliott has served as the Founder and CEO of Dunamis Transaction Advisors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LLC, a consultancy firm, since November 2019. She previously served as the Executive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Director, M&amp;A, for Praxair, Inc., a leading industrial gas and engineering company, from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July 2011 to May 2019, and as Assistant General Counsel and Senior Counsel at Praxair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from July 2007 to 2011 and 2003 to 2007, respectively. Ms. Maynard-Elliott has served on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the board of directors of Xerox Holdings Corporation, a workplace technology company,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since May 2021, and served as a director of Element Solutions Inc., a specialty chemicals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company, from August 2018 to June 2024. Ms. Maynard-Elliott has served as trustee of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The Advisors’ Inner Circle Fund III, including five of its affiliated funds. She holds a B.A. in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Economics from Brown University and a J.D. from Columbia University School of Law.</w:t>
            </w:r>
          </w:p>
          <w:p>
            <w:pPr>
              <w:pStyle w:val="TableContents"/>
              <w:bidi w:val="0"/>
              <w:spacing w:lineRule="atLeast" w:line="170" w:before="0" w:after="0"/>
              <w:jc w:val="left"/>
              <w:rPr>
                <w:rFonts w:ascii="Arial;sans-serif" w:hAnsi="Arial;sans-serif"/>
                <w:b/>
                <w:i w:val="false"/>
                <w:caps w:val="false"/>
                <w:smallCaps w:val="false"/>
                <w:strike w:val="false"/>
                <w:dstrike w:val="false"/>
                <w:sz w:val="17"/>
                <w:u w:val="none"/>
                <w:effect w:val="none"/>
              </w:rPr>
            </w:pPr>
            <w:r>
              <w:rPr>
                <w:rFonts w:ascii="Arial;sans-serif" w:hAnsi="Arial;sans-serif"/>
                <w:b/>
                <w:i w:val="false"/>
                <w:caps w:val="false"/>
                <w:smallCaps w:val="false"/>
                <w:strike w:val="false"/>
                <w:dstrike w:val="false"/>
                <w:sz w:val="17"/>
                <w:u w:val="none"/>
                <w:effect w:val="none"/>
              </w:rPr>
              <w:t>Skills and Qualifications</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We believe Ms. Maynard-Elliott is qualified to serve as a director because of her experience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overseeing complex enterprises as a public company director, her experience evaluating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business strategies and investment opportunities, and her extensive legal and financial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management expertise.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0"/>
              <w:jc w:val="left"/>
              <w:rPr/>
            </w:pPr>
            <w:r>
              <w:rPr/>
              <w:drawing>
                <wp:inline distT="0" distB="0" distL="0" distR="0">
                  <wp:extent cx="1554480" cy="157670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554480" cy="1576705"/>
                          </a:xfrm>
                          <a:prstGeom prst="rect">
                            <a:avLst/>
                          </a:prstGeom>
                        </pic:spPr>
                      </pic:pic>
                    </a:graphicData>
                  </a:graphic>
                </wp:inline>
              </w:drawing>
            </w:r>
            <w:bookmarkStart w:id="32" w:name="i-31"/>
            <w:bookmarkEnd w:id="32"/>
          </w:p>
          <w:p>
            <w:pPr>
              <w:pStyle w:val="TableContents"/>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Silvio Napoli</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Board Member</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Age: 60</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Director Since: 2026</w:t>
            </w:r>
          </w:p>
        </w:tc>
        <w:tc>
          <w:tcPr>
            <w:tcW w:w="109"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lineRule="atLeast" w:line="170" w:before="0" w:after="0"/>
              <w:jc w:val="left"/>
              <w:rPr/>
            </w:pPr>
            <w:r>
              <w:rPr>
                <w:rFonts w:ascii="Arial;sans-serif" w:hAnsi="Arial;sans-serif"/>
                <w:b/>
                <w:i w:val="false"/>
                <w:caps w:val="false"/>
                <w:smallCaps w:val="false"/>
                <w:strike w:val="false"/>
                <w:dstrike w:val="false"/>
                <w:sz w:val="17"/>
                <w:u w:val="none"/>
                <w:effect w:val="none"/>
              </w:rPr>
              <w:t>Silvio Napoli</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7"/>
                <w:u w:val="none"/>
                <w:effect w:val="none"/>
              </w:rPr>
              <w:t xml:space="preserve">has served as a member of our Board of Directors since April 2026. Prior to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joining Lucid Group, Inc., Silvio Napoli served as the Chairman of the Board of Directors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and Chief Executive Officer from January 2022 to March 2025 of Schindler Group, one of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the world’s leading industrial technology companies, where he was the group’s Executive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Chairman from April 2017 to December 2021 and Chief Executive Officer from January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2014 to March 2016. Mr. Napoli joined the Schindler Group in 1994 and has served in a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number of leadership roles, including Director of Corporate Development, President and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Chief Executive Officer of Schindler India and President of Asia-Pacific. Prior to Schindler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Group, he spent four years with The Dow Chemical Company in Germany. Mr. Napoli has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served as a member on the Board of Directors of Eaton Corporation plc since 2019, where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he serves as the Chair of the Innovation &amp; Technology Committee. From 2019 to 2022, Mr.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Napoli was the Chairman and President of the Board of Directors of the Swiss-American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Chamber of Commerce, Zurich (Switzerland), advocating for Swiss, American and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multinational business interests. Mr. Napoli holds an MBA from Harvard Business School,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which he earned as a Fulbright Scholar, and a Master of Engineering degree in Materials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Science from the Swiss Federal Institute of Technology, Lausanne, Switzerland. </w:t>
            </w:r>
          </w:p>
          <w:p>
            <w:pPr>
              <w:pStyle w:val="TableContents"/>
              <w:bidi w:val="0"/>
              <w:spacing w:lineRule="atLeast" w:line="170" w:before="0" w:after="0"/>
              <w:jc w:val="left"/>
              <w:rPr>
                <w:rFonts w:ascii="Arial;sans-serif" w:hAnsi="Arial;sans-serif"/>
                <w:b/>
                <w:i w:val="false"/>
                <w:caps w:val="false"/>
                <w:smallCaps w:val="false"/>
                <w:strike w:val="false"/>
                <w:dstrike w:val="false"/>
                <w:sz w:val="17"/>
                <w:u w:val="none"/>
                <w:effect w:val="none"/>
              </w:rPr>
            </w:pPr>
            <w:r>
              <w:rPr>
                <w:rFonts w:ascii="Arial;sans-serif" w:hAnsi="Arial;sans-serif"/>
                <w:b/>
                <w:i w:val="false"/>
                <w:caps w:val="false"/>
                <w:smallCaps w:val="false"/>
                <w:strike w:val="false"/>
                <w:dstrike w:val="false"/>
                <w:sz w:val="17"/>
                <w:u w:val="none"/>
                <w:effect w:val="none"/>
              </w:rPr>
              <w:t>Skills and Qualifications</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We believe Mr. Napoli is qualified to serve as a director because of his role as our incoming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Chief Executive Officer, as well as his extensive operational expertise in the industrial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technology sector.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0"/>
              <w:jc w:val="left"/>
              <w:rPr/>
            </w:pPr>
            <w:r>
              <w:rPr/>
              <w:drawing>
                <wp:inline distT="0" distB="0" distL="0" distR="0">
                  <wp:extent cx="1552575" cy="15525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552575" cy="1552575"/>
                          </a:xfrm>
                          <a:prstGeom prst="rect">
                            <a:avLst/>
                          </a:prstGeom>
                        </pic:spPr>
                      </pic:pic>
                    </a:graphicData>
                  </a:graphic>
                </wp:inline>
              </w:drawing>
            </w:r>
            <w:bookmarkStart w:id="33" w:name="i-32"/>
            <w:bookmarkEnd w:id="33"/>
          </w:p>
          <w:p>
            <w:pPr>
              <w:pStyle w:val="TableContents"/>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Chabi Nouri</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Board Member</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Age: 52</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Director Since: 2023</w:t>
            </w:r>
          </w:p>
        </w:tc>
        <w:tc>
          <w:tcPr>
            <w:tcW w:w="109"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lineRule="atLeast" w:line="170" w:before="0" w:after="0"/>
              <w:jc w:val="left"/>
              <w:rPr/>
            </w:pPr>
            <w:r>
              <w:rPr>
                <w:rFonts w:ascii="Arial;sans-serif" w:hAnsi="Arial;sans-serif"/>
                <w:b/>
                <w:i w:val="false"/>
                <w:caps w:val="false"/>
                <w:smallCaps w:val="false"/>
                <w:strike w:val="false"/>
                <w:dstrike w:val="false"/>
                <w:sz w:val="17"/>
                <w:u w:val="none"/>
                <w:effect w:val="none"/>
              </w:rPr>
              <w:t>Chabi Nouri</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7"/>
                <w:u w:val="none"/>
                <w:effect w:val="none"/>
              </w:rPr>
              <w:t xml:space="preserve">has been a member of our Board of Directors since April 2023. Ms. Nouri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served as the Chief Executive Officer of Bonhams, an international auction house, between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October 2024 and October 2025. Ms. Nouri previously served as co-manager of a private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equity fund focused on the Lifestyle, Impact, Innovation franchise within Mirabaud Asset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Management since March 2022. Prior to that, she served as the global Chief Executive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Officer at Piaget SA, a luxury watch and jewelry brand, from April 2017 to June 2021 and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as Piaget SA’s Chief Marketing Officer from October 2014 to March 2017. Prior to Piaget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SA, Ms. Nouri served in various leadership positions at British American Tobacco Plc, a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multinational tobacco company, where she led globally the Vogue Cigarettes brand, and at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Cartier International SNC, a luxury-goods conglomerate, in merchandising, retail and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product development, where she led globally High Jewellery and Creative Jewellery. Ms.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Nouri has served as a non-executive director of Watches of Switzerland Group PLC, a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luxury watch retailer, since May 2022. She holds an M.A. in Marketing and Economics from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the University of Fribourg and has earned certificates from the Massachusetts Institute of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Technology on the Digital Future and the International Institute for Management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Development on ESG.</w:t>
            </w:r>
          </w:p>
          <w:p>
            <w:pPr>
              <w:pStyle w:val="TableContents"/>
              <w:bidi w:val="0"/>
              <w:spacing w:lineRule="atLeast" w:line="170" w:before="0" w:after="0"/>
              <w:jc w:val="left"/>
              <w:rPr>
                <w:rFonts w:ascii="Arial;sans-serif" w:hAnsi="Arial;sans-serif"/>
                <w:b/>
                <w:i w:val="false"/>
                <w:caps w:val="false"/>
                <w:smallCaps w:val="false"/>
                <w:strike w:val="false"/>
                <w:dstrike w:val="false"/>
                <w:sz w:val="17"/>
                <w:u w:val="none"/>
                <w:effect w:val="none"/>
              </w:rPr>
            </w:pPr>
            <w:r>
              <w:rPr>
                <w:rFonts w:ascii="Arial;sans-serif" w:hAnsi="Arial;sans-serif"/>
                <w:b/>
                <w:i w:val="false"/>
                <w:caps w:val="false"/>
                <w:smallCaps w:val="false"/>
                <w:strike w:val="false"/>
                <w:dstrike w:val="false"/>
                <w:sz w:val="17"/>
                <w:u w:val="none"/>
                <w:effect w:val="none"/>
              </w:rPr>
              <w:t>Skills and Qualifications</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We believe Ms. Nouri is qualified to serve as a director because of her extensive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experience in the luxury and consumer goods industries through her various roles at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leading international luxury brands.</w:t>
            </w:r>
          </w:p>
        </w:tc>
        <w:tc>
          <w:tcPr>
            <w:tcW w:w="154" w:type="dxa"/>
            <w:tcBorders/>
            <w:vAlign w:val="center"/>
          </w:tcPr>
          <w:p>
            <w:pPr>
              <w:pStyle w:val="TableContents"/>
              <w:bidi w:val="0"/>
              <w:spacing w:before="0" w:after="283"/>
              <w:jc w:val="left"/>
              <w:rPr>
                <w:sz w:val="4"/>
                <w:szCs w:val="4"/>
              </w:rPr>
            </w:pPr>
            <w:r>
              <w:rPr>
                <w:sz w:val="4"/>
                <w:szCs w:val="4"/>
              </w:rPr>
            </w:r>
          </w:p>
        </w:tc>
      </w:tr>
    </w:tbl>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14</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tbl>
      <w:tblPr>
        <w:tblW w:w="9699" w:type="dxa"/>
        <w:jc w:val="left"/>
        <w:tblInd w:w="0" w:type="dxa"/>
        <w:tblLayout w:type="fixed"/>
        <w:tblCellMar>
          <w:top w:w="28" w:type="dxa"/>
          <w:left w:w="28" w:type="dxa"/>
          <w:bottom w:w="28" w:type="dxa"/>
          <w:right w:w="28" w:type="dxa"/>
        </w:tblCellMar>
      </w:tblPr>
      <w:tblGrid>
        <w:gridCol w:w="124"/>
        <w:gridCol w:w="2531"/>
        <w:gridCol w:w="109"/>
        <w:gridCol w:w="678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0"/>
              <w:jc w:val="left"/>
              <w:rPr/>
            </w:pPr>
            <w:r>
              <w:rPr/>
              <w:drawing>
                <wp:inline distT="0" distB="0" distL="0" distR="0">
                  <wp:extent cx="1552575" cy="15525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552575" cy="1552575"/>
                          </a:xfrm>
                          <a:prstGeom prst="rect">
                            <a:avLst/>
                          </a:prstGeom>
                        </pic:spPr>
                      </pic:pic>
                    </a:graphicData>
                  </a:graphic>
                </wp:inline>
              </w:drawing>
            </w:r>
            <w:bookmarkStart w:id="34" w:name="i-33"/>
            <w:bookmarkEnd w:id="34"/>
          </w:p>
          <w:p>
            <w:pPr>
              <w:pStyle w:val="TableContents"/>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Ori Winitzer</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Board Member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Age: 50</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Director Since: 2023 </w:t>
            </w:r>
          </w:p>
        </w:tc>
        <w:tc>
          <w:tcPr>
            <w:tcW w:w="109"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lineRule="atLeast" w:line="170" w:before="0" w:after="0"/>
              <w:jc w:val="left"/>
              <w:rPr/>
            </w:pPr>
            <w:r>
              <w:rPr>
                <w:rFonts w:ascii="Arial;sans-serif" w:hAnsi="Arial;sans-serif"/>
                <w:b/>
                <w:i w:val="false"/>
                <w:caps w:val="false"/>
                <w:smallCaps w:val="false"/>
                <w:strike w:val="false"/>
                <w:dstrike w:val="false"/>
                <w:sz w:val="17"/>
                <w:u w:val="none"/>
                <w:effect w:val="none"/>
              </w:rPr>
              <w:t xml:space="preserve">Ori Winitzer </w:t>
            </w:r>
            <w:r>
              <w:rPr>
                <w:rFonts w:ascii="Arial;sans-serif" w:hAnsi="Arial;sans-serif"/>
                <w:b w:val="false"/>
                <w:i w:val="false"/>
                <w:caps w:val="false"/>
                <w:smallCaps w:val="false"/>
                <w:strike w:val="false"/>
                <w:dstrike w:val="false"/>
                <w:sz w:val="17"/>
                <w:u w:val="none"/>
                <w:effect w:val="none"/>
              </w:rPr>
              <w:t xml:space="preserve">has been a member of our Board of Directors since April 2023. Mr. Winitzer is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a founding member and has served as Partner of Integrated Media Company, a TPG Inc.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platform dedicated to the digital media ecosystem, since October 2018. He previously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served as Senior Managing Director at Guggenheim Partners, a global investment and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advisory firm, from July 2017 to September 2018, where he led the digital media practice.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Prior to Guggenheim Partners, Mr. Winitzer served in various investment banking positions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at LionTree LLC, a boutique investment and merchant bank that focus on the technology,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media and telecommunications industries, and Rothschild &amp; Co, a multinational private and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alternative assets investor. Mr. Winitzer holds a B.A. in History and French from the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University of Wisconsin — Madison and an M.B.A. from Columbia University.</w:t>
            </w:r>
          </w:p>
          <w:p>
            <w:pPr>
              <w:pStyle w:val="TableContents"/>
              <w:bidi w:val="0"/>
              <w:spacing w:lineRule="atLeast" w:line="170" w:before="0" w:after="0"/>
              <w:jc w:val="left"/>
              <w:rPr>
                <w:rFonts w:ascii="Arial;sans-serif" w:hAnsi="Arial;sans-serif"/>
                <w:b/>
                <w:i w:val="false"/>
                <w:caps w:val="false"/>
                <w:smallCaps w:val="false"/>
                <w:strike w:val="false"/>
                <w:dstrike w:val="false"/>
                <w:sz w:val="17"/>
                <w:u w:val="none"/>
                <w:effect w:val="none"/>
              </w:rPr>
            </w:pPr>
            <w:r>
              <w:rPr>
                <w:rFonts w:ascii="Arial;sans-serif" w:hAnsi="Arial;sans-serif"/>
                <w:b/>
                <w:i w:val="false"/>
                <w:caps w:val="false"/>
                <w:smallCaps w:val="false"/>
                <w:strike w:val="false"/>
                <w:dstrike w:val="false"/>
                <w:sz w:val="17"/>
                <w:u w:val="none"/>
                <w:effect w:val="none"/>
              </w:rPr>
              <w:t>Skills and Qualifications</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 xml:space="preserve">We believe Mr. Winitzer is qualified to serve as a director due to his extensive experience in </w:t>
            </w:r>
          </w:p>
          <w:p>
            <w:pPr>
              <w:pStyle w:val="TableContents"/>
              <w:bidi w:val="0"/>
              <w:spacing w:lineRule="atLeast" w:line="170" w:before="0" w:after="0"/>
              <w:jc w:val="left"/>
              <w:rPr>
                <w:rFonts w:ascii="Arial;sans-serif" w:hAnsi="Arial;sans-serif"/>
                <w:b w:val="false"/>
                <w:i w:val="false"/>
                <w:caps w:val="false"/>
                <w:smallCaps w:val="false"/>
                <w:strike w:val="false"/>
                <w:dstrike w:val="false"/>
                <w:sz w:val="17"/>
                <w:u w:val="none"/>
                <w:effect w:val="none"/>
              </w:rPr>
            </w:pPr>
            <w:r>
              <w:rPr>
                <w:rFonts w:ascii="Arial;sans-serif" w:hAnsi="Arial;sans-serif"/>
                <w:b w:val="false"/>
                <w:i w:val="false"/>
                <w:caps w:val="false"/>
                <w:smallCaps w:val="false"/>
                <w:strike w:val="false"/>
                <w:dstrike w:val="false"/>
                <w:sz w:val="17"/>
                <w:u w:val="none"/>
                <w:effect w:val="none"/>
              </w:rPr>
              <w:t>investment and advisory roles as well as his deep financial knowledge.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VOTE REQUIRED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 the election of directors, the nine nominees receiving the most “For” votes from the holders of shares present at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Annual Meeting or represented by proxy and entitled to vote on Proposal No. 1 will be elected as directors to hold office until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2027 Annual Meeting and until their respective successors are duly elected and qualified, or, if sooner, until the director’s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death, resignation or removal. Only votes “For” or “Withheld” will affect the outcome. Broker non-votes will have no effect.</w:t>
      </w:r>
    </w:p>
    <w:tbl>
      <w:tblPr>
        <w:tblW w:w="6376" w:type="dxa"/>
        <w:jc w:val="left"/>
        <w:tblInd w:w="0" w:type="dxa"/>
        <w:tblLayout w:type="fixed"/>
        <w:tblCellMar>
          <w:top w:w="28" w:type="dxa"/>
          <w:left w:w="28" w:type="dxa"/>
          <w:bottom w:w="28" w:type="dxa"/>
          <w:right w:w="28" w:type="dxa"/>
        </w:tblCellMar>
      </w:tblPr>
      <w:tblGrid>
        <w:gridCol w:w="6376"/>
      </w:tblGrid>
      <w:tr>
        <w:trPr/>
        <w:tc>
          <w:tcPr>
            <w:tcW w:w="6376" w:type="dxa"/>
            <w:tcBorders/>
            <w:vAlign w:val="center"/>
          </w:tcPr>
          <w:p>
            <w:pPr>
              <w:pStyle w:val="TableContents"/>
              <w:bidi w:val="0"/>
              <w:spacing w:before="0" w:after="283"/>
              <w:jc w:val="left"/>
              <w:rPr>
                <w:sz w:val="4"/>
                <w:szCs w:val="4"/>
              </w:rPr>
            </w:pPr>
            <w:r>
              <w:rPr>
                <w:sz w:val="4"/>
                <w:szCs w:val="4"/>
              </w:rPr>
            </w:r>
          </w:p>
        </w:tc>
      </w:tr>
      <w:tr>
        <w:trPr/>
        <w:tc>
          <w:tcPr>
            <w:tcW w:w="6376" w:type="dxa"/>
            <w:tcBorders/>
            <w:shd w:fill="000000" w:val="clear"/>
            <w:vAlign w:val="center"/>
          </w:tcPr>
          <w:p>
            <w:pPr>
              <w:pStyle w:val="TableContents"/>
              <w:bidi w:val="0"/>
              <w:spacing w:before="0" w:after="283"/>
              <w:jc w:val="left"/>
              <w:rPr>
                <w:sz w:val="4"/>
                <w:szCs w:val="4"/>
              </w:rPr>
            </w:pPr>
            <w:r>
              <w:rPr>
                <w:sz w:val="4"/>
                <w:szCs w:val="4"/>
              </w:rPr>
            </w:r>
          </w:p>
        </w:tc>
      </w:tr>
      <w:tr>
        <w:trPr/>
        <w:tc>
          <w:tcPr>
            <w:tcW w:w="6376" w:type="dxa"/>
            <w:tcBorders/>
            <w:shd w:fill="000000" w:val="clear"/>
            <w:vAlign w:val="center"/>
          </w:tcPr>
          <w:p>
            <w:pPr>
              <w:pStyle w:val="TableContents"/>
              <w:bidi w:val="0"/>
              <w:spacing w:lineRule="atLeast" w:line="240" w:before="0" w:after="0"/>
              <w:jc w:val="left"/>
              <w:rPr>
                <w:rFonts w:ascii="Arial;sans-serif" w:hAnsi="Arial;sans-serif"/>
                <w:b/>
                <w:i w:val="false"/>
                <w:caps w:val="false"/>
                <w:smallCaps w:val="false"/>
                <w:strike w:val="false"/>
                <w:dstrike w:val="false"/>
                <w:color w:val="FEFEFE"/>
                <w:sz w:val="24"/>
                <w:u w:val="none"/>
                <w:effect w:val="none"/>
              </w:rPr>
            </w:pPr>
            <w:r>
              <w:rPr>
                <w:rFonts w:ascii="Arial;sans-serif" w:hAnsi="Arial;sans-serif"/>
                <w:b/>
                <w:i w:val="false"/>
                <w:caps w:val="false"/>
                <w:smallCaps w:val="false"/>
                <w:strike w:val="false"/>
                <w:dstrike w:val="false"/>
                <w:color w:val="FEFEFE"/>
                <w:sz w:val="24"/>
                <w:u w:val="none"/>
                <w:effect w:val="none"/>
              </w:rPr>
              <w:t xml:space="preserve">THE BOARD OF DIRECTORS RECOMMENDS A VOTE </w:t>
            </w:r>
          </w:p>
          <w:p>
            <w:pPr>
              <w:pStyle w:val="TableContents"/>
              <w:bidi w:val="0"/>
              <w:spacing w:lineRule="atLeast" w:line="240" w:before="0" w:after="0"/>
              <w:jc w:val="left"/>
              <w:rPr>
                <w:caps w:val="false"/>
                <w:smallCaps w:val="false"/>
                <w:strike w:val="false"/>
                <w:dstrike w:val="false"/>
                <w:color w:val="FEFEFE"/>
                <w:u w:val="none"/>
                <w:effect w:val="none"/>
              </w:rPr>
            </w:pPr>
            <w:r>
              <w:rPr>
                <w:caps w:val="false"/>
                <w:smallCaps w:val="false"/>
                <w:strike w:val="false"/>
                <w:dstrike w:val="false"/>
                <w:color w:val="FEFEFE"/>
                <w:u w:val="none"/>
                <w:effect w:val="none"/>
              </w:rPr>
              <w:t>“</w:t>
            </w:r>
            <w:r>
              <w:rPr>
                <w:rFonts w:ascii="Arial;sans-serif" w:hAnsi="Arial;sans-serif"/>
                <w:b/>
                <w:i w:val="false"/>
                <w:caps w:val="false"/>
                <w:smallCaps w:val="false"/>
                <w:strike w:val="false"/>
                <w:dstrike w:val="false"/>
                <w:color w:val="FEFEFE"/>
                <w:sz w:val="24"/>
                <w:u w:val="none"/>
                <w:effect w:val="none"/>
              </w:rPr>
              <w:t xml:space="preserve">FOR” EACH NAMED DIRECTOR NOMINEE </w:t>
            </w:r>
          </w:p>
          <w:p>
            <w:pPr>
              <w:pStyle w:val="TableContents"/>
              <w:bidi w:val="0"/>
              <w:spacing w:lineRule="atLeast" w:line="240" w:before="0" w:after="0"/>
              <w:jc w:val="left"/>
              <w:rPr>
                <w:rFonts w:ascii="Arial;sans-serif" w:hAnsi="Arial;sans-serif"/>
                <w:b/>
                <w:i w:val="false"/>
                <w:caps w:val="false"/>
                <w:smallCaps w:val="false"/>
                <w:strike w:val="false"/>
                <w:dstrike w:val="false"/>
                <w:color w:val="FEFEFE"/>
                <w:sz w:val="24"/>
                <w:u w:val="none"/>
                <w:effect w:val="none"/>
              </w:rPr>
            </w:pPr>
            <w:r>
              <w:rPr>
                <w:rFonts w:ascii="Arial;sans-serif" w:hAnsi="Arial;sans-serif"/>
                <w:b/>
                <w:i w:val="false"/>
                <w:caps w:val="false"/>
                <w:smallCaps w:val="false"/>
                <w:strike w:val="false"/>
                <w:dstrike w:val="false"/>
                <w:color w:val="FEFEFE"/>
                <w:sz w:val="24"/>
                <w:u w:val="none"/>
                <w:effect w:val="none"/>
              </w:rPr>
              <w:t>(PROPOSAL NO. 1)</w:t>
            </w:r>
          </w:p>
        </w:tc>
      </w:tr>
      <w:tr>
        <w:trPr/>
        <w:tc>
          <w:tcPr>
            <w:tcW w:w="6376" w:type="dxa"/>
            <w:tcBorders/>
            <w:shd w:fill="000000" w:val="clear"/>
            <w:vAlign w:val="center"/>
          </w:tcPr>
          <w:p>
            <w:pPr>
              <w:pStyle w:val="TableContents"/>
              <w:bidi w:val="0"/>
              <w:spacing w:before="0" w:after="283"/>
              <w:jc w:val="left"/>
              <w:rPr>
                <w:sz w:val="4"/>
                <w:szCs w:val="4"/>
              </w:rPr>
            </w:pPr>
            <w:r>
              <w:rPr>
                <w:sz w:val="4"/>
                <w:szCs w:val="4"/>
              </w:rPr>
            </w:r>
          </w:p>
        </w:tc>
      </w:tr>
    </w:tbl>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15</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Information Regarding the Board of Directors and Corporate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Governance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This section describes key corporate governance guidelines and practices that we have adopted. Complete copies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Corporate Governance Guidelines, the charters of the committees of the Board and our Code of Business Conduct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Ethics, described below, can be found in the Governance section of the Investors section of our website at https://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ir.lucidmotors.com/ governance/documents-and-charters. Alternatively, you can request a copy of any of these documents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free of charge by writing to: Corporate Secretary at Lucid Group, Inc., 7373 Gateway Boulevard, Newark, CA 94560.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Information on or accessible through our website is not incorporated by reference in this Proxy Statement.</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CONTROLLED COMPANY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Common Stock is listed on The Nasdaq Stock Market LLC (“Nasdaq”). As Ayar controls more than 50% of our combined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voting power, we are a “controlled company” for purposes of Nasdaq’s rules and corporate governance standards and, as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result, qualify for exemptions from certain corporate governance requirements. Although, as of the date of this Proxy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Statement, we do not utilize any of these exemptions, we may elect to utilize one or more of these exemptions for so long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remain a “controlled company.” In the event that we cease to be a “controlled company” and our shares continue to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listed on Nasdaq, we will be required to comply with Nasdaq’s rules and corporate governance standards for non-controlled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companies within the applicable transition periods.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BOARD COMPOSITION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Board of Directors consists of nine members. Turqi Alnowaiser is the Chairman of our Board. The primary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responsibilities of our Board are to provide oversight, strategic guidance, counseling and direction to management.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Board meets on a regular basis and additionally as required. In accordance with the Investor Rights Agreement, Turqi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Alnowaiser, Douglas Grimm, Andrew Liveris, Nichelle Maynard-Elliott and Ori Winitzer were designated for nomination by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Ayar to the Board of Directors and nominated by the Nominating and Corporate Governance Committee and the Board.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All directors will be elected at each annual meeting of our stockholders. Each director’s term continues until the election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qualification of their successor, or such director’s earlier death, resignation or removal.</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DIRECTOR INDEPENDENCE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has affirmatively determined that all of the nominees, other than Silvio Napoli, are independent directors within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meaning of the applicable Nasdaq listing standards and that each such nominee is free of any relationship that would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impair his or her individual exercise of independent judgment with regard to our Company (the “Independent Directors”).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making these determinations, our Board of Directors considered the current and prior relationships that each Independent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Director has with our Company and all other facts and circumstances our Board of Directors deemed relevant in determining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their independence, including the beneficial ownership of our capital stock by each Independent Director, and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transactions involving them described in the section entitled “Certain Relationships and Related Party Transactions.” There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are no family relationships among any current director, director nominee and/or any of our executive officers.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BOARD LEADERSHIP STRUCTURE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reviews its leadership structure periodically as part of its annual self-assessment process. In addition, the Board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continues to monitor developments in corporate governance as well as the approaches our peers undertake.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believes that it is important to retain the flexibility to allocate the responsibilities of the offices of Chairman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Board and Chief Executive Officer in any manner that it determines to be in the best interests of the Company at any point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time. Our Chairman of the Board is currently Turqi Alnowaiser. The Chairman of the Board and our Interim Chief Executive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Officer are currently separate. Our Board of Directors does not currently have a policy as to whether the role of Chairman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and the Chief Executive Officer should be separate. Our Board of Directors believes that the Company and its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stockholders are best served by maintaining the flexibility to determine whether the Chairman of the Board and Chief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Executive Officer positions should be separated or combined at a given point in time in order to provide appropriate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leadership for us at that time. At any time the Company is not availing itself of the “controlled company” exemptions under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Nasdaq rules, in order to maintain the independent integrity of the Board, if the Chairman of the Board is not an independent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director, the Board shall appoint a lead director who must be independent. Our Corporate Governance Guidelines note that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all directors are elected by the stockholders and all have an equal voice. The Chairman of the Board and the Chief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16</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Executive Officer are free, as is the Board of Directors as a whole, to call upon any one or more directors to provide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leadership in a given situation should a special need arise.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Additionally, pursuant to the Investor Rights Agreement, and subject to Ayar’s continued beneficial ownership of specified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amounts of our Common Stock (as described above), Ayar is entitled to select the Chairman of the Board.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of Directors, including each of its committees, also has complete and open access to any member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Company’s management and the authority to retain independent advisors as the Board or such committee deems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appropriate. In addition, all members of the Audit Committee, the Nominating and Corporate Governance Committee and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and Human Capital Committee are Independent Directors, and the committee chairs have authority to hold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executive sessions without management and non-Independent Directors present.</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ROLE OF THE BOARD IN RISK OVERSIGHT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One of the Board’s key functions is informed oversight of our risk management process. The Board believes that its current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leadership structure facilitates its risk oversight responsibilities. In particular, the Board believes the majority-independent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Board and independent Board committees provide a well-functioning and effective balance to an experienced Chief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Executive Officer. The Board administers this oversight function directly through the Board as a whole, as well as through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various Board committees that address risks inherent in their respective areas of oversight. For example, the Board acts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ultimate decision-making body of the Company and advises and oversees management, who is responsible for the day-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to-day operations and management of the Company. The Audit Committee monitors compliance with legal and regulatory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requirements, monitors product safety, cybersecurity, artificial intelligence, and privacy risks, and reviews our policies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practices with respect to risk assessment and risk management, including discussing with management our major financial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risk exposures and the steps that have been taken to monitor and control such exposures. The Nominating and Corporate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Governance Committee oversees the evaluation of the Board and its committees, as well as the effectiveness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Corporate Governance Guidelines and other related policies and programs.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assesses and monitors risks arising from the Company’s employee compensation policies and practices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employee benefits programs, including whether any such policies or programs could encourage excessive risk</w:t>
        <w:noBreakHyphen/>
        <w:t>taking.</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It is the responsibility of the committee chairs to report findings regarding material risk exposures to the Board as quickly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possible. Our Interim Chief Executive Officer, Chief Financial Officer, and General Counsel coordinate between the Board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management with regard to the determination and implementation of responses to any risk management issues. </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MEETINGS OF THE BOARD OF DIRECTORS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oversees our business. It establishes overall policies and standards and reviews the performance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management. During the fiscal year ended December 31, 2025, the Board held nine meetings. Each Board member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attended 80% or more of the aggregate meetings of the Board and of the committees on which they served during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period for which they were a director or committee member. Our directors are encouraged to attend our annual meetings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stockholders, but we do not currently have a policy relating to director attendance. Douglas Grimm, Lisa M. Lambert,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Nichelle Maynard-Elliott, Chabi Nouri and Janet S. Wong, as representatives of the Board, attended the 2025 Annual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Meeting of Stockholders.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Independent Directors meet from time to time in executive session. The Board and each of our standing independent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committees typically hold an executive session of non-management directors (all of whom are Independent Directors) as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part of every regularly scheduled quarterly meeting.</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INFORMATION REGARDING COMMITTEES OF THE BOARD OF DIRECTORS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has a number of committees that perform certain functions for the Board. The current committees of the Board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are the Audit Committee, the Compensation and Human Capital Committee, the Nominating and Corporate Governance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and the Executive Committee. Below is a description of each committee of the Board. Each of the committees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has authority to engage legal counsel or other experts or consultants, as it deems appropriate to carry out its responsibilities.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determined that each member of the Audit Committee, the Compensation and Human Capital Committee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Nominating and Corporate Governance Committee meets the applicable Nasdaq listing standards and that each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member is free of any relationship that would impair his or her individual exercise of independent judgment with regard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our Company.</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17</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Audit Committee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has a separately designated standing Audit Committee established in accordance with Section 3(a)(58)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Exchange Act. The Audit Committee was established by the Board to assist the Board in its oversight of the integrity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financial statements and internal controls, and our compliance with legal and regulatory requirements. In addition, the Audit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is responsible for the oversight of the qualification, independence and performance of our independent registered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public accounting firm as well as the appointment of our independent registered public accounting firm.</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 the term ending at the Annual Meeting, our Audit Committee consists of Janet S. Wong, Lisa M. Lambert and Nichelle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Maynard-Elliott, with Janet S. Wong serving as chairperson. Our Board has determined (i) that each of Janet S. Wong, Lisa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 Lambert and Nichelle Maynard-Elliott satisfied the requirements for independence and financial literacy under the rules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regulations of Nasdaq and the SEC and (ii) that Janet S. Wong qualifies as an “audit committee financial expert”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defined in the SEC rules and regulations and satisfies the financial sophistication requirements of Nasdaq. In making that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determination, the Board relied on the past business experience of Janet S. Wong. Please see the description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business experience for Janet S. Wong under the heading “Nominees for Director.” This designation does not impose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duties, obligations or liabilities that are greater than are generally imposed on members of our Audit Committee and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Board of Directors. Our Audit Committee is directly responsible for, among other things: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selecting and hiring our independent registered public accounting firm;</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evaluating the performance and independence of our independent registered public accounting firm;</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pre-approving the audit and any non-audit services to be performed by our registered public accounting firm;</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reviewing the integrity of our financial statements and related disclosures and reviewing our critical accounting policies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practices;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reviewing the adequacy and effectiveness of our internal control policies and procedures and our disclosure controls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procedures;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overseeing procedures for the treatment of complaints relating to accounting, internal accounting controls or audit matters;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reviewing and discussing with management and the registered public accounting firm the results of the annual audit,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quarterly financial statements and our publicly filed reports;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establishing procedures for employees to anonymously submit concerns about questionable accounting or audit matters;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reviewing our policies and practices with respect to risk assessment and risk management, including discussing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management our major financial risk exposures and the steps that have been taken to monitor and control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exposures;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reviewing and approving in advance any proposed related-person transactions;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reviewing key cybersecurity, privacy, product safety, and other information technology risks such as artificial intelligence;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preparing the audit committee report that the SEC requires in our annual proxy statement.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Audit Committee operates under a written charter that satisfies the applicable rules of the SEC and the listing standards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Nasdaq. In 2025, the Audit Committee met eight times. The Audit Committee charter can be found in the Governance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section of the Investors section of our website at https://ir.lucidmotors.com/governance/documents-and-charters. Information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or accessible through our website is not incorporated by reference in this Proxy Statement. The Audit Committee charter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grants the Audit Committee authority to obtain, at our expense, advice and assistance from internal and external legal,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accounting or other advisors and consultants, and other external resources that the Audit Committee considers necessary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appropriate in the performance of its duties.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required by its charter, the Audit Committee conducts a self-evaluation at least annually. The Audit Committee also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reviews and assesses the adequacy of its charter at least annually and recommends any proposed changes to the Board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its consideration.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annually reviews the Nasdaq listing standards’ definition of independence for Audit Committee members and has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determined that all members of our Audit Committee are “independent” and “financially literate” under Nasdaq listing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18</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standards and that members of the Audit Committee received no compensation from the Company other than for service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 director.</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Compensation and Human Capital Committee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consists of Andrew Liveris, Nichelle Maynard-Elliott, and Ori Winitzer,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with Andrew Liveris serving as chairperson. Our Board has determined that each of Andrew Liveris, Nichelle Maynard-Elliott,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Ori Winitzer satisfies the requirements for independence under the applicable Nasdaq listing standards.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Compensation and Human Capital Committee is responsible for, among other things: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determining, or recommending to the Board for determination, the compensation of our executive officers, including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Chief Executive Officer;</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administering our equity compensation plans;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overseeing our overall compensation policies and practices, compensation plans, benefits programs, and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recoupment policy;</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reviewing our executive officer succession planning, as well as periodic reports, metrics, and initiatives from management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employee programs and practices; </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reviewing the results of any advisory stockholder votes on executive compensation and consider whether to recommend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adjustments to the Company’s executive compensation policies and practices as a result of such votes; and</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overseeing the preparation of the compensation committee report that the SEC requires in our annual proxy statement.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Compensation and Human Capital Committee operates under a written charter that satisfies the applicable rules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SEC and the listing standards of Nasdaq. During 2025, the Compensation and Human Capital Committee met 13 times.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and Human Capital Committee charter can be found in the Governance section of the Investors section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website at https://ir.lucidmotors.com/governance/documents-and-charters. Information on or accessible through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website is not incorporated by reference in this Proxy Statement. The Compensation and Human Capital Committee charter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grants the Compensation and Human Capital Committee sole authority to retain or obtain the advice of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consultants, legal counsel, or other advisors, including the authority to approve a consultant’s reasonable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may select such advisors, or receive advice from any other advisor, only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after taking into consideration all factors relevant to that person’s independence from management, including those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independence factors enumerated by Nasdaq rules.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the Compensation and Human Capital Committee charter, the Compensation and Human Capital Committee may,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its discretion, delegate its duties to a subcommittee or to the Chair of the Compensation and Human Capital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required by its charter, the Compensation and Human Capital Committee conducts a self-evaluation at least annually.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also annually reviews and assesses the adequacy of its charter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recommends any proposed changes to the Board for its consideration.</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COMPENSATION AND HUMAN CAPITAL COMMITTEE PROCESSES AND PROCEDURES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implementation of our compensation philosophy is carried out under the supervision of the Compensation and Human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Capital Committee. The Compensation and Human Capital Committee charter requires that the Compensation and Human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Capital Committee meet as often as it determines is appropriate to carry out its responsibilities under the charter.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agenda for each meeting is usually developed by the Chair of the Compensation and Human Capital Committee,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consultation with other Compensation and Human Capital Committee members, management and the Compensation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Human Capital Committee’s independent advisors. The Compensation and Human Capital Committee also meets regularly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executive session. Meetings may, at the discretion of the Compensation and Human Capital Committee, include other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directors or members of management in addition to the Compensation and Human Capital Committee’s independent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advisors, for the purpose of providing analysis and information to assist management with their recommendations on various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matters. Management does not participate in the executive sessions of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For a description of the role of our management and any compensation consultants for executive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decisions for fiscal year 2025, please see the section entitled “Compensation Discussion and Analysis.”</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19</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COMPENSATION AND HUMAN CAPITAL COMMITTEE INTERLOCKS AND INSIDER PARTICIPATION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Andrew Liveris, Nichelle Maynard-Elliott, and Ori Winitzer served as members of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during 2025. None of such persons is or was formerly an officer or an employee of Lucid. Please see the section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entitled “Certain Relationships and Related Party Transactions” for certain transactions involving Lucid in which members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Compensation and Human Capital Committee may potentially be deemed to have an indirect interest.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None of our executive officers currently serves, or has served during the last year, as a member of the board of directors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committee of any entity that has one or more executive officers serving as a member of our Board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Compensation and Human Capital Committee.</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Nominating and Corporate Governance Committee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Nominating and Corporate Governance Committee is generally responsible for identifying qualified Board candidates,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recommending director nominees and appointments to Board committees, evaluating Board performance, and overseeing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Corporate Governance Guidelines. Our Nominating and Corporate Governance Committee consists of Turqi Alnowaiser,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Nichelle Maynard-Elliott, and Chabi Nouri, with Turqi Alnowaiser serving as chairperson. Our Board has determined that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each of Turqi Alnowaiser, Nichelle Maynard-Elliott and Chabi Nouri satisfied the requirements for independence under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applicable Nasdaq listing standards. Our Nominating and Corporate Governance Committee is responsible for, among other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things: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identifying and recommending candidates for membership on our Board, including the consideration of nominees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submitted by stockholders, and to each of the Board’s committees;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making recommendations to the Board as to determinations of director independence;</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evaluating and making recommendations regarding the composition, organization, and governance of our Board and its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committees;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reviewing and making recommendations with regard to our Corporate Governance Guidelines and compliance with laws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regulations;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overseeing and periodically reviewing our policies and programs concerning environmental sustainability, corporate social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responsibility, and governance;</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making recommendations to the Board regarding non-employee director compensation;</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making recommendations to the Board regarding the designation of executive officers and Section 16 officers pursuant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applicable regulations;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reviewing conflicts of interest of our directors and officers and proposed waivers of our Corporate Governance Guidelines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Code of Business Conduct and Ethics; and</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evaluating the performance of our Board and its committees.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During 2025, the Nominating and Corporate Governance Committee met twice. Our Nominating and Corporate Governance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operates under a written charter that satisfies the applicable rules of the SEC and the listing standards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Nasdaq. A detailed discussion of the Nominating and Corporate Governance Committee’s procedures for recommending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candidates for election as a director appears below under the caption “Procedures of the Nominating and Corporate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Governance Committee.”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Nominating and Corporate Governance Committee charter can be found in the Governance section of the Investors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section of our website at https://ir.lucidmotors.com/governance/documents-and-charters. The Nominating and Corporate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Governance Committee charter complies with the guidelines established by Nasdaq. Information on or accessible through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website is not incorporated by reference in this Proxy Statement. The charter of the Nominating and Corporate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Governance Committee grants the Nominating and Corporate Governance Committee authority to retain and terminate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advisors, including search firms to identify director candidates, compensation consultants as to director compensation,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legal counsel, including sole authority to approve all such advisors’ fees and other retention terms.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PROCEDURES OF THE NOMINATING AND CORPORATE GOVERNANCE COMMITTEE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connection with nominating directors for election at the Annual Meeting and periodically throughout the year,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Nominating and Corporate Governance Committee considers the composition of the Board and each committee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Board to evaluate its effectiveness and whether changes should be considered to either the Board or any of the committees.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20</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support of this process, the Board has determined that the Board as a whole must have the right mix of characteristics,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skills, perspectives and experiences for the optimal functioning of the Board in its oversight of our Company. The Board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considers the following factors and qualifications, without limitation:</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the appropriate size and the mix of characteristics and perspectives of the Board;</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the needs of the Board with respect to the particular talents and experience of its directors;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the knowledge, skills, and experience of nominees, including experience in the industry in which we operate, business,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finance, management, or public service, in light of prevailing business conditions and the knowledge, skills,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experience already possessed by other members of the Board;</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familiarity with domestic and international business matters;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familiarity and experience with legal and regulatory requirements; and</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experience with accounting rules and practices.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CONSIDERATIONS IN EVALUATING DIRECTOR NOMINEES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Pursuant to the Nominating and Corporate Governance Committee charter and subject to the Investor Rights Agreement,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Nominating and Corporate Governance Committee periodically reviews the composition of the Board in light of current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challenges and needs of the Board and the Company and determines whether it may be appropriate to add or remove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individuals after considering factors such as judgment, skills, background, experience, perspectives and inclusiveness.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Nominating and Corporate Governance Committee also considers applicable laws and regulations and stock exchange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listing standards.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Once the Nominating and Corporate Governance Committee and the Board determine that it is appropriate to add a new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director, either as a replacement or as an additional position, subject to the Investor Rights Agreement, the Nominating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Corporate Governance Committee uses a flexible set of procedures in selecting individual director candidates. This flexibility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allows the Nominating and Corporate Governance Committee to adjust the process to best satisfy the objectives in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director search. The first step in the general process is to identify the type of candidate the Nominating and Corporate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Governance Committee may desire for a particular opening, including establishing the specific target skill areas,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experiences, and backgrounds that are to be the focus of a director search. The Nominating and Corporate Governance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may consider candidates recommended by management, by members of the Nominating and Corporate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Governance Committee, by the Board, by stockholders, or by a third party it may engage to conduct a search for possible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candidates. In considering candidates submitted by stockholders, the Nominating and Corporate Governance Committee will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take into consideration the needs of the Board, the qualifications of the candidate, and our obligations under the Investor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Rights Agreement.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Once candidates are identified, the Nominating and Corporate Governance Committee conducts an evaluation of qualified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candidates. The evaluation generally includes interviews and background and reference checks. There is no difference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evaluation process of a candidate recommended by a stockholder as compared to the evaluation process of a candidate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identified by any of the other means described above. In identifying and evaluating potential nominees to serve as directors,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Nominating and Corporate Governance Committee will examine each nominee on a case-by-case basis regardless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who recommended the nominee and take into account all factors it considers appropriate.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If the Nominating and Corporate Governance Committee determines that a candidate should be nominated as a candidate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 election to the Board, the candidate’s nomination is then recommended to the Board, and the directors may in turn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conduct their own review to the extent they deem appropriate. When the Board has agreed upon a candidate,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candidate is recommended to the stockholders for election at an annual meeting of stockholders or appointed as a director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by a vote of the Board as appropriate.</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STOCKHOLDER NOMINATIONS TO THE BOARD OF DIRECTORS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order for a stockholder to have a candidate considered by the Nominating and Corporate Governance Committee,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stockholder should submit a written recommendation that includes (A) as to each person whom the stockholder proposes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nominate for election or reelection as a director: (1) all information relating to such person that is required to be disclosed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solicitations of proxies for election of directors, or is otherwise required, in each case pursuant to Regulation 14A under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Exchange Act including such person’s written consent to being named in the proxy statement and form of proxy as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nominee and to serving as a director if elected, (2) a reasonably detailed description of any compensatory, payment or other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financial agreement, arrangement or understanding that such person has with any other person or entity other than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 including the amount of any payment or payments received or receivable thereunder, in each case in connection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21</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with candidacy or service as a director of the Company, and (3) the information required under Section 2.09(c)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Bylaws, (B) as to any other business that the stockholder proposes to bring before the meeting, a brief description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business desired to be brought before the meeting, the text of the proposal or business (including the text of any resolutions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proposed for consideration and in the event that such business includes a proposal to amend the Bylaws, the text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proposed amendment), the reasons for conducting such business and any material interest in such business of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stockholder and the beneficial owner, if any, on whose behalf the proposal is made, and (C) as to the stockholder giving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notice and the beneficial owner, if any, on whose behalf the proposal is made: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(1)the name and address of such stockholder (as they appear on the Company’s books), and the name and address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any such beneficial owner, and of any affiliates, associates, or others acting in concert with such stockholder or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beneficial owner (any such person other than the stockholder, a “Stockholder Associated Person”);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(2)for each class or series, the number of shares of capital stock of the Company that are held of record or are beneficially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owned by such stockholder and by any Stockholder Associated Person;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(3)a description of any agreement, arrangement, relationship or understanding (whether written or oral) between or among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such stockholder or Stockholder Associated Person and any other person in connection with the proposal of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nomination or other business;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(4)a description of any agreement, arrangement or understanding (including, regardless of the form of settlement,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derivative, long or short positions, profit interests, forwards, futures, swaps, options, warrants, convertible securities,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 appreciation or similar rights, hedging transactions and borrowed or loaned shares) that has been entered into by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on behalf of such stockholder or any Stockholder Associated Person, or any other agreement, arrangement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understanding, the effect or intent of which is to mitigate loss to, manage risk or benefit of share price changes for,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increase or decrease the voting power of, such stockholder or Stockholder Associated Person with respect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Company’s securities;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(5)a representation that the stockholder is a holder of record of stock of the Company entitled to vote at such meeting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intends to appear in person or by proxy at the meeting to bring such nomination or other business before the meeting;</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(6)a representation as to whether such stockholder or Stockholder Associated Person intends or is part of a group that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intends to (i) deliver a proxy statement and/or form of proxy to holders of at least the percentage of the voting power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Company’s outstanding capital stock required to approve or adopt the proposal or to elect each such nominee, (ii)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otherwise solicit proxies from stockholders in support of such proposal or nomination and/or (iii) solicit holders of shares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representing at least 67% of the outstanding securities of the Company generally entitled to vote on the election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directors in support of director nominees other than the Company’s nominees in accordance with Rule 14a-19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promulgated under the Exchange Act;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(7)a representation as to whether such stockholder or Stockholder Associated Person has complied with all applicable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legal requirements in connection with its acquisition of shares or other securities of the Company, and any other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information reasonably requested by the Company, including with respect to determining whether such person has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complied with this Section 2.09(a) of the Bylaws;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(8)any other information relating to such stockholder, Stockholder Associated Person, if any, or director nominee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proposed business that would be required to be disclosed in a proxy statement or other filing required to be made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connection with the solicitation of proxies in support of such nominee or proposal pursuant to Section 14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Exchange Act; and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(9)such other information relating to any proposed item of business as the Company may reasonably require determining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whether such proposed item of business is a proper matter for stockholder action.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Stockholder recommendations should be addressed to the Nominating and Corporate Governance Committee in care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Corporate Secretary at Lucid Group, Inc., 7373 Gateway Boulevard, Newark, CA 94560.</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Each of the director nominees has been recommended by the Nominating and Corporate Governance Committee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Board for election as our directors at the Annual Meeting, and the Board has approved such recommendations.</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Executive Committee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Executive Committee consists of Turqi Alnowaiser, Douglas Grimm, Andrew Liveris, Silvio Napoli, and Ori Winitzer,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Turqi Alnowaiser serving as chairperson. The Executive Committee reviews, discusses with management and makes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recommendations regarding the implementation and execution of our business plan, operational performance and certain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22</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other matters and approves transactions below certain thresholds set by our Board. In 2025, the Executive Committee met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eight times.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STOCKHOLDER COMMUNICATIONS WITH THE BOARD OF DIRECTORS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relationship with our stockholders is an important part of our corporate governance program. Engaging with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stockholders helps us to understand how they view us, to set goals and expectations for our performance, and to identify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emerging issues that may affect our strategies, corporate governance, compensation practices or other aspects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operations. Our stockholder and investor outreach include investor road shows, analyst meetings, and investor conferences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meetings. We also communicate with stockholders and other stakeholders through various media, including our annual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report and SEC filings, proxy statement, news releases, and our website. Our conference calls for quarterly earnings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releases are open to all. These calls are available in real time and as archived webcasts on our website for a period of time.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has adopted a process for stockholders and others to send communications to the Board or any director. All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communications should be sent by mail addressed to the Board or any particular director at Lucid Group, Inc., 7373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Gateway Boulevard, Newark, CA 94560, c/o General Counsel &amp; Corporate Secretary. All communications received by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General Counsel &amp; Corporate Secretary will be sent directly to the Board or any particular director.</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CODE OF BUSINESS CONDUCT AND ETHICS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Board of Directors has adopted a code of ethics that applies to all of our employees, officers and directors, including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Chief Executive Officer, Chief Financial Officer and other executive and senior financial officers. The full text of our Code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Business Conduct and Ethics is available in the Governance section of the Investors section of our website at https://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ir.lucidmotors.com/governance/documents-and-charters. Information on or accessible through our website is not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incorporated by reference in this Proxy Statement. We intend to disclose future amendments to our Code of Business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Conduct and Ethics, or any waivers of such code, on our website or in public filings.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INSIDER TRADING POLICY</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sz w:val="18"/>
          <w:u w:val="none"/>
          <w:effect w:val="none"/>
        </w:rPr>
        <w:t>We have adopted</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an Insider Trading Policy that we believe is reasonably designed to promote compliance with insider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trading laws, rules and regulations, and any listing standards applicable to the Company. Under this policy, directors, officers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other employees and contractors of the Company and its subsidiaries and other persons who may have access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material nonpublic information are prohibited from engaging in certain transactions relating to Company securities.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foregoing summary of the Insider Trading Policy does not purport to be complete and is qualified in its entirety by reference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the full text of the Insider Trading Policy attached as Exhibit 19.1 to our Annual Report on Form 10-K for the fiscal year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ended December 31, 2024.</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INVOLVEMENT IN CERTAIN LEGAL PROCEEDINGS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There are no material proceedings to which any current director, officer or affiliate of the Company, any owner of record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beneficially of more than 5% of any class of voting securities of the Company, or any associate of any such current director,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officer, affiliate of the Company, or security holder is a party adverse to the Company or any of its subsidiaries or has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material interest adverse to the Company or any of its subsidiaries.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23</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Report of the Audit Committee of the Board of Directors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Audit Committee reviews the Company’s financial reporting process on behalf of the Board. Management has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primary responsibility for the preparation and integrity of the consolidated financial statements and the reporting process,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including establishing and monitoring the system of internal financial controls. In this context, during fiscal year 2025,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Audit Committee met and held discussions with management and KPMG LLP (“KPMG”), the Company’s independent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registered public accounting firm. Management has represented to the Audit Committee that the Company’s consolidated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financial statements for the fiscal year ended December 31, 2025, were prepared in accordance with U.S. generally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accepted accounting principles, and the Audit Committee has reviewed and discussed the audited financial statements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 with management of the Company and with KPMG. In addition, the Audit Committee has discussed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KPMG the matters required to be discussed by the applicable requirements of the Public Company Accounting Oversight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Board (the “PCAOB”) and the SEC. The Audit Committee has received from KPMG the written disclosures regarding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KPMG’s communications with the Audit Committee concerning independence required by the applicable requirements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PCAOB and has discussed with KPMG the independence of KPMG from the Company and its management. Based on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foregoing, the Audit Committee recommended to the Board, and the Board approved, the inclusion of the audited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consolidated financial statements in the Company’s Annual Report on Form 10-K for the fiscal year ended December 31,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2025, for filing with the SEC. The Audit Committee and the Board have also recommended the selection of KPMG as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Company’s independent registered public accounting firm for the fiscal year ending December 31, 2026.</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material in this report is not deemed “soliciting material,” is not deemed “filed” with the SEC, is not subject to Regulation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14A or 14C or to the liabilities of Section 18 of the Securities Exchange Act of 1934, as amended, and is not to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incorporated by reference into any filing of the Company under the Securities Act of 1933, as amended, whether made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before or after the date hereof and irrespective of any general incorporation language in any such filing.</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Janet S. Wong, Chair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Lisa M. Lambert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Nichelle Maynard-Elliott</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24</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7726680" cy="30480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726680" cy="3048000"/>
                    </a:xfrm>
                    <a:prstGeom prst="rect">
                      <a:avLst/>
                    </a:prstGeom>
                  </pic:spPr>
                </pic:pic>
              </a:graphicData>
            </a:graphic>
          </wp:inline>
        </w:drawing>
      </w:r>
      <w:bookmarkStart w:id="35" w:name="i-34"/>
      <w:bookmarkEnd w:id="35"/>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PROPOSAL NO. 2:</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Ratification of the Selection of the Independent Registered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Public Accounting Firm</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March 27, 2026, our Audit Committee selected KPMG LLP (“KPMG”) as our independent registered public accounting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firm for the fiscal year ending December 31, 2026. KPMG has served as our independent registered public accounting firm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since June 17, 2023. Representatives of KPMG plan to attend the Annual Meeting and will be available to answer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appropriate questions from stockholders. They will have the opportunity to make a statement if they desire to do so.</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Neither our Bylaws nor other governing documents or law require stockholder ratification of the selection of KPMG as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independent registered public accounting firm. However, the Board is submitting the selection of KPMG to the stockholders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 ratification as a matter of good corporate practice. If the stockholders fail to ratify the selection, the Audit Committee will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reconsider whether to retain KPMG. Even if the selection is ratified, the Audit Committee in its discretion may direct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appointment of a different independent registered public accounting firm at any time during the year if the Audit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determines that such a change would be in the best interest of the Company and its stockholders.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25</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INDEPENDENT REGISTERED PUBLIC ACCOUNTING FIRM</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following is a summary of the fees and services provided by KPMG to Lucid for fiscal years 2024 and 2025:</w:t>
      </w:r>
    </w:p>
    <w:tbl>
      <w:tblPr>
        <w:tblW w:w="6060" w:type="dxa"/>
        <w:jc w:val="left"/>
        <w:tblInd w:w="0" w:type="dxa"/>
        <w:tblLayout w:type="fixed"/>
        <w:tblCellMar>
          <w:top w:w="28" w:type="dxa"/>
          <w:left w:w="28" w:type="dxa"/>
          <w:bottom w:w="28" w:type="dxa"/>
          <w:right w:w="28" w:type="dxa"/>
        </w:tblCellMar>
      </w:tblPr>
      <w:tblGrid>
        <w:gridCol w:w="124"/>
        <w:gridCol w:w="2911"/>
        <w:gridCol w:w="109"/>
        <w:gridCol w:w="1381"/>
        <w:gridCol w:w="109"/>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9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38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426"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91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Description of Services Provided by KPMG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38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Fiscal year Ended</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December 31, 2024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42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Fiscal year Ended</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December 31, 2025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9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38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426"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Audit Fees</w:t>
            </w:r>
            <w:r>
              <w:rPr>
                <w:rFonts w:ascii="Arial;sans-serif" w:hAnsi="Arial;sans-serif"/>
                <w:b w:val="false"/>
                <w:i w:val="false"/>
                <w:caps w:val="false"/>
                <w:smallCaps w:val="false"/>
                <w:strike w:val="false"/>
                <w:dstrike w:val="false"/>
                <w:sz w:val="10"/>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$4,759,068</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$5,119,574</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Audit-Related Fees </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Tax Fees</w:t>
            </w:r>
            <w:r>
              <w:rPr>
                <w:rFonts w:ascii="Arial;sans-serif" w:hAnsi="Arial;sans-serif"/>
                <w:b w:val="false"/>
                <w:i w:val="false"/>
                <w:caps w:val="false"/>
                <w:smallCaps w:val="false"/>
                <w:strike w:val="false"/>
                <w:dstrike w:val="false"/>
                <w:sz w:val="10"/>
                <w:u w:val="none"/>
                <w:effect w:val="none"/>
              </w:rPr>
              <w:t>(2)</w:t>
            </w:r>
            <w:r>
              <w:rPr>
                <w:caps w:val="false"/>
                <w:smallCaps w:val="false"/>
                <w:strike w:val="false"/>
                <w:dstrike w:val="false"/>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246,200</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122,200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All Other Fees </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$5,005,268</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$5,241,774</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 xml:space="preserve">Audit Fees in 2024 and 2025 were for professional services rendered for the audits of our financial statements, review of interim financial statements, assistance with registration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statements filed with the SEC and services that are normally provided by KPMG in connection with statutory and regulatory filings or engagements. </w:t>
      </w:r>
    </w:p>
    <w:p>
      <w:pPr>
        <w:pStyle w:val="TextBody"/>
        <w:bidi w:val="0"/>
        <w:spacing w:lineRule="atLeast" w:line="142" w:before="0" w:after="0"/>
        <w:jc w:val="left"/>
        <w:rPr>
          <w:sz w:val="24"/>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trike w:val="false"/>
          <w:dstrike w:val="false"/>
          <w:sz w:val="12"/>
          <w:u w:val="none"/>
          <w:effect w:val="none"/>
        </w:rPr>
        <w:t>Tax Fees in 2024 and 2025 were for professional services rendered in connection with certain tax and research and development credits.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Audit Committee or a delegate thereof pre-approves the scope of the audit and non-audit services provided by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independent registered public accounting firm, as well as all associated fees and terms, pursuant to pre-approval policies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procedures established by the Audit Committee. The Audit Committee evaluates the independent registered public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accounting firm’s qualifications, performance and independence, and presents its conclusions to the full Board on at least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annual basis.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All of the services provided by KPMG for fiscal year 2024 and fiscal year 2025, and fees for such services, were pre-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approved by the Audit Committee in accordance with these standards.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VOTE REQUIRED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be approved, a majority of the total votes cast on Proposal No. 2 must be voted “For” the ratification of the selection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KPMG as our independent registered public accounting firm for the fiscal year ending December 31, 2026. Broker non-votes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are not applicable with respect to Proposal No. 2 as brokers generally have discretion to vote uninstructed shares on this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proposal. Abstentions will have no effect.</w:t>
      </w:r>
    </w:p>
    <w:tbl>
      <w:tblPr>
        <w:tblW w:w="9931" w:type="dxa"/>
        <w:jc w:val="left"/>
        <w:tblInd w:w="0" w:type="dxa"/>
        <w:tblLayout w:type="fixed"/>
        <w:tblCellMar>
          <w:top w:w="28" w:type="dxa"/>
          <w:left w:w="28" w:type="dxa"/>
          <w:bottom w:w="28" w:type="dxa"/>
          <w:right w:w="28" w:type="dxa"/>
        </w:tblCellMar>
      </w:tblPr>
      <w:tblGrid>
        <w:gridCol w:w="9931"/>
      </w:tblGrid>
      <w:tr>
        <w:trPr/>
        <w:tc>
          <w:tcPr>
            <w:tcW w:w="9931" w:type="dxa"/>
            <w:tcBorders/>
            <w:vAlign w:val="center"/>
          </w:tcPr>
          <w:p>
            <w:pPr>
              <w:pStyle w:val="TableContents"/>
              <w:bidi w:val="0"/>
              <w:spacing w:before="0" w:after="283"/>
              <w:jc w:val="left"/>
              <w:rPr>
                <w:sz w:val="4"/>
                <w:szCs w:val="4"/>
              </w:rPr>
            </w:pPr>
            <w:r>
              <w:rPr>
                <w:sz w:val="4"/>
                <w:szCs w:val="4"/>
              </w:rPr>
            </w:r>
          </w:p>
        </w:tc>
      </w:tr>
      <w:tr>
        <w:trPr/>
        <w:tc>
          <w:tcPr>
            <w:tcW w:w="9931" w:type="dxa"/>
            <w:tcBorders/>
            <w:shd w:fill="000000" w:val="clear"/>
            <w:vAlign w:val="center"/>
          </w:tcPr>
          <w:p>
            <w:pPr>
              <w:pStyle w:val="TableContents"/>
              <w:bidi w:val="0"/>
              <w:spacing w:before="0" w:after="283"/>
              <w:jc w:val="left"/>
              <w:rPr>
                <w:sz w:val="4"/>
                <w:szCs w:val="4"/>
              </w:rPr>
            </w:pPr>
            <w:r>
              <w:rPr>
                <w:sz w:val="4"/>
                <w:szCs w:val="4"/>
              </w:rPr>
            </w:r>
          </w:p>
        </w:tc>
      </w:tr>
      <w:tr>
        <w:trPr/>
        <w:tc>
          <w:tcPr>
            <w:tcW w:w="9931" w:type="dxa"/>
            <w:tcBorders/>
            <w:shd w:fill="000000" w:val="clear"/>
            <w:vAlign w:val="center"/>
          </w:tcPr>
          <w:p>
            <w:pPr>
              <w:pStyle w:val="TableContents"/>
              <w:bidi w:val="0"/>
              <w:spacing w:lineRule="atLeast" w:line="240" w:before="0" w:after="0"/>
              <w:jc w:val="left"/>
              <w:rPr>
                <w:rFonts w:ascii="Arial;sans-serif" w:hAnsi="Arial;sans-serif"/>
                <w:b/>
                <w:i w:val="false"/>
                <w:caps w:val="false"/>
                <w:smallCaps w:val="false"/>
                <w:strike w:val="false"/>
                <w:dstrike w:val="false"/>
                <w:color w:val="FEFEFE"/>
                <w:sz w:val="24"/>
                <w:u w:val="none"/>
                <w:effect w:val="none"/>
              </w:rPr>
            </w:pPr>
            <w:r>
              <w:rPr>
                <w:rFonts w:ascii="Arial;sans-serif" w:hAnsi="Arial;sans-serif"/>
                <w:b/>
                <w:i w:val="false"/>
                <w:caps w:val="false"/>
                <w:smallCaps w:val="false"/>
                <w:strike w:val="false"/>
                <w:dstrike w:val="false"/>
                <w:color w:val="FEFEFE"/>
                <w:sz w:val="24"/>
                <w:u w:val="none"/>
                <w:effect w:val="none"/>
              </w:rPr>
              <w:t xml:space="preserve">THE BOARD OF DIRECTORS RECOMMENDS A VOTE “FOR” THE RATIFICATION OF </w:t>
            </w:r>
          </w:p>
          <w:p>
            <w:pPr>
              <w:pStyle w:val="TableContents"/>
              <w:bidi w:val="0"/>
              <w:spacing w:lineRule="atLeast" w:line="240" w:before="0" w:after="0"/>
              <w:jc w:val="left"/>
              <w:rPr>
                <w:rFonts w:ascii="Arial;sans-serif" w:hAnsi="Arial;sans-serif"/>
                <w:b/>
                <w:i w:val="false"/>
                <w:caps w:val="false"/>
                <w:smallCaps w:val="false"/>
                <w:strike w:val="false"/>
                <w:dstrike w:val="false"/>
                <w:color w:val="FEFEFE"/>
                <w:sz w:val="24"/>
                <w:u w:val="none"/>
                <w:effect w:val="none"/>
              </w:rPr>
            </w:pPr>
            <w:r>
              <w:rPr>
                <w:rFonts w:ascii="Arial;sans-serif" w:hAnsi="Arial;sans-serif"/>
                <w:b/>
                <w:i w:val="false"/>
                <w:caps w:val="false"/>
                <w:smallCaps w:val="false"/>
                <w:strike w:val="false"/>
                <w:dstrike w:val="false"/>
                <w:color w:val="FEFEFE"/>
                <w:sz w:val="24"/>
                <w:u w:val="none"/>
                <w:effect w:val="none"/>
              </w:rPr>
              <w:t xml:space="preserve">THE SELECTION OF THE INDEPENDENT REGISTERED PUBLIC ACCOUNTING FIRM </w:t>
            </w:r>
          </w:p>
          <w:p>
            <w:pPr>
              <w:pStyle w:val="TableContents"/>
              <w:bidi w:val="0"/>
              <w:spacing w:lineRule="atLeast" w:line="240" w:before="0" w:after="0"/>
              <w:jc w:val="left"/>
              <w:rPr>
                <w:rFonts w:ascii="Arial;sans-serif" w:hAnsi="Arial;sans-serif"/>
                <w:b/>
                <w:i w:val="false"/>
                <w:caps w:val="false"/>
                <w:smallCaps w:val="false"/>
                <w:strike w:val="false"/>
                <w:dstrike w:val="false"/>
                <w:color w:val="FEFEFE"/>
                <w:sz w:val="24"/>
                <w:u w:val="none"/>
                <w:effect w:val="none"/>
              </w:rPr>
            </w:pPr>
            <w:r>
              <w:rPr>
                <w:rFonts w:ascii="Arial;sans-serif" w:hAnsi="Arial;sans-serif"/>
                <w:b/>
                <w:i w:val="false"/>
                <w:caps w:val="false"/>
                <w:smallCaps w:val="false"/>
                <w:strike w:val="false"/>
                <w:dstrike w:val="false"/>
                <w:color w:val="FEFEFE"/>
                <w:sz w:val="24"/>
                <w:u w:val="none"/>
                <w:effect w:val="none"/>
              </w:rPr>
              <w:t>(PROPOSAL NO. 2)</w:t>
            </w:r>
          </w:p>
        </w:tc>
      </w:tr>
      <w:tr>
        <w:trPr/>
        <w:tc>
          <w:tcPr>
            <w:tcW w:w="9931" w:type="dxa"/>
            <w:tcBorders/>
            <w:shd w:fill="000000" w:val="clear"/>
            <w:vAlign w:val="center"/>
          </w:tcPr>
          <w:p>
            <w:pPr>
              <w:pStyle w:val="TableContents"/>
              <w:bidi w:val="0"/>
              <w:spacing w:before="0" w:after="283"/>
              <w:jc w:val="left"/>
              <w:rPr>
                <w:sz w:val="4"/>
                <w:szCs w:val="4"/>
              </w:rPr>
            </w:pPr>
            <w:r>
              <w:rPr>
                <w:sz w:val="4"/>
                <w:szCs w:val="4"/>
              </w:rPr>
            </w:r>
          </w:p>
        </w:tc>
      </w:tr>
    </w:tbl>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26</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7726680" cy="30480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726680" cy="3048000"/>
                    </a:xfrm>
                    <a:prstGeom prst="rect">
                      <a:avLst/>
                    </a:prstGeom>
                  </pic:spPr>
                </pic:pic>
              </a:graphicData>
            </a:graphic>
          </wp:inline>
        </w:drawing>
      </w:r>
      <w:bookmarkStart w:id="36" w:name="i-35"/>
      <w:bookmarkEnd w:id="36"/>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Proposal NO. 3:</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Approval, on an Advisory Basis, of the Compensation of Our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Named Executive Officers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We are required by Section 14A of the Exchange Act to offer our stockholders an opportunity to cast an advisory, non-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binding, vote on the compensation of our named executive officers, as disclosed in this Proxy Statement, pursuant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Dodd-Frank Wall Street Reform and Consumer Protection Act enacted in July 2010 (the “Dodd-Frank Act”) (commonly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referred to as a “say-on-pay” vote). This vote is not intended to address any specific item of compensation, but rather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overall compensation of our named executive officers and the philosophy, policies and practices described in this Proxy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Statement. Although the vote is non-binding, we value constructive feedback from our stockholders on executive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and other important matters, and the Board and the Compensation and Human Capital Committee will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consider the voting results when making future compensation decisions.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described under the heading “Compensation Discussion and Analysis” in this Proxy Statement, our executive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program is designed to attract, retain and motivate top-level talent who possess the skills and leadership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necessary to grow our business and enable long-term value creation. The Board encourages our stockholders to read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disclosures set forth in the “Compensation Discussion and Analysis” section of this Proxy Statement and to review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actions taken in fiscal year 2025. The Board believes that our executive compensation program effectively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aligns executive pay with our performance and results in the attraction and retention of talented executives who are critical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to our success.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Accordingly, the Board recommends that our stockholders vote “For” the following resolution:</w:t>
      </w:r>
    </w:p>
    <w:p>
      <w:pPr>
        <w:pStyle w:val="TextBody"/>
        <w:bidi w:val="0"/>
        <w:spacing w:lineRule="atLeast" w:line="180" w:before="0" w:after="0"/>
        <w:jc w:val="left"/>
        <w:rPr/>
      </w:pPr>
      <w:r>
        <w:rPr>
          <w:caps w:val="false"/>
          <w:smallCaps w:val="false"/>
          <w:strike w:val="false"/>
          <w:dstrike w:val="false"/>
          <w:u w:val="none"/>
          <w:effect w:val="none"/>
        </w:rPr>
        <w:t>“</w:t>
      </w:r>
      <w:r>
        <w:rPr>
          <w:rFonts w:ascii="Arial;sans-serif" w:hAnsi="Arial;sans-serif"/>
          <w:b/>
          <w:i w:val="false"/>
          <w:caps w:val="false"/>
          <w:smallCaps w:val="false"/>
          <w:strike w:val="false"/>
          <w:dstrike w:val="false"/>
          <w:sz w:val="18"/>
          <w:u w:val="none"/>
          <w:effect w:val="none"/>
        </w:rPr>
        <w:t>RESOLVED</w:t>
      </w:r>
      <w:r>
        <w:rPr>
          <w:rFonts w:ascii="Arial;sans-serif" w:hAnsi="Arial;sans-serif"/>
          <w:b w:val="false"/>
          <w:i w:val="false"/>
          <w:caps w:val="false"/>
          <w:smallCaps w:val="false"/>
          <w:strike w:val="false"/>
          <w:dstrike w:val="false"/>
          <w:sz w:val="18"/>
          <w:u w:val="none"/>
          <w:effect w:val="none"/>
        </w:rPr>
        <w:t xml:space="preserve">, that the compensation paid to the named executive officers, as disclosed in the proxy statement furnished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2026 Annual Meeting of Stockholders pursuant to Item 402 of Regulation S-K, including the Compensation Discussion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Analysis, compensation tables and related narrative discussion, is hereby APPROVED on an advisory basis.”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Because the vote is advisory, it is not binding on management or the Board. Nevertheless, the views expressed by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stockholders, whether through this vote or otherwise, are important to management and the Board and, accordingly,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and Human Capital Committee and the Board intend to consider the results of this vote in making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determinations in the future regarding executive compensation arrangements. Your vote will serve as an additional tool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guide the Compensation and Human Capital Committee and the Board in continuing to improve the alignment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executive compensation program with business objectives and performance and with the interests of our stockholders.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27</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VOTE REQUIRED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be approved, a majority of the total votes cast on Proposal No. 3 must be voted “For” the approval, on an advisory basis,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the compensation of our named executive officers. Only votes “For” or “Against” will affect the outcome. Broker non-votes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abstentions will have no effect.</w:t>
      </w:r>
    </w:p>
    <w:tbl>
      <w:tblPr>
        <w:tblW w:w="7741" w:type="dxa"/>
        <w:jc w:val="left"/>
        <w:tblInd w:w="0" w:type="dxa"/>
        <w:tblLayout w:type="fixed"/>
        <w:tblCellMar>
          <w:top w:w="28" w:type="dxa"/>
          <w:left w:w="28" w:type="dxa"/>
          <w:bottom w:w="28" w:type="dxa"/>
          <w:right w:w="28" w:type="dxa"/>
        </w:tblCellMar>
      </w:tblPr>
      <w:tblGrid>
        <w:gridCol w:w="7741"/>
      </w:tblGrid>
      <w:tr>
        <w:trPr/>
        <w:tc>
          <w:tcPr>
            <w:tcW w:w="7741" w:type="dxa"/>
            <w:tcBorders/>
            <w:vAlign w:val="center"/>
          </w:tcPr>
          <w:p>
            <w:pPr>
              <w:pStyle w:val="TableContents"/>
              <w:bidi w:val="0"/>
              <w:spacing w:before="0" w:after="283"/>
              <w:jc w:val="left"/>
              <w:rPr>
                <w:sz w:val="4"/>
                <w:szCs w:val="4"/>
              </w:rPr>
            </w:pPr>
            <w:r>
              <w:rPr>
                <w:sz w:val="4"/>
                <w:szCs w:val="4"/>
              </w:rPr>
            </w:r>
          </w:p>
        </w:tc>
      </w:tr>
      <w:tr>
        <w:trPr/>
        <w:tc>
          <w:tcPr>
            <w:tcW w:w="7741" w:type="dxa"/>
            <w:tcBorders/>
            <w:shd w:fill="000000" w:val="clear"/>
            <w:vAlign w:val="center"/>
          </w:tcPr>
          <w:p>
            <w:pPr>
              <w:pStyle w:val="TableContents"/>
              <w:bidi w:val="0"/>
              <w:spacing w:before="0" w:after="283"/>
              <w:jc w:val="left"/>
              <w:rPr>
                <w:sz w:val="4"/>
                <w:szCs w:val="4"/>
              </w:rPr>
            </w:pPr>
            <w:r>
              <w:rPr>
                <w:sz w:val="4"/>
                <w:szCs w:val="4"/>
              </w:rPr>
            </w:r>
          </w:p>
        </w:tc>
      </w:tr>
      <w:tr>
        <w:trPr/>
        <w:tc>
          <w:tcPr>
            <w:tcW w:w="7741" w:type="dxa"/>
            <w:tcBorders/>
            <w:shd w:fill="000000" w:val="clear"/>
            <w:vAlign w:val="center"/>
          </w:tcPr>
          <w:p>
            <w:pPr>
              <w:pStyle w:val="TableContents"/>
              <w:bidi w:val="0"/>
              <w:spacing w:lineRule="atLeast" w:line="240" w:before="0" w:after="0"/>
              <w:jc w:val="left"/>
              <w:rPr>
                <w:rFonts w:ascii="Arial;sans-serif" w:hAnsi="Arial;sans-serif"/>
                <w:b/>
                <w:i w:val="false"/>
                <w:caps w:val="false"/>
                <w:smallCaps w:val="false"/>
                <w:strike w:val="false"/>
                <w:dstrike w:val="false"/>
                <w:color w:val="FEFEFE"/>
                <w:sz w:val="24"/>
                <w:u w:val="none"/>
                <w:effect w:val="none"/>
              </w:rPr>
            </w:pPr>
            <w:r>
              <w:rPr>
                <w:rFonts w:ascii="Arial;sans-serif" w:hAnsi="Arial;sans-serif"/>
                <w:b/>
                <w:i w:val="false"/>
                <w:caps w:val="false"/>
                <w:smallCaps w:val="false"/>
                <w:strike w:val="false"/>
                <w:dstrike w:val="false"/>
                <w:color w:val="FEFEFE"/>
                <w:sz w:val="24"/>
                <w:u w:val="none"/>
                <w:effect w:val="none"/>
              </w:rPr>
              <w:t xml:space="preserve">THE BOARD OF DIRECTORS RECOMMENDS A VOTE “FOR” THE </w:t>
            </w:r>
          </w:p>
          <w:p>
            <w:pPr>
              <w:pStyle w:val="TableContents"/>
              <w:bidi w:val="0"/>
              <w:spacing w:lineRule="atLeast" w:line="240" w:before="0" w:after="0"/>
              <w:jc w:val="left"/>
              <w:rPr>
                <w:rFonts w:ascii="Arial;sans-serif" w:hAnsi="Arial;sans-serif"/>
                <w:b/>
                <w:i w:val="false"/>
                <w:caps w:val="false"/>
                <w:smallCaps w:val="false"/>
                <w:strike w:val="false"/>
                <w:dstrike w:val="false"/>
                <w:color w:val="FEFEFE"/>
                <w:sz w:val="24"/>
                <w:u w:val="none"/>
                <w:effect w:val="none"/>
              </w:rPr>
            </w:pPr>
            <w:r>
              <w:rPr>
                <w:rFonts w:ascii="Arial;sans-serif" w:hAnsi="Arial;sans-serif"/>
                <w:b/>
                <w:i w:val="false"/>
                <w:caps w:val="false"/>
                <w:smallCaps w:val="false"/>
                <w:strike w:val="false"/>
                <w:dstrike w:val="false"/>
                <w:color w:val="FEFEFE"/>
                <w:sz w:val="24"/>
                <w:u w:val="none"/>
                <w:effect w:val="none"/>
              </w:rPr>
              <w:t xml:space="preserve">APPROVAL, ON AN ADVISORY BASIS, OF THE COMPENSATION </w:t>
            </w:r>
          </w:p>
          <w:p>
            <w:pPr>
              <w:pStyle w:val="TableContents"/>
              <w:bidi w:val="0"/>
              <w:spacing w:lineRule="atLeast" w:line="240" w:before="0" w:after="0"/>
              <w:jc w:val="left"/>
              <w:rPr>
                <w:rFonts w:ascii="Arial;sans-serif" w:hAnsi="Arial;sans-serif"/>
                <w:b/>
                <w:i w:val="false"/>
                <w:caps w:val="false"/>
                <w:smallCaps w:val="false"/>
                <w:strike w:val="false"/>
                <w:dstrike w:val="false"/>
                <w:color w:val="FEFEFE"/>
                <w:sz w:val="24"/>
                <w:u w:val="none"/>
                <w:effect w:val="none"/>
              </w:rPr>
            </w:pPr>
            <w:r>
              <w:rPr>
                <w:rFonts w:ascii="Arial;sans-serif" w:hAnsi="Arial;sans-serif"/>
                <w:b/>
                <w:i w:val="false"/>
                <w:caps w:val="false"/>
                <w:smallCaps w:val="false"/>
                <w:strike w:val="false"/>
                <w:dstrike w:val="false"/>
                <w:color w:val="FEFEFE"/>
                <w:sz w:val="24"/>
                <w:u w:val="none"/>
                <w:effect w:val="none"/>
              </w:rPr>
              <w:t>OF OUR NAMED EXECUTIVE OFFICERS</w:t>
            </w:r>
          </w:p>
          <w:p>
            <w:pPr>
              <w:pStyle w:val="TableContents"/>
              <w:bidi w:val="0"/>
              <w:spacing w:lineRule="atLeast" w:line="240" w:before="0" w:after="0"/>
              <w:jc w:val="left"/>
              <w:rPr>
                <w:rFonts w:ascii="Arial;sans-serif" w:hAnsi="Arial;sans-serif"/>
                <w:b/>
                <w:i w:val="false"/>
                <w:caps w:val="false"/>
                <w:smallCaps w:val="false"/>
                <w:strike w:val="false"/>
                <w:dstrike w:val="false"/>
                <w:color w:val="FEFEFE"/>
                <w:sz w:val="24"/>
                <w:u w:val="none"/>
                <w:effect w:val="none"/>
              </w:rPr>
            </w:pPr>
            <w:r>
              <w:rPr>
                <w:rFonts w:ascii="Arial;sans-serif" w:hAnsi="Arial;sans-serif"/>
                <w:b/>
                <w:i w:val="false"/>
                <w:caps w:val="false"/>
                <w:smallCaps w:val="false"/>
                <w:strike w:val="false"/>
                <w:dstrike w:val="false"/>
                <w:color w:val="FEFEFE"/>
                <w:sz w:val="24"/>
                <w:u w:val="none"/>
                <w:effect w:val="none"/>
              </w:rPr>
              <w:t>(PROPOSAL NO. 3)</w:t>
            </w:r>
          </w:p>
        </w:tc>
      </w:tr>
      <w:tr>
        <w:trPr/>
        <w:tc>
          <w:tcPr>
            <w:tcW w:w="7741" w:type="dxa"/>
            <w:tcBorders/>
            <w:shd w:fill="000000" w:val="clear"/>
            <w:vAlign w:val="center"/>
          </w:tcPr>
          <w:p>
            <w:pPr>
              <w:pStyle w:val="TableContents"/>
              <w:bidi w:val="0"/>
              <w:spacing w:before="0" w:after="283"/>
              <w:jc w:val="left"/>
              <w:rPr>
                <w:sz w:val="4"/>
                <w:szCs w:val="4"/>
              </w:rPr>
            </w:pPr>
            <w:r>
              <w:rPr>
                <w:sz w:val="4"/>
                <w:szCs w:val="4"/>
              </w:rPr>
            </w:r>
          </w:p>
        </w:tc>
      </w:tr>
    </w:tbl>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28</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7726680" cy="30480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726680" cy="3048000"/>
                    </a:xfrm>
                    <a:prstGeom prst="rect">
                      <a:avLst/>
                    </a:prstGeom>
                  </pic:spPr>
                </pic:pic>
              </a:graphicData>
            </a:graphic>
          </wp:inline>
        </w:drawing>
      </w:r>
      <w:bookmarkStart w:id="37" w:name="i-36"/>
      <w:bookmarkEnd w:id="37"/>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PROPOSAL NO. 4:</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Approval of the Amendment and Restatement of the Lucid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Group, Inc. Amended and Restated 2021 Stock Incentive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Plan</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SUMMARY AND BACKGROUND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are asking our stockholders to approve the Lucid Group, Inc. Amended and Restated 2021 Stock Incentive Plan,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effective June 4, 2026 (the “Amended Plan”). The Amended Plan is an amendment and restatement of the Lucid Group, Inc.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Amended and Restated 2021 Stock Incentive Plan (the “Plan”), which was most recently approved by our stockholders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June 5, 2025. The Plan was initially effective on July 23, 2021 and has been amended in 2022, 2023, 2024 and 2025.</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Amended Plan would increase the maximum aggregate number of shares authorized for issuance pursuant to awards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the Plan by 23,500,000 shares to a total of 61,366,924 shares. The proposed amendment is intended to enhance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flexibility to continue to grant equity to our employees. Competitive equity awards are critical in allowing us to attract, retain,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motivate talented and qualified employees in the highly competitive markets in which we operate.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shares reserved for issuance through the Amended Plan (and the prior restatements of the Plan) cover our annual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equity program awards as well as shares purchased under our Employee Stock Purchase Plan, which is included as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addendum to the Amended Plan (and the prior statements of the Plan) (the “ESPP Addendum”). We do not have a separate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number of shares authorized for issuance pursuant to a standalone Employee Stock Purchase Plan. On April 21, 2026,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Board approved the Amended Plan, subject to the approval of our stockholders.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REASON FOR THE PROPOSAL</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purpose of the Amended Plan is to enhance our ability to attract, retain, incentivize, reward, and motivate service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providers who make (or are expected to make) important contributions to the Company by providing these individuals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equity ownership and other incentive opportunities.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use of equity compensation and the alignment with stockholders it provides has helped us achieve the success, growth,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value creation experienced by us and our stockholders. The Board believes that an increase in the shares available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issuance under the Plan will enable us to attract and retain the best available talent to grow our business and to ensure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sufficient number of shares will be available through June 2027.</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29</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23,500,000 shares requested reflects the number of shares we forecast to be necessary to support our equity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program for the current fiscal year 2026 and through June 2027 based on our new hire and annual grant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practices. Based on the closing price per share of Company common stock of $9.90 on March 13, 2026, the aggregate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market value of the 23,500,000 additional shares available for equity awards under the Amended Plan if this proposal 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approved would be approximately $232,650,000.</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CONSEQUENCES OF FAILURE TO APPROVE PROPOSAL</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of March 15, 2026, we had 3,309,433 shares remaining available for issuance under the Plan. The Plan is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Company’s only current plan for granting equity incentive compensation to our employees, other than the ESPP Addendum,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which allows employees to purchase our stock at a discount on a tax favorable basis. We anticipate that such remaining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will be insufficient to support our annual equity grant cycle for fiscal year 2026 and through June 2027. If this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Proposal No. 4 is not approved by our stockholders, we will continue to operate the Plan pursuant to its current provisions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until there are no longer shares remaining available for issuance under the Plan and the Board will need to consider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alternative arrangements to delivering competitive long-term compensation, including cash-based awards, in the absence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equity award availability. If we are unable to grant equity awards, our ability to hire and retain necessary talent will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significantly limited and will have a negative impact on our ability to grow and operate our business. </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ELIGIBLE PARTICIPANTS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of March 15, 2026, the number of persons eligible to participate in the Plan was approximately 8,851 employees, 54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consultants or independent contractors, and eight non-employee directors. The basis for participation in the Plan is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decision of the Compensation and Human Capital Committee and in some instances, of the Board, that an award to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eligible person will further the Plan’s purposes to attract, retain, incentivize, reward, and motivate service providers,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described above. In exercising its discretion, the Compensation and Human Capital Committee or the Board will consider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recommendations of management and the purposes of the Plan.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30</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Equity Compensation Plan Information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following table presents certain information with respect to our equity compensation plans as of December 31, 2025,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required by Item 201(d) of Regulation S-K of the Exchange Act:</w:t>
      </w:r>
    </w:p>
    <w:tbl>
      <w:tblPr>
        <w:tblW w:w="9377" w:type="dxa"/>
        <w:jc w:val="left"/>
        <w:tblInd w:w="0" w:type="dxa"/>
        <w:tblLayout w:type="fixed"/>
        <w:tblCellMar>
          <w:top w:w="28" w:type="dxa"/>
          <w:left w:w="28" w:type="dxa"/>
          <w:bottom w:w="28" w:type="dxa"/>
          <w:right w:w="28" w:type="dxa"/>
        </w:tblCellMar>
      </w:tblPr>
      <w:tblGrid>
        <w:gridCol w:w="124"/>
        <w:gridCol w:w="2551"/>
        <w:gridCol w:w="109"/>
        <w:gridCol w:w="1504"/>
        <w:gridCol w:w="371"/>
        <w:gridCol w:w="109"/>
        <w:gridCol w:w="1685"/>
        <w:gridCol w:w="580"/>
        <w:gridCol w:w="109"/>
        <w:gridCol w:w="1683"/>
        <w:gridCol w:w="552"/>
      </w:tblGrid>
      <w:tr>
        <w:trPr/>
        <w:tc>
          <w:tcPr>
            <w:tcW w:w="124"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55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504" w:type="dxa"/>
            <w:tcBorders/>
            <w:shd w:fill="000000" w:val="clear"/>
            <w:vAlign w:val="center"/>
          </w:tcPr>
          <w:p>
            <w:pPr>
              <w:pStyle w:val="TableContents"/>
              <w:bidi w:val="0"/>
              <w:spacing w:before="0" w:after="283"/>
              <w:jc w:val="left"/>
              <w:rPr>
                <w:sz w:val="4"/>
                <w:szCs w:val="4"/>
              </w:rPr>
            </w:pPr>
            <w:r>
              <w:rPr>
                <w:sz w:val="4"/>
                <w:szCs w:val="4"/>
              </w:rPr>
            </w:r>
          </w:p>
        </w:tc>
        <w:tc>
          <w:tcPr>
            <w:tcW w:w="37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685" w:type="dxa"/>
            <w:tcBorders/>
            <w:shd w:fill="000000" w:val="clear"/>
            <w:vAlign w:val="center"/>
          </w:tcPr>
          <w:p>
            <w:pPr>
              <w:pStyle w:val="TableContents"/>
              <w:bidi w:val="0"/>
              <w:spacing w:before="0" w:after="283"/>
              <w:jc w:val="left"/>
              <w:rPr>
                <w:sz w:val="4"/>
                <w:szCs w:val="4"/>
              </w:rPr>
            </w:pPr>
            <w:r>
              <w:rPr>
                <w:sz w:val="4"/>
                <w:szCs w:val="4"/>
              </w:rPr>
            </w:r>
          </w:p>
        </w:tc>
        <w:tc>
          <w:tcPr>
            <w:tcW w:w="580"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683" w:type="dxa"/>
            <w:tcBorders/>
            <w:shd w:fill="000000" w:val="clear"/>
            <w:vAlign w:val="center"/>
          </w:tcPr>
          <w:p>
            <w:pPr>
              <w:pStyle w:val="TableContents"/>
              <w:bidi w:val="0"/>
              <w:spacing w:before="0" w:after="283"/>
              <w:jc w:val="left"/>
              <w:rPr>
                <w:sz w:val="4"/>
                <w:szCs w:val="4"/>
              </w:rPr>
            </w:pPr>
            <w:r>
              <w:rPr>
                <w:sz w:val="4"/>
                <w:szCs w:val="4"/>
              </w:rPr>
            </w:r>
          </w:p>
        </w:tc>
        <w:tc>
          <w:tcPr>
            <w:tcW w:w="552"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55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Plan Category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875" w:type="dxa"/>
            <w:gridSpan w:val="2"/>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Number of Securities to be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Issued Upon Exercise of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Outstanding Options,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Warrants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and Rights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(a)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265" w:type="dxa"/>
            <w:gridSpan w:val="2"/>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Weighted Average Exercise Price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of Outstanding Options,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Warrants and Rights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(b)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235" w:type="dxa"/>
            <w:gridSpan w:val="2"/>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Number of Securities Remaining</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Available for Future Issuance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under Equity Compensation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Plans (excluding securities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reflected in column (a))</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(c)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55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504" w:type="dxa"/>
            <w:tcBorders/>
            <w:shd w:fill="000000" w:val="clear"/>
            <w:vAlign w:val="center"/>
          </w:tcPr>
          <w:p>
            <w:pPr>
              <w:pStyle w:val="TableContents"/>
              <w:bidi w:val="0"/>
              <w:spacing w:before="0" w:after="283"/>
              <w:jc w:val="left"/>
              <w:rPr>
                <w:sz w:val="4"/>
                <w:szCs w:val="4"/>
              </w:rPr>
            </w:pPr>
            <w:r>
              <w:rPr>
                <w:sz w:val="4"/>
                <w:szCs w:val="4"/>
              </w:rPr>
            </w:r>
          </w:p>
        </w:tc>
        <w:tc>
          <w:tcPr>
            <w:tcW w:w="37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685" w:type="dxa"/>
            <w:tcBorders/>
            <w:shd w:fill="000000" w:val="clear"/>
            <w:vAlign w:val="center"/>
          </w:tcPr>
          <w:p>
            <w:pPr>
              <w:pStyle w:val="TableContents"/>
              <w:bidi w:val="0"/>
              <w:spacing w:before="0" w:after="283"/>
              <w:jc w:val="left"/>
              <w:rPr>
                <w:sz w:val="4"/>
                <w:szCs w:val="4"/>
              </w:rPr>
            </w:pPr>
            <w:r>
              <w:rPr>
                <w:sz w:val="4"/>
                <w:szCs w:val="4"/>
              </w:rPr>
            </w:r>
          </w:p>
        </w:tc>
        <w:tc>
          <w:tcPr>
            <w:tcW w:w="580"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683" w:type="dxa"/>
            <w:tcBorders/>
            <w:shd w:fill="000000" w:val="clear"/>
            <w:vAlign w:val="center"/>
          </w:tcPr>
          <w:p>
            <w:pPr>
              <w:pStyle w:val="TableContents"/>
              <w:bidi w:val="0"/>
              <w:spacing w:before="0" w:after="283"/>
              <w:jc w:val="left"/>
              <w:rPr>
                <w:sz w:val="4"/>
                <w:szCs w:val="4"/>
              </w:rPr>
            </w:pPr>
            <w:r>
              <w:rPr>
                <w:sz w:val="4"/>
                <w:szCs w:val="4"/>
              </w:rPr>
            </w:r>
          </w:p>
        </w:tc>
        <w:tc>
          <w:tcPr>
            <w:tcW w:w="552"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Equity compensation plans</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approved by security holders </w:t>
            </w:r>
          </w:p>
        </w:tc>
        <w:tc>
          <w:tcPr>
            <w:tcW w:w="10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22,020,251</w:t>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$19.09</w:t>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3,437,107</w:t>
            </w:r>
          </w:p>
        </w:tc>
        <w:tc>
          <w:tcPr>
            <w:tcW w:w="552"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Equity compensation plans</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not approved by security holders </w:t>
            </w:r>
          </w:p>
        </w:tc>
        <w:tc>
          <w:tcPr>
            <w:tcW w:w="10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2"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22,020,251</w:t>
            </w:r>
          </w:p>
        </w:tc>
        <w:tc>
          <w:tcPr>
            <w:tcW w:w="3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$19.09</w:t>
            </w:r>
          </w:p>
        </w:tc>
        <w:tc>
          <w:tcPr>
            <w:tcW w:w="580"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3,437,107</w:t>
            </w:r>
          </w:p>
        </w:tc>
        <w:tc>
          <w:tcPr>
            <w:tcW w:w="55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(3)</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 xml:space="preserve">Represents shares to be issued upon exercise of stock options and vesting of time-based and performance-based restricted stock units (reflects actual performance levels for PSUs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with performance periods that ended or before fiscal year-end 2025 and assumes maximum performance levels for PSUs with open performance periods following fiscal year-end 2025)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under the Plan.</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trike w:val="false"/>
          <w:dstrike w:val="false"/>
          <w:sz w:val="12"/>
          <w:u w:val="none"/>
          <w:effect w:val="none"/>
        </w:rPr>
        <w:t xml:space="preserve">Shares issuable upon vesting of time-based and performance-based restricted stock unit awards have been excluded from the calculation of the weighted average exercise price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because they have no exercise price associated with them.</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(3)</w:t>
      </w:r>
      <w:r>
        <w:rPr>
          <w:rFonts w:ascii="Arial;sans-serif" w:hAnsi="Arial;sans-serif"/>
          <w:b w:val="false"/>
          <w:i w:val="false"/>
          <w:caps w:val="false"/>
          <w:smallCaps w:val="false"/>
          <w:strike w:val="false"/>
          <w:dstrike w:val="false"/>
          <w:sz w:val="12"/>
          <w:u w:val="none"/>
          <w:effect w:val="none"/>
        </w:rPr>
        <w:t xml:space="preserve">Represents shares available for issuance under the Plan, including shares available for purchase under the Company’s Employee Stock Purchase Plan. Excludes the proposed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increase of 23,500,000 shares that is contingent on stockholder approval of this proposal.</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Additional Information Regarding Equity Awards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aggregate number of shares subject to stock options and other equity awards under the Plan (including the ESPP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Addendum) since its inception through March 15, 2026 is set forth in the table below.</w:t>
      </w:r>
    </w:p>
    <w:tbl>
      <w:tblPr>
        <w:tblW w:w="9579" w:type="dxa"/>
        <w:jc w:val="left"/>
        <w:tblInd w:w="0" w:type="dxa"/>
        <w:tblLayout w:type="fixed"/>
        <w:tblCellMar>
          <w:top w:w="28" w:type="dxa"/>
          <w:left w:w="28" w:type="dxa"/>
          <w:bottom w:w="28" w:type="dxa"/>
          <w:right w:w="28" w:type="dxa"/>
        </w:tblCellMar>
      </w:tblPr>
      <w:tblGrid>
        <w:gridCol w:w="124"/>
        <w:gridCol w:w="5386"/>
        <w:gridCol w:w="109"/>
        <w:gridCol w:w="811"/>
        <w:gridCol w:w="109"/>
        <w:gridCol w:w="1576"/>
        <w:gridCol w:w="109"/>
        <w:gridCol w:w="120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53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57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01"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9301" w:type="dxa"/>
            <w:gridSpan w:val="7"/>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Lucid Group, Inc. Amended and Restated 2021 Stock Incentive Plan </w:t>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538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538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5386" w:type="dxa"/>
            <w:tcBorders/>
            <w:shd w:fill="000000" w:val="clear"/>
            <w:vAlign w:val="center"/>
          </w:tcPr>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Name and Position</w:t>
            </w:r>
            <w:r>
              <w:rPr>
                <w:rFonts w:ascii="Arial;sans-serif" w:hAnsi="Arial;sans-serif"/>
                <w:b/>
                <w:i w:val="false"/>
                <w:caps w:val="false"/>
                <w:smallCaps w:val="false"/>
                <w:strike w:val="false"/>
                <w:dstrike w:val="false"/>
                <w:color w:val="FEFEFE"/>
                <w:sz w:val="9"/>
                <w:u w:val="none"/>
                <w:effect w:val="none"/>
              </w:rPr>
              <w:t>(1)</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Number of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Options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Granted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57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Weighted Average Per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Share Exercise Price </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(2)</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0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Number of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Shares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Subject to Other </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Stock Awards</w:t>
            </w:r>
            <w:r>
              <w:rPr>
                <w:rFonts w:ascii="Arial;sans-serif" w:hAnsi="Arial;sans-serif"/>
                <w:b/>
                <w:i w:val="false"/>
                <w:caps w:val="false"/>
                <w:smallCaps w:val="false"/>
                <w:strike w:val="false"/>
                <w:dstrike w:val="false"/>
                <w:color w:val="FEFEFE"/>
                <w:sz w:val="9"/>
                <w:u w:val="none"/>
                <w:effect w:val="none"/>
              </w:rPr>
              <w:t>(3)</w:t>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53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57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01"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Marc Winterhoff,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Interim Chief Executive Officer </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71,391</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52.50</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576,252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Taoufiq Boussaid,</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Chief Financial Officer </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341,574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Gagan Dhingra,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Senior Vice President, Finance and Accounting and Principal Accounting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Officer </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11,350</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82.60</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291,399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Peter Rawlinson,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Former Chief Executive Officer, Chief Technology Officer &amp; Director </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67,277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Eric Bach,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Former Senior Vice President, Product and Chief Engineer</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40,865</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82.60</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562,697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Turqi Alnowaiser </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26,530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Douglas Grimm</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15,099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31</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tbl>
      <w:tblPr>
        <w:tblW w:w="9999" w:type="dxa"/>
        <w:jc w:val="left"/>
        <w:tblInd w:w="0" w:type="dxa"/>
        <w:tblLayout w:type="fixed"/>
        <w:tblCellMar>
          <w:top w:w="28" w:type="dxa"/>
          <w:left w:w="28" w:type="dxa"/>
          <w:bottom w:w="28" w:type="dxa"/>
          <w:right w:w="28" w:type="dxa"/>
        </w:tblCellMar>
      </w:tblPr>
      <w:tblGrid>
        <w:gridCol w:w="124"/>
        <w:gridCol w:w="5806"/>
        <w:gridCol w:w="109"/>
        <w:gridCol w:w="811"/>
        <w:gridCol w:w="109"/>
        <w:gridCol w:w="1576"/>
        <w:gridCol w:w="109"/>
        <w:gridCol w:w="120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580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57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01"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9721" w:type="dxa"/>
            <w:gridSpan w:val="7"/>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Lucid Group, Inc. Amended and Restated 2021 Stock Incentive Plan </w:t>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580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580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5806" w:type="dxa"/>
            <w:tcBorders/>
            <w:shd w:fill="000000" w:val="clear"/>
            <w:vAlign w:val="center"/>
          </w:tcPr>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Name and Position</w:t>
            </w:r>
            <w:r>
              <w:rPr>
                <w:rFonts w:ascii="Arial;sans-serif" w:hAnsi="Arial;sans-serif"/>
                <w:b/>
                <w:i w:val="false"/>
                <w:caps w:val="false"/>
                <w:smallCaps w:val="false"/>
                <w:strike w:val="false"/>
                <w:dstrike w:val="false"/>
                <w:color w:val="FEFEFE"/>
                <w:sz w:val="9"/>
                <w:u w:val="none"/>
                <w:effect w:val="none"/>
              </w:rPr>
              <w:t>(1)</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Number of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Options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Granted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57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Weighted Average Per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Share Exercise Price </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(2)</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0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Number of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Shares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Subject to Other </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Stock Awards</w:t>
            </w:r>
            <w:r>
              <w:rPr>
                <w:rFonts w:ascii="Arial;sans-serif" w:hAnsi="Arial;sans-serif"/>
                <w:b/>
                <w:i w:val="false"/>
                <w:caps w:val="false"/>
                <w:smallCaps w:val="false"/>
                <w:strike w:val="false"/>
                <w:dstrike w:val="false"/>
                <w:color w:val="FEFEFE"/>
                <w:sz w:val="9"/>
                <w:u w:val="none"/>
                <w:effect w:val="none"/>
              </w:rPr>
              <w:t>(3)</w:t>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580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57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01"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Lisa M. Lambert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25,126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Andrew Liveris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26,369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Nichelle Maynard-Elliott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25,885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Chabi Nouri</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25,394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Ori Winitzer</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25,394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Janet S. Wong</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26,691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All Current Executive Officers as a Group</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both"/>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71,391</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52.50</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917,826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All Current Non-Employee Directors as a Group</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196,488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Each Nominee for Election as a Director</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Each Associate of Any of Such Directors, Executive Officers or Nominees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Each Other Person Who Received or Is to receive 5 percent of Such Options,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Warrants or Rights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All Employees, Other than Current Executive Officers as a Group</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434,769</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78.01</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40,481,556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Silvio Napoli is not included in this table because he joined the Company following March 15, 2026.</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trike w:val="false"/>
          <w:dstrike w:val="false"/>
          <w:sz w:val="12"/>
          <w:u w:val="none"/>
          <w:effect w:val="none"/>
        </w:rPr>
        <w:t xml:space="preserve">As of March 15, 2026, the weighted average exercise price of the total outstanding stock options granted under the Plan was $68.53 and the weighted average remaining contractual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life was 4.53 years.</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(3)</w:t>
      </w:r>
      <w:r>
        <w:rPr>
          <w:rFonts w:ascii="Arial;sans-serif" w:hAnsi="Arial;sans-serif"/>
          <w:b w:val="false"/>
          <w:i w:val="false"/>
          <w:caps w:val="false"/>
          <w:smallCaps w:val="false"/>
          <w:strike w:val="false"/>
          <w:dstrike w:val="false"/>
          <w:sz w:val="12"/>
          <w:u w:val="none"/>
          <w:effect w:val="none"/>
        </w:rPr>
        <w:t xml:space="preserve">Other stock awards are in the form of RSUs and PSUs.  Reflect actual performance levels for PSUs with performance periods end on or before fiscal year-end 2025 and assumes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maximum performance levels for PSUs with open performance periods following fiscal year-end 2025.</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ADDITIONAL INFORMATION REGARDING SHARE INCREASE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If stockholders approve the Amended Plan, such plan will authorize no more than 61,366,924 shares for issuance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thereunder in the aggregate.</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Stock Plan Share Reserve Summary Table (includes the ESPP Addendum)</w:t>
      </w:r>
    </w:p>
    <w:tbl>
      <w:tblPr>
        <w:tblW w:w="8685" w:type="dxa"/>
        <w:jc w:val="left"/>
        <w:tblInd w:w="0" w:type="dxa"/>
        <w:tblLayout w:type="fixed"/>
        <w:tblCellMar>
          <w:top w:w="28" w:type="dxa"/>
          <w:left w:w="28" w:type="dxa"/>
          <w:bottom w:w="28" w:type="dxa"/>
          <w:right w:w="28" w:type="dxa"/>
        </w:tblCellMar>
      </w:tblPr>
      <w:tblGrid>
        <w:gridCol w:w="124"/>
        <w:gridCol w:w="271"/>
        <w:gridCol w:w="109"/>
        <w:gridCol w:w="7111"/>
        <w:gridCol w:w="109"/>
        <w:gridCol w:w="96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7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1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6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7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1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6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Shares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7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1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6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A </w:t>
            </w:r>
          </w:p>
        </w:tc>
        <w:tc>
          <w:tcPr>
            <w:tcW w:w="109" w:type="dxa"/>
            <w:tcBorders/>
            <w:vAlign w:val="center"/>
          </w:tcPr>
          <w:p>
            <w:pPr>
              <w:pStyle w:val="TableContents"/>
              <w:bidi w:val="0"/>
              <w:spacing w:before="0" w:after="283"/>
              <w:jc w:val="left"/>
              <w:rPr>
                <w:sz w:val="4"/>
                <w:szCs w:val="4"/>
              </w:rPr>
            </w:pPr>
            <w:r>
              <w:rPr>
                <w:sz w:val="4"/>
                <w:szCs w:val="4"/>
              </w:rPr>
            </w:r>
          </w:p>
        </w:tc>
        <w:tc>
          <w:tcPr>
            <w:tcW w:w="71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Total shares authorized under the stock incentive plan, prior to the proposed amendment </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37,866,924</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B </w:t>
            </w:r>
          </w:p>
        </w:tc>
        <w:tc>
          <w:tcPr>
            <w:tcW w:w="109" w:type="dxa"/>
            <w:tcBorders/>
            <w:vAlign w:val="center"/>
          </w:tcPr>
          <w:p>
            <w:pPr>
              <w:pStyle w:val="TableContents"/>
              <w:bidi w:val="0"/>
              <w:spacing w:before="0" w:after="283"/>
              <w:jc w:val="left"/>
              <w:rPr>
                <w:sz w:val="4"/>
                <w:szCs w:val="4"/>
              </w:rPr>
            </w:pPr>
            <w:r>
              <w:rPr>
                <w:sz w:val="4"/>
                <w:szCs w:val="4"/>
              </w:rPr>
            </w:r>
          </w:p>
        </w:tc>
        <w:tc>
          <w:tcPr>
            <w:tcW w:w="71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Shares available to be granted under the plan as of March 15, 2026</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3,309,433</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C </w:t>
            </w:r>
          </w:p>
        </w:tc>
        <w:tc>
          <w:tcPr>
            <w:tcW w:w="109" w:type="dxa"/>
            <w:tcBorders/>
            <w:vAlign w:val="center"/>
          </w:tcPr>
          <w:p>
            <w:pPr>
              <w:pStyle w:val="TableContents"/>
              <w:bidi w:val="0"/>
              <w:spacing w:before="0" w:after="283"/>
              <w:jc w:val="left"/>
              <w:rPr>
                <w:sz w:val="4"/>
                <w:szCs w:val="4"/>
              </w:rPr>
            </w:pPr>
            <w:r>
              <w:rPr>
                <w:sz w:val="4"/>
                <w:szCs w:val="4"/>
              </w:rPr>
            </w:r>
          </w:p>
        </w:tc>
        <w:tc>
          <w:tcPr>
            <w:tcW w:w="71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Amount of proposed share increase </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23,500,000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D </w:t>
            </w:r>
          </w:p>
        </w:tc>
        <w:tc>
          <w:tcPr>
            <w:tcW w:w="109" w:type="dxa"/>
            <w:tcBorders/>
            <w:vAlign w:val="center"/>
          </w:tcPr>
          <w:p>
            <w:pPr>
              <w:pStyle w:val="TableContents"/>
              <w:bidi w:val="0"/>
              <w:spacing w:before="0" w:after="283"/>
              <w:jc w:val="left"/>
              <w:rPr>
                <w:sz w:val="4"/>
                <w:szCs w:val="4"/>
              </w:rPr>
            </w:pPr>
            <w:r>
              <w:rPr>
                <w:sz w:val="4"/>
                <w:szCs w:val="4"/>
              </w:rPr>
            </w:r>
          </w:p>
        </w:tc>
        <w:tc>
          <w:tcPr>
            <w:tcW w:w="71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Shares available for grant under the plan with the proposed share increase as of March 15, 2026</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26,809,433</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E </w:t>
            </w:r>
          </w:p>
        </w:tc>
        <w:tc>
          <w:tcPr>
            <w:tcW w:w="109" w:type="dxa"/>
            <w:tcBorders/>
            <w:vAlign w:val="center"/>
          </w:tcPr>
          <w:p>
            <w:pPr>
              <w:pStyle w:val="TableContents"/>
              <w:bidi w:val="0"/>
              <w:spacing w:before="0" w:after="283"/>
              <w:jc w:val="left"/>
              <w:rPr>
                <w:sz w:val="4"/>
                <w:szCs w:val="4"/>
              </w:rPr>
            </w:pPr>
            <w:r>
              <w:rPr>
                <w:sz w:val="4"/>
                <w:szCs w:val="4"/>
              </w:rPr>
            </w:r>
          </w:p>
        </w:tc>
        <w:tc>
          <w:tcPr>
            <w:tcW w:w="71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Total shares authorized under the stock incentive plan, with the proposed increase</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61,366,924</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32</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determining the amount of the share increase, management and the Compensation and Human Capital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evaluated the stock incentive plan’s historic dilution rate, burn rate, and overhang and determined that the share increase 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advisable. The Compensation and Human Capital Committee anticipates that the shares that will be available for new award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grants under the Amended Plan, if stockholders approve this proposal, will provide us with flexibility to maintain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competitive compensation program to acquire, retain and incentivize service providers.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proposed share increase of 23,500,000 shares represents 7.12% of our total Common Stock outstanding as of March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15, 2026. There were 330,143,771 shares outstanding as of March 15, 2026. Dilution is the total number of shares subject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equity awards granted (less cancellations) divided by the total common shares outstanding at the end of the fiscal year.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average annual dilution over the last three fiscal years was 3.54%. Burn rate is another measure of dilution that shows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how rapidly a company is depleting its shares reserved for equity compensation plans and differs from annual dilution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because it does not take into account cancellations. Our annual burn rate over the last three fiscal years has averaged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4.19%. An additional metric that we use to measure the cumulative impact of the stock incentive plan is overhang (number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shares subject to equity awards granted under the Plan that are outstanding but not exercised, plus number of shares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available to be granted under the Plan, divided by the numerator plus total common shares outstanding at the end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year). For each of the last three fiscal years, our overhang has averaged 4.83%. If the Amended Plan is approved,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overhang would increase to 11.89%, based on data available as of March 15, 2026.</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Stock Plan Share Reservation Summary Table</w:t>
      </w:r>
    </w:p>
    <w:tbl>
      <w:tblPr>
        <w:tblW w:w="9640" w:type="dxa"/>
        <w:jc w:val="left"/>
        <w:tblInd w:w="0" w:type="dxa"/>
        <w:tblLayout w:type="fixed"/>
        <w:tblCellMar>
          <w:top w:w="28" w:type="dxa"/>
          <w:left w:w="28" w:type="dxa"/>
          <w:bottom w:w="28" w:type="dxa"/>
          <w:right w:w="28" w:type="dxa"/>
        </w:tblCellMar>
      </w:tblPr>
      <w:tblGrid>
        <w:gridCol w:w="124"/>
        <w:gridCol w:w="4951"/>
        <w:gridCol w:w="109"/>
        <w:gridCol w:w="886"/>
        <w:gridCol w:w="109"/>
        <w:gridCol w:w="886"/>
        <w:gridCol w:w="109"/>
        <w:gridCol w:w="886"/>
        <w:gridCol w:w="109"/>
        <w:gridCol w:w="1471"/>
      </w:tblGrid>
      <w:tr>
        <w:trPr/>
        <w:tc>
          <w:tcPr>
            <w:tcW w:w="124"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495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47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495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Fiscal 2025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Fiscal 2024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Fiscal 2023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47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Three-Year Average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(Fiscal 2023-2025)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495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47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Percentage of Equity-Based Awards Granted to Named Executive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Officers </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0.31%</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0.18%</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0.30%</w:t>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0.26%</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Dilution </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5.63%</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2.89%</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2.10%</w:t>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3.54%</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Burn Rate </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6.46%</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3.60%</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2.50%</w:t>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4.19%</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Overhang </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6.70%</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4.62%</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3.18%</w:t>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4.83%</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DESCRIPTION OF THE MATERIAL FEATURES OF THE PLAN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following is a summary of the Amended Plan and is qualified in its entirety by the full text of the Amended Plan, a copy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which is included as Annex A to this Proxy Statement. Except for the change to the Plan as noted above (e.g.,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increase in shares available under the Plan), the Amended Plan contains substantially the same terms as the Plan.</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Size of Share Pool; Shares Available and Limitations on Awards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of March 15, 2026, there were 3,309,433 shares remaining for issuance under the Plan. If our stockholders approve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Amended Plan, the number of shares available for issuance will be increased by 23,500,000 shares effective as of the date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of the Annual Meeting.</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More specifically, as of the date of the Annual Meeting (assuming our stockholders approve the Amended Plan),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maximum aggregate number of shares authorized for issuance as awards under the Plan on or after July 23, 2021 (the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Effective Date”) shall not exceed 61,366,924 shares (which is the sum of the following amounts, as equitably adjusted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reflect the one-for-ten (1:10) Reverse Stock Split effected on August 29, 2025 with respect to increases approved by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Board prior to August 29, 2025):</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23,500,000 shares approved by the Board on April 21, 2026, under the fifth restatement of the Plan;</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18,400,000 shares approved by the Board on April 22, 2025, under the fourth restatement of the Plan;</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11,900,000 shares approved by the Board on April 22, 2024 under the third restatement of the Plan;</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3,916,657 shares approved by the Board on March 2, 2023 under the second restatement of the Plan;</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1,500,000 shares approved by the Board on April 27, 2022 under the first restatement of the Plan;</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1,250,000 shares initially authorized for issuance under the Plan as of the Effective Date;</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33</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900,267 shares initially authorized under the Plan as of the Effective Date, which represents the number of shares equal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the number of unallocated shares of stock of Atieva, Inc. remaining available for issuance under (1) the 2021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Incentive Plan of Atieva, Inc., as amended, (2) the 2014 Share Plan of Atieva, Inc., as amended, and (3) the 2009 Share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Plan of Atieva, Inc. as amended (collectively, the “Prior Plans”); and</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any shares subject to stock awards granted under the Prior Plans outstanding as of the Effective Date that (1) expire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terminate for any reason prior to exercise or settlement; (2) are forfeited, cancelled or otherwise returned to Lucid because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the failure to meet a contingency or condition required to vest such shares; or (3) are reacquired or withheld (or not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issued) to satisfy a tax withholding obligation in connection with an award or to satisfy the purchase price or exercise price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of a stock award.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addition, (i) if restricted shares or shares issued upon the exercise of options are forfeited then such shares shall again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become available for awards under the Plan; (ii) if restricted stock units, options, stock appreciation rights (“SARs”) or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purchase rights are forfeited or terminate for any reason before being exercised or settled, or an award is settled in cash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without the delivery of shares to the holder, then the corresponding shares shall again become available for awards under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Plan; (iii) if restricted stock units or SARs are settled, then only the number of shares (if any) actually issued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settlement of such restricted stock units or SARs shall reduce the number of shares available under the Plan and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balance (including any shares withheld to satisfy tax withholding obligations) shall again become available for awards under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Plan; and (iv) any shares withheld to satisfy the exercise price or tax withholding obligation pursuant to any award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options or SARs shall be added back to the shares available for awards under the Plan. The number of shares authorized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 grant under the Plan is subject to adjustment (as described below). Notwithstanding the foregoing, of the maximum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aggregate shares issuable under the Plan, up to 61,366,924 shares (on a Reverse Stock Split-adjusted basis) may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issued in the form of incentive stock options (“ISOs”). In addition, notwithstanding the foregoing, the number of aggregate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shares issuable under the Plan and the ESPP Addendum may not exceed 61,366,924.</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maximum number of shares subject to awards granted under the Plan during any calendar year to any outside director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(defined as a member of the Board who is not an employee or consultant of Lucid), plus any cash fees paid to the outside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director in a calendar year for service on the Board, will not exceed $1 million in total value for the first year of service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$750,000 in total value per year thereafter.</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Administration of the Plan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Plan is administered by the Compensation and Human Capital Committee or other committee (of two or more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directors) appointed by the Board, or by the Board. The Compensation and Human Capital Committee generally has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authority, among other things, to interpret the Plan, adopt rules relating to the Plan, adopt, amend, or terminate the ESPP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Addendum or any sub- plan, determine participants and awards to be granted under the Plan, prescribe the terms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conditions of awards, administer the ESPP Addendum, or take any other actions necessary or advisable for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administration of the Plan.</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Types of Awards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following types of awards may be made under the Plan. All the awards described below are subject to the conditions,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limitations, restrictions, exercise price, vesting, and forfeiture provisions determined by the Compensation and Human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Capital Committee, in its sole discretion, subject to such limitations as are provided in the Plan. In addition, subject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limitations provided in the Plan and in accordance with applicable law, the Compensation and Human Capital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may accelerate or defer the vesting or payment of awards, cancel, or modify outstanding awards, and waive any conditions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or restrictions imposed with respect to awards.</w:t>
      </w:r>
    </w:p>
    <w:p>
      <w:pPr>
        <w:pStyle w:val="TextBody"/>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Restricted Shares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 restricted share award is an award of outstanding shares that does not vest until after a specified period of continuous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service, or satisfaction of other vesting conditions as determined by the Compensation and Human Capital Committee,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which may be forfeited if conditions to vesting are not met. At the Compensation and Human Capital Committee’s discretion,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participants may be credited with dividends and other distributions that will be paid to the holder only when unvested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restricted shares vest. Participants are also generally entitled to the same voting rights as our other stockholders.</w:t>
      </w:r>
    </w:p>
    <w:p>
      <w:pPr>
        <w:pStyle w:val="TextBody"/>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Non-qualified Stock Options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 award of a non-qualified stock option grants a participant the right to purchase a certain number of shares during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specified term in the future, after a vesting period, at an exercise price equal to at least 100% of the fair market value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shares on the grant date.</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34</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term of a non-qualified stock option may not exceed ten years from the date of grant. Subject to the section entitled “No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Repricing” below, Lucid may (i) modify, extend, or renew outstanding stock options or accept the cancellation of options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return for the grant of new options or a different award or cash or (ii) offer to buy out for a payment in cash or cash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equivalents a non-qualified stock option previously granted. Options may be awarded in combination with SARs, and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 may provide that options will not be exercisable unless the related SARs are forfeited. An award of nonqualified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options generally may not include dividend equivalents.</w:t>
      </w:r>
    </w:p>
    <w:p>
      <w:pPr>
        <w:pStyle w:val="TextBody"/>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Incentive Stock Options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 ISO is a stock option that meets the requirements of Section 422 of the Internal Revenue Code of 1986, as amended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“Code”), which includes an exercise price of no less than 100% of the fair market value of the shares subject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option on the grant date, a term of no more than ten years, and that the option be granted from a plan that has been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approved by stockholders of Lucid. Notwithstanding the foregoing, if granted to a participant who owns shares representing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more than 10% of the voting power of all classes of shares of Lucid, its parent or one of its subsidiaries, an ISO must have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 of not more than five years and an exercise price of no less than 110% of the fair market value of the shares subject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option on the grant date. An award of ISOs generally may not include dividend equivalents.</w:t>
      </w:r>
    </w:p>
    <w:p>
      <w:pPr>
        <w:pStyle w:val="TextBody"/>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Unrestricted Shares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Subject to limits in the Plan, the Compensation and Human Capital Committee may issue unrestricted shares, in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amounts and subject to such terms and conditions as the Compensation and Human Capital Committee determines.</w:t>
      </w:r>
    </w:p>
    <w:p>
      <w:pPr>
        <w:pStyle w:val="TextBody"/>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Stock Appreciation Rights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 SAR entitles the participant to receive an amount equal to the difference between the fair market value of Lucid shares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exercise date and the exercise price of the SAR (which may not be less than 100% of the fair market value of a share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grant date (except with respect to substitute awards)), multiplied by the number of shares subject to the SAR. An award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of SARs generally may not include dividend equivalents.</w:t>
      </w:r>
    </w:p>
    <w:p>
      <w:pPr>
        <w:pStyle w:val="TextBody"/>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Restricted Stock Units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 time-based restricted stock unit ("RSU") is an award denominated in shares that may be settled either in shares or cash,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a combination of both, subject to terms and conditions determined by the Compensation and Human Capital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 award of restricted stock units may include the right to dividend equivalents, in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Committee’s discretion.</w:t>
      </w:r>
    </w:p>
    <w:p>
      <w:pPr>
        <w:pStyle w:val="TextBody"/>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Cash Awards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may grant cash-based awards to any participant in such number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amount, and subject to such conditions, that the Compensation and Human Capital Committee may determine.</w:t>
      </w:r>
    </w:p>
    <w:p>
      <w:pPr>
        <w:pStyle w:val="TextBody"/>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Stock Purchase Rights under the ESPP Addendum</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purpose of the ESPP Addendum is to provide a broad-based employee benefit to attract the services of new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employees, to retain the services of existing employees and to provide incentives for such individuals to exert maximum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efforts toward our success by purchasing stock from the Company on favorable terms, paid for through payroll deductions.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ESPP Addendum is intended to qualify under Section 423 of the Code.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may grant stock purchase rights under the ESPP Addendum to any participant who is an employee.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and Human Capital Committee may establish sub-plans (which need not qualify under Section 423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Code) to facilitate participation in the ESPP Addendum by non-U.S. employees in compliance with foreign laws.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maximum aggregate number of shares for purchase under the ESPP Addendum during any calendar year beginning on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after January 1, 2026 is 2,000,000 shares (reflecting the one-for-ten (1:10) Reverse Stock Split), or any other such annual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limit as may be approved by the Compensation and Human Capital Committee.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While the ESPP Addendum is in effect, the Compensation and Human Capital Committee may grant options to purchase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of stock during a specified offering period in compliance with the requirements of Section 423 of the Code. Unless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provided otherwise by the Compensation and Human Capital Committee prior to commencement of an offering period,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maximum number of shares which may be purchased by an individual participant during such offering period is 2,500 shares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equitably adjusted to reflect the one-for-ten (1:10) Reverse Stock Split). Termination of employment for any reason will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 treated as an automatic withdrawal from participation in the ESPP Addendum. The purchase price for each share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purchased during an offering period will be the lesser of 85% of the fair market value of the share on the purchase date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85% of the fair market value of the share on the offering date. No participant may be granted a right to purchase stock under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ESPP Addendum if such a purchase would result in the participant owning 5% or more of the combined voting power or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35</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value of all classes of stock of Lucid or any parent or subsidiary of Lucid. No participant shall accrue the right to purchase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 which exceeds $25,000 of fair market value of such stock per calendar year. In the event of a corporate reorganization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(defined as (i) the consummation of a merger, consolidation or any other corporate reorganization of Lucid or (ii) the sale,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transfer or other disposition of all or substantially all of Lucid’s assets or the complete liquidation or dissolution of Lucid)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which the ESPP Addendum is not assumed by the surviving corporation, the offering period in progress will terminate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either (1) shares will be purchased in accordance with the terms of the ESPP Addendum or (2) all amounts in all participant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accounts will be refunded without any purchase of shares.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PERFORMANCE CRITERIA</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Awards granted under the Plan may be subject to specified performance criteria.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Committee may utilize any performance criteria selected by it in its sole discretion to establish performance goals.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DEFERRALS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Subject to compliance with Section 409A of the Code, the Compensation and Human Capital Committee in its sole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discretion may permit or require participants to defer certain amounts or shares paid or issued in respect of awards.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ADJUSTMENTS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the event of a subdivision of the outstanding Common Stock, a declaration of a dividend payable in shares, a declaration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a dividend payable in a form other than shares in an amount that has a material effect on the price of shares,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combination or consolidation of the outstanding Common Stock into a lesser number of shares, a recapitalization, a spin-off,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a similar occurrence, the Compensation and Human Capital Committee may make appropriate and equitable adjustments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(i) the class(es) and number of securities available for future awards; (ii) the class(es) and number of securities covered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by each outstanding award; (iii) the exercise price under each outstanding option and SAR; and (iv) options to purchase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shares granted pursuant to the ESPP Addendum.</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August 29, 2025, the Company effected the Reverse Stock Split of its Common Stock. Consequently, all outstanding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options, RSUs and performance-based RSUs (“PSUs”) granted under the Plan (such outstanding equity awards, collectively,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“Outstanding Equity Awards”) entitling the holders thereof to acquire, through purchase, exercise, vesting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settlement, exchange or otherwise, shares of Common Stock, were adjusted by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based on the one-for-ten exchange ratio. The Compensation and Human Capital Committee, pursuant to its role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the administrator of the Plan, is authorized to determine certain equitable or proportional adjustments to the Outstanding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Equity Awards and the Plan in the event of a reverse stock split. Accordingly, upon the effect of the Reverse Stock Split,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number of shares available for issuance under the Plan (to the extent awards are permitted to be granted thereunder),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number of shares subject to the Outstanding Equity Awards, and the exercise price and/or purchase price relating to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awards, as applicable, were equitably or proportionately adjusted by the Compensation and Human Capital Committee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reflect the Reverse Stock Split. </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CHANGE IN CONTROL</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the event of a Change in Control (defined as (i) a change in the composition of the Board in which fewer than one half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incumbent directors are the original directors or were elected with at least a majority of the original directors; (ii)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person who, by acquisition or aggregation of securities, is or becomes the beneficial owner of securities of Lucid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representing 50% or more of the voting power of Lucid’s outstanding securities; (iii) the consummation of a merger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consolidation where 50% or more of the voting power is owned by persons who were not stockholders of Lucid prior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merger or consolidation; or (iv) the sale, transfer, or other disposition of all or substantially all of Lucid’s assets), if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surviving corporation does not continue, assume or settle (subject to vesting) outstanding awards (other than stock purchase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rights under the ESPP Addendum), or substitute similar stock awards for outstanding awards (other than stock purchase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rights under the ESPP Addendum), then the Compensation and Human Capital Committee may accelerate the vesting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deem any performance-based vesting to be satisfied at the target level or based on actual performance (or the greater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thereof). The Compensation and Human Capital Committee may also determine at the time of granting of an award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thereafter that an award will vest and/or become exercisable in connection with a Change in Control. The Compensation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Human Capital Committee may treat awards differently.</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NO REPRICING</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Except in connection with corporate transactions, the Compensation and Human Capital Committee may not, without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stockholder approval, effect any repricing or buyout of any “underwater” stock option, SAR, or similar award.</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36</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CLAWBACK</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has the authority, to the extent permitted by applicable law, to specify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 award agreement, exercise notice or share purchase agreement that a participant’s rights, payments and benefits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respect to an award under the Amended Plan shall be subject to reduction, cancellation, forfeiture, or recoupment upon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occurrence of specified events, including but not be limited to, in each case to the extent permitted by applicable law,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termination of service for “cause” (as defined in the Amended Plan) or any act by a participant, whether before or after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termination of service, that would constitute cause for termination of service, a participant’s noncompliance with applicable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restrictive covenants and conditions, and any other events set forth in a clawback, recoupment or similar policy adopted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amended by the Company from time to time, including, without limitation, the Company’s Compensation Recoupment Policy.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Notwithstanding the foregoing, stock purchase rights under the ESPP are subject to the terms of the ESPP Addendum.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current Compensation Recoupment Policy is discussed in more detail under the heading “Compensation Discussion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Analysis — Compensation Recoupment Policy” in this proxy statement.</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ASSIGNABILITY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Unless an award agreement provides otherwise, no award granted under the Plan may be sold, assigned, conveyed, gifted,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pledged, hypothecated, or otherwise transferred in any manner other than by will or the laws of descent and distribution.</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AMENDMENT AND TERMINATION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may amend, suspend, or terminate the Plan or the ESPP Addendum at any time, provided that amendments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any outstanding award agreements are subject to applicable legal restrictions and the consent of the participant if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participant’s right or obligations would be materially impaired.</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NEW PLAN BENEFITS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benefits that will be awarded or paid under the Amended Plan cannot currently be determined, except with respect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certain awards for current non-employee directors.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Each non-employee director elected to the Board at the 2026 Annual Meeting is anticipated to be granted an RSU award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date of the 2026 Annual Meeting with a target grant date value of  $270,000, as discussed later under the section titled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Director Compensation.” In addition, each current non-employee director who served on a certain special committee 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eligible to receive a grant of fully vested restricted stock units on the date of the 2026 Annual Meeting with a target grant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date value equal to $2,000 times the number of special committee meetings the non-employee director attended since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previous annual meeting, subject to a $20,000 cap. Such grants are not subject to stockholder approval of the Amended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Plan and are referred to herein collectively as the “Upcoming Director Grants”).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Awards granted under the Amended Plan are within the Compensation and Human Capital Committee’s discretion, and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and Human Capital Committee has not determined other future awards or who might receive them.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Amended Plan does not have set benefits or amounts, and no grants or awards have been made by the Compensation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Human Capital Committee or the Board that are conditioned upon stockholder approval of the Amended Plan.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following New Plan Benefits table for the Amended Plan sets forth information pertaining to the Upcoming Director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Grants currently contemplated to be made under the Amended Plan:</w:t>
      </w:r>
    </w:p>
    <w:tbl>
      <w:tblPr>
        <w:tblW w:w="6544" w:type="dxa"/>
        <w:jc w:val="left"/>
        <w:tblInd w:w="0" w:type="dxa"/>
        <w:tblLayout w:type="fixed"/>
        <w:tblCellMar>
          <w:top w:w="28" w:type="dxa"/>
          <w:left w:w="28" w:type="dxa"/>
          <w:bottom w:w="28" w:type="dxa"/>
          <w:right w:w="28" w:type="dxa"/>
        </w:tblCellMar>
      </w:tblPr>
      <w:tblGrid>
        <w:gridCol w:w="124"/>
        <w:gridCol w:w="3706"/>
        <w:gridCol w:w="109"/>
        <w:gridCol w:w="1156"/>
        <w:gridCol w:w="109"/>
        <w:gridCol w:w="118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3706"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3706"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2451" w:type="dxa"/>
            <w:gridSpan w:val="3"/>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Stock Awards </w:t>
            </w:r>
          </w:p>
        </w:tc>
        <w:tc>
          <w:tcPr>
            <w:tcW w:w="15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3706"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left w:val="single" w:sz="8" w:space="0" w:color="000000"/>
              <w:bottom w:val="single" w:sz="8" w:space="0" w:color="FFFFFF"/>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8" w:space="0" w:color="000000"/>
              <w:bottom w:val="single" w:sz="8" w:space="0" w:color="FFFFFF"/>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left w:val="single" w:sz="8" w:space="0" w:color="000000"/>
              <w:bottom w:val="single" w:sz="8" w:space="0" w:color="FFFFFF"/>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3706"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FFFFFF"/>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FFFFFF"/>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3706"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 and Position </w:t>
            </w:r>
          </w:p>
        </w:tc>
        <w:tc>
          <w:tcPr>
            <w:tcW w:w="109"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Dollar Value ($) </w:t>
            </w:r>
          </w:p>
        </w:tc>
        <w:tc>
          <w:tcPr>
            <w:tcW w:w="109"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Number of Units </w:t>
            </w:r>
          </w:p>
        </w:tc>
        <w:tc>
          <w:tcPr>
            <w:tcW w:w="15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3706"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All Current Non-Employee Directors as a Group</w:t>
            </w:r>
            <w:r>
              <w:rPr>
                <w:rFonts w:ascii="Arial;sans-serif" w:hAnsi="Arial;sans-serif"/>
                <w:b w:val="false"/>
                <w:i w:val="false"/>
                <w:caps w:val="false"/>
                <w:smallCaps w:val="false"/>
                <w:strike w:val="false"/>
                <w:dstrike w:val="false"/>
                <w:sz w:val="10"/>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2,160,000</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 xml:space="preserve">Represents the Upcoming Director Grants. Further information regarding non-employee director compensation is described under the heading “Director Compensation.” The total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number of shares of our Common Stock subject to each RSU award granted to our Non-Employee Directors is determined by dividing the total dollar value of the award by the volume-</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weighted average price of the Company’s Common Stock during the 30 consecutive trading day period ending on the grant date. Such average is determined based upon the closing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price for each such trading day and the number of shares traded on such day.</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U.S. FEDERAL INCOME TAX CONSEQUENCES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following is a general summary under current law of certain United States federal income tax consequences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 and participants who are citizens or individual residents of the United States relating to awards granted under the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37</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Plan. This summary deals with the general tax principles that apply to such awards and is provided only for general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information. Certain kinds of taxes, such as foreign taxes, state and local income taxes, payroll taxes and the alternative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minimum tax, are not discussed. This summary is not tax advice, and it does not discuss all aspects of federal taxation that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may be relevant to the Company and participants. Accordingly, the Company urges each participant to consult their own tax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advisor as to the specific tax consequences of participation in the Plan under federal, state, local and other applicable laws.</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Non-Qualified Stock Options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 non-qualified stock option is an option that does not meet the requirements of Section 422 of the Code. A participant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generally will not recognize taxable income when granted a non-qualified stock option. When the participant exercises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 option, the participant generally will recognize taxable ordinary income equal to the excess of the fair market value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shares received on the exercise date over the aggregate exercise price of the shares. The participant’s tax basis 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acquired on exercise of the option will be increased by the amount of such taxable income. We generally will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entitled to a federal income tax deduction in an amount equal to the ordinary income that the participant recognizes, subject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any limits imposed under Section 162(m) of the Code. When the participant sells the shares acquired on exercise,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 generally will realize long-term or short-term capital gain or loss, depending on whether the participant holds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for more than one year before selling them. Special rules apply if all or a portion of the exercise price is paid 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form of shares.</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Incentive Stock Options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 incentive stock option is an option that meets the requirements of Section 422 of the Code. A participant generally will not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have taxable income when granted an incentive stock option or when exercising the option. If the participant exercises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option and does not dispose of the shares until the later of two years after the grant date and one year after the exercise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date, the entire gain, if any, realized when the participant sells the shares generally will be taxable as long-term capital gain.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generally will not be entitled to any corresponding tax deduction. If a participant disposes of the shares received upon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exercise of an incentive stock option within the one-year or two-year periods described above, it will be considered a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disqualifying disposition,” and the option will be treated as a non-qualified stock option for federal income tax purposes. If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 exercises an incentive stock option more than three months after the participant’s employment or service with us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terminates, the option will be treated as a non-qualified stock option for federal income tax purposes. If the participant 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disabled and terminates employment or service because of their disability, the three-month period is extended to one year.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three-month period does not apply in the case of the participant’s death. Similar tax consequences will apply to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purchase rights under the ESPP Addendum.</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SARs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 participant generally does not recognize income at the time a SAR is granted. At the time cash or stock representing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amount of the appreciation is transferred to the participant pursuant to exercise of the SAR, the participant will generally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required to recognize as income an amount equal to the amount of cash or fair market value of the shares paid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transferred to the participant. Such amount will be taxable as ordinary income and we generally will be entitled to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corresponding tax deduction, subject to any limits imposed under Section 162(m) of the Code.</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Restricted Stock</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 participant generally will not recognize any income upon the receipt of unvested shares or restricted stock unless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 elects under Section 83(b) of the Code, within 30 days after receipt of the shares, to recognize ordinary income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 amount equal to the fair market value of the shares at the time of receipt, less any amount paid for the shares, and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 generally will be allowed a corresponding tax deduction at that time, subject to any limits imposed under Section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162(m) of the Code. A participant who makes the election will not be allowed a deduction for the value of any shares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subsequently forfeited. A participant who does not make a timely election under Section 83(b) will generally recognize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ordinary income when the shares are no longer subject to a substantial risk of forfeiture (typically, the vesting date for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 in an amount equal to the fair market value of the shares at that time, less any amount paid for the shares. Transfer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resale restrictions that do not constitute a substantial risk of forfeiture do not defer taxation. We will withhold any Federal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Insurance Contribution Act (“FICA”) taxes due in respect of the shares in the year the restrictions applicable to the shares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lapse, based on the fair market value of the shares on the vesting date, unless the participant makes an election under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Section 83(b) of the Code, in which case we will withhold any FICA taxes due in respect of the shares in the year of grant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based on the fair market value of the shares on the grant date. Generally, upon a sale or other disposition of restricted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with respect to which a participant has recognized ordinary income (i.e., a Section 83(b) election was previously made or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restrictions previously lapsed), the participant will recognize capital gain or loss in an amount equal to the difference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between the amount realized on such sale or other disposition and the basis in such shares. Such gain or loss will be long-</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term capital gain or loss if the participant holds such shares for more than one year.</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38</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Restricted Stock Units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 participant generally does not recognize income at the time a restricted stock unit award is granted. At the time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settlement of the award, the participant will generally recognize ordinary income equal to the fair market value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restricted stock units at the time of settlement of the award, and the Company generally will be allowed a corresponding tax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deduction at that time, subject to any limits imposed under Section 162(m) of the Code. We will withhold any FICA taxes due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respect of the restricted stock units in the year they vest based on the fair market value of the shares and/or cash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underlying the award on the vesting date. Any gain or loss recognized upon a subsequent sale or exchange of the shares (if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settled in shares) is generally treated as a capital gain or loss (short-term or long-term depending on the applicable holding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period).</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Performance Awards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Generally, in the case of performance-based awards, the participant will recognize ordinary income on the amount of cash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the fair market value of Common Stock received on the date of payment or settlement of the award (provided that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 is exempt from or complies with Section 409A of the Code). We generally will be entitled to a deduction for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amount at the time it is includable in the income of the participant, subject to any limits imposed under Section 162(m)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Code.</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Cash Awards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Upon the payment of a cash award, the amount of cash received will be ordinary income to the participant. We will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entitled to a deduction for such amount at the time it is includable in the income of the participant, subject to any limits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imposed under Section 162(m) of the Code.</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REGISTRATION WITH THE SEC</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If our stockholders approve the Amended Plan, we will file with the SEC a registration statement on Form S-8, as soon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reasonably practicable after the approval, to register the additional shares available for issuance under the Plan as a result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of the Amended Plan.</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VOTE REQUIRED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be approved, a majority of the total votes cast on Proposal No. 4 must be voted “For” the approval of the amendment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restatement of the Lucid Group, Inc. Amended and Restated 2021 Stock Incentive Plan. Only votes “For” or “Against” will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affect the outcome. Broker non-votes and abstentions will have no effect.</w:t>
      </w:r>
    </w:p>
    <w:tbl>
      <w:tblPr>
        <w:tblW w:w="10081" w:type="dxa"/>
        <w:jc w:val="left"/>
        <w:tblInd w:w="0" w:type="dxa"/>
        <w:tblLayout w:type="fixed"/>
        <w:tblCellMar>
          <w:top w:w="28" w:type="dxa"/>
          <w:left w:w="28" w:type="dxa"/>
          <w:bottom w:w="28" w:type="dxa"/>
          <w:right w:w="28" w:type="dxa"/>
        </w:tblCellMar>
      </w:tblPr>
      <w:tblGrid>
        <w:gridCol w:w="10081"/>
      </w:tblGrid>
      <w:tr>
        <w:trPr/>
        <w:tc>
          <w:tcPr>
            <w:tcW w:w="10081" w:type="dxa"/>
            <w:tcBorders/>
            <w:vAlign w:val="center"/>
          </w:tcPr>
          <w:p>
            <w:pPr>
              <w:pStyle w:val="TableContents"/>
              <w:bidi w:val="0"/>
              <w:spacing w:before="0" w:after="283"/>
              <w:jc w:val="left"/>
              <w:rPr>
                <w:sz w:val="4"/>
                <w:szCs w:val="4"/>
              </w:rPr>
            </w:pPr>
            <w:r>
              <w:rPr>
                <w:sz w:val="4"/>
                <w:szCs w:val="4"/>
              </w:rPr>
            </w:r>
          </w:p>
        </w:tc>
      </w:tr>
      <w:tr>
        <w:trPr/>
        <w:tc>
          <w:tcPr>
            <w:tcW w:w="10081" w:type="dxa"/>
            <w:tcBorders/>
            <w:shd w:fill="000000" w:val="clear"/>
            <w:vAlign w:val="center"/>
          </w:tcPr>
          <w:p>
            <w:pPr>
              <w:pStyle w:val="TableContents"/>
              <w:bidi w:val="0"/>
              <w:spacing w:before="0" w:after="283"/>
              <w:jc w:val="left"/>
              <w:rPr>
                <w:sz w:val="4"/>
                <w:szCs w:val="4"/>
              </w:rPr>
            </w:pPr>
            <w:r>
              <w:rPr>
                <w:sz w:val="4"/>
                <w:szCs w:val="4"/>
              </w:rPr>
            </w:r>
          </w:p>
        </w:tc>
      </w:tr>
      <w:tr>
        <w:trPr/>
        <w:tc>
          <w:tcPr>
            <w:tcW w:w="10081" w:type="dxa"/>
            <w:tcBorders/>
            <w:shd w:fill="000000" w:val="clear"/>
            <w:vAlign w:val="center"/>
          </w:tcPr>
          <w:p>
            <w:pPr>
              <w:pStyle w:val="TableContents"/>
              <w:bidi w:val="0"/>
              <w:spacing w:lineRule="atLeast" w:line="240" w:before="0" w:after="0"/>
              <w:jc w:val="left"/>
              <w:rPr>
                <w:rFonts w:ascii="Arial;sans-serif" w:hAnsi="Arial;sans-serif"/>
                <w:b/>
                <w:i w:val="false"/>
                <w:caps w:val="false"/>
                <w:smallCaps w:val="false"/>
                <w:strike w:val="false"/>
                <w:dstrike w:val="false"/>
                <w:color w:val="FEFEFE"/>
                <w:sz w:val="24"/>
                <w:u w:val="none"/>
                <w:effect w:val="none"/>
              </w:rPr>
            </w:pPr>
            <w:r>
              <w:rPr>
                <w:rFonts w:ascii="Arial;sans-serif" w:hAnsi="Arial;sans-serif"/>
                <w:b/>
                <w:i w:val="false"/>
                <w:caps w:val="false"/>
                <w:smallCaps w:val="false"/>
                <w:strike w:val="false"/>
                <w:dstrike w:val="false"/>
                <w:color w:val="FEFEFE"/>
                <w:sz w:val="24"/>
                <w:u w:val="none"/>
                <w:effect w:val="none"/>
              </w:rPr>
              <w:t xml:space="preserve">THE BOARD OF DIRECTORS RECOMMENDS A VOTE “FOR” THE APPROVAL OF </w:t>
            </w:r>
          </w:p>
          <w:p>
            <w:pPr>
              <w:pStyle w:val="TableContents"/>
              <w:bidi w:val="0"/>
              <w:spacing w:lineRule="atLeast" w:line="240" w:before="0" w:after="0"/>
              <w:jc w:val="left"/>
              <w:rPr>
                <w:rFonts w:ascii="Arial;sans-serif" w:hAnsi="Arial;sans-serif"/>
                <w:b/>
                <w:i w:val="false"/>
                <w:caps w:val="false"/>
                <w:smallCaps w:val="false"/>
                <w:strike w:val="false"/>
                <w:dstrike w:val="false"/>
                <w:color w:val="FEFEFE"/>
                <w:sz w:val="24"/>
                <w:u w:val="none"/>
                <w:effect w:val="none"/>
              </w:rPr>
            </w:pPr>
            <w:r>
              <w:rPr>
                <w:rFonts w:ascii="Arial;sans-serif" w:hAnsi="Arial;sans-serif"/>
                <w:b/>
                <w:i w:val="false"/>
                <w:caps w:val="false"/>
                <w:smallCaps w:val="false"/>
                <w:strike w:val="false"/>
                <w:dstrike w:val="false"/>
                <w:color w:val="FEFEFE"/>
                <w:sz w:val="24"/>
                <w:u w:val="none"/>
                <w:effect w:val="none"/>
              </w:rPr>
              <w:t xml:space="preserve">THE AMENDMENT AND RESTATEMENT OF THE LUCID GROUP, INC. AMENDED AND </w:t>
            </w:r>
          </w:p>
          <w:p>
            <w:pPr>
              <w:pStyle w:val="TableContents"/>
              <w:bidi w:val="0"/>
              <w:spacing w:lineRule="atLeast" w:line="240" w:before="0" w:after="0"/>
              <w:jc w:val="left"/>
              <w:rPr>
                <w:rFonts w:ascii="Arial;sans-serif" w:hAnsi="Arial;sans-serif"/>
                <w:b/>
                <w:i w:val="false"/>
                <w:caps w:val="false"/>
                <w:smallCaps w:val="false"/>
                <w:strike w:val="false"/>
                <w:dstrike w:val="false"/>
                <w:color w:val="FEFEFE"/>
                <w:sz w:val="24"/>
                <w:u w:val="none"/>
                <w:effect w:val="none"/>
              </w:rPr>
            </w:pPr>
            <w:r>
              <w:rPr>
                <w:rFonts w:ascii="Arial;sans-serif" w:hAnsi="Arial;sans-serif"/>
                <w:b/>
                <w:i w:val="false"/>
                <w:caps w:val="false"/>
                <w:smallCaps w:val="false"/>
                <w:strike w:val="false"/>
                <w:dstrike w:val="false"/>
                <w:color w:val="FEFEFE"/>
                <w:sz w:val="24"/>
                <w:u w:val="none"/>
                <w:effect w:val="none"/>
              </w:rPr>
              <w:t xml:space="preserve">RESTATED 2021 STOCK INCENTIVE PLAN </w:t>
            </w:r>
          </w:p>
          <w:p>
            <w:pPr>
              <w:pStyle w:val="TableContents"/>
              <w:bidi w:val="0"/>
              <w:spacing w:lineRule="atLeast" w:line="240" w:before="0" w:after="0"/>
              <w:jc w:val="left"/>
              <w:rPr>
                <w:rFonts w:ascii="Arial;sans-serif" w:hAnsi="Arial;sans-serif"/>
                <w:b/>
                <w:i w:val="false"/>
                <w:caps w:val="false"/>
                <w:smallCaps w:val="false"/>
                <w:strike w:val="false"/>
                <w:dstrike w:val="false"/>
                <w:color w:val="FEFEFE"/>
                <w:sz w:val="24"/>
                <w:u w:val="none"/>
                <w:effect w:val="none"/>
              </w:rPr>
            </w:pPr>
            <w:r>
              <w:rPr>
                <w:rFonts w:ascii="Arial;sans-serif" w:hAnsi="Arial;sans-serif"/>
                <w:b/>
                <w:i w:val="false"/>
                <w:caps w:val="false"/>
                <w:smallCaps w:val="false"/>
                <w:strike w:val="false"/>
                <w:dstrike w:val="false"/>
                <w:color w:val="FEFEFE"/>
                <w:sz w:val="24"/>
                <w:u w:val="none"/>
                <w:effect w:val="none"/>
              </w:rPr>
              <w:t>(PROPOSAL NO. 4)</w:t>
            </w:r>
          </w:p>
        </w:tc>
      </w:tr>
      <w:tr>
        <w:trPr/>
        <w:tc>
          <w:tcPr>
            <w:tcW w:w="10081" w:type="dxa"/>
            <w:tcBorders/>
            <w:shd w:fill="000000" w:val="clear"/>
            <w:vAlign w:val="center"/>
          </w:tcPr>
          <w:p>
            <w:pPr>
              <w:pStyle w:val="TableContents"/>
              <w:bidi w:val="0"/>
              <w:spacing w:before="0" w:after="283"/>
              <w:jc w:val="left"/>
              <w:rPr>
                <w:sz w:val="4"/>
                <w:szCs w:val="4"/>
              </w:rPr>
            </w:pPr>
            <w:r>
              <w:rPr>
                <w:sz w:val="4"/>
                <w:szCs w:val="4"/>
              </w:rPr>
            </w:r>
          </w:p>
        </w:tc>
      </w:tr>
    </w:tbl>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39</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Executive Officers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following table sets forth certain information concerning our executive officers. Each individual serving as an executive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officer (as defined under Rule 3b</w:t>
        <w:noBreakHyphen/>
        <w:t>7 of the Exchange Act) as of the date of this Proxy Statement is included.</w:t>
      </w:r>
    </w:p>
    <w:tbl>
      <w:tblPr>
        <w:tblW w:w="4560" w:type="dxa"/>
        <w:jc w:val="left"/>
        <w:tblInd w:w="0" w:type="dxa"/>
        <w:tblLayout w:type="fixed"/>
        <w:tblCellMar>
          <w:top w:w="28" w:type="dxa"/>
          <w:left w:w="28" w:type="dxa"/>
          <w:bottom w:w="28" w:type="dxa"/>
          <w:right w:w="28" w:type="dxa"/>
        </w:tblCellMar>
      </w:tblPr>
      <w:tblGrid>
        <w:gridCol w:w="124"/>
        <w:gridCol w:w="1411"/>
        <w:gridCol w:w="109"/>
        <w:gridCol w:w="391"/>
        <w:gridCol w:w="109"/>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4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39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416"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41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39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Age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41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Position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4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39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416"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Marc Winterhoff </w:t>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57</w:t>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Interim Chief Executive Officer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Taoufiq Boussaid </w:t>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55</w:t>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Chief Financial Officer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Biographies for our executive officers are below:</w:t>
      </w:r>
    </w:p>
    <w:tbl>
      <w:tblPr>
        <w:tblW w:w="9828" w:type="dxa"/>
        <w:jc w:val="left"/>
        <w:tblInd w:w="0" w:type="dxa"/>
        <w:tblLayout w:type="fixed"/>
        <w:tblCellMar>
          <w:top w:w="28" w:type="dxa"/>
          <w:left w:w="28" w:type="dxa"/>
          <w:bottom w:w="28" w:type="dxa"/>
          <w:right w:w="28" w:type="dxa"/>
        </w:tblCellMar>
      </w:tblPr>
      <w:tblGrid>
        <w:gridCol w:w="124"/>
        <w:gridCol w:w="2390"/>
        <w:gridCol w:w="109"/>
        <w:gridCol w:w="705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0"/>
              <w:jc w:val="left"/>
              <w:rPr/>
            </w:pPr>
            <w:r>
              <w:rPr/>
              <w:drawing>
                <wp:inline distT="0" distB="0" distL="0" distR="0">
                  <wp:extent cx="1463040" cy="146304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463040" cy="1463040"/>
                          </a:xfrm>
                          <a:prstGeom prst="rect">
                            <a:avLst/>
                          </a:prstGeom>
                        </pic:spPr>
                      </pic:pic>
                    </a:graphicData>
                  </a:graphic>
                </wp:inline>
              </w:drawing>
            </w:r>
            <w:bookmarkStart w:id="38" w:name="i-37"/>
            <w:bookmarkEnd w:id="38"/>
          </w:p>
          <w:p>
            <w:pPr>
              <w:pStyle w:val="TableContents"/>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Marc Winterhoff</w:t>
            </w:r>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 xml:space="preserve">INTERIM CHIEF EXECUTIVE </w:t>
            </w:r>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OFFICER</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Age: 57 </w:t>
            </w:r>
          </w:p>
        </w:tc>
        <w:tc>
          <w:tcPr>
            <w:tcW w:w="109" w:type="dxa"/>
            <w:tcBorders/>
            <w:vAlign w:val="center"/>
          </w:tcPr>
          <w:p>
            <w:pPr>
              <w:pStyle w:val="TableContents"/>
              <w:bidi w:val="0"/>
              <w:spacing w:before="0" w:after="283"/>
              <w:jc w:val="left"/>
              <w:rPr>
                <w:sz w:val="4"/>
                <w:szCs w:val="4"/>
              </w:rPr>
            </w:pPr>
            <w:r>
              <w:rPr>
                <w:sz w:val="4"/>
                <w:szCs w:val="4"/>
              </w:rPr>
            </w:r>
          </w:p>
        </w:tc>
        <w:tc>
          <w:tcPr>
            <w:tcW w:w="7051" w:type="dxa"/>
            <w:tcBorders/>
            <w:vAlign w:val="center"/>
          </w:tcPr>
          <w:p>
            <w:pPr>
              <w:pStyle w:val="TableContents"/>
              <w:bidi w:val="0"/>
              <w:spacing w:lineRule="atLeast" w:line="180" w:before="0" w:after="0"/>
              <w:jc w:val="left"/>
              <w:rPr/>
            </w:pPr>
            <w:r>
              <w:rPr>
                <w:rFonts w:ascii="Arial;sans-serif" w:hAnsi="Arial;sans-serif"/>
                <w:b/>
                <w:i w:val="false"/>
                <w:caps w:val="false"/>
                <w:smallCaps w:val="false"/>
                <w:strike w:val="false"/>
                <w:dstrike w:val="false"/>
                <w:sz w:val="18"/>
                <w:u w:val="none"/>
                <w:effect w:val="none"/>
              </w:rPr>
              <w:t>Marc Winterhoff</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has served as our Interim Chief Executive Officer and Principal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Executive Officer since February 2025. Mr. Winterhoff previously served as our Chief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Operating Officer from December 2023 to February 2025. Prior to joining us, Mr.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Winterhoff was a partner at Roland Berger, the European management consultancy,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where he focused on operational leadership for large automotive manufacturers;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managing manufacturing and cost efficiency; introduction of sales, service, and new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mobility concepts; and long-term strategies for renowned automotive brands from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October 2011 to November 2023. Mr. Winterhoff holds an M.A. in electrical and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electronics engineering and management from the Technische Universität Darmstadt.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143" w:type="dxa"/>
        <w:jc w:val="left"/>
        <w:tblInd w:w="0" w:type="dxa"/>
        <w:tblLayout w:type="fixed"/>
        <w:tblCellMar>
          <w:top w:w="28" w:type="dxa"/>
          <w:left w:w="28" w:type="dxa"/>
          <w:bottom w:w="28" w:type="dxa"/>
          <w:right w:w="28" w:type="dxa"/>
        </w:tblCellMar>
      </w:tblPr>
      <w:tblGrid>
        <w:gridCol w:w="124"/>
        <w:gridCol w:w="2390"/>
        <w:gridCol w:w="109"/>
        <w:gridCol w:w="73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0"/>
              <w:jc w:val="left"/>
              <w:rPr/>
            </w:pPr>
            <w:r>
              <w:rPr/>
              <w:drawing>
                <wp:inline distT="0" distB="0" distL="0" distR="0">
                  <wp:extent cx="1463040" cy="146304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463040" cy="1463040"/>
                          </a:xfrm>
                          <a:prstGeom prst="rect">
                            <a:avLst/>
                          </a:prstGeom>
                        </pic:spPr>
                      </pic:pic>
                    </a:graphicData>
                  </a:graphic>
                </wp:inline>
              </w:drawing>
            </w:r>
            <w:bookmarkStart w:id="39" w:name="i-38"/>
            <w:bookmarkEnd w:id="39"/>
          </w:p>
          <w:p>
            <w:pPr>
              <w:pStyle w:val="TableContents"/>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Taoufiq Boussaid</w:t>
            </w:r>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CHIEF FINANCIAL OFFICER</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Age: 55 </w:t>
            </w:r>
          </w:p>
        </w:tc>
        <w:tc>
          <w:tcPr>
            <w:tcW w:w="109"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lineRule="atLeast" w:line="180" w:before="0" w:after="0"/>
              <w:jc w:val="left"/>
              <w:rPr/>
            </w:pPr>
            <w:r>
              <w:rPr>
                <w:rFonts w:ascii="Arial;sans-serif" w:hAnsi="Arial;sans-serif"/>
                <w:b/>
                <w:i w:val="false"/>
                <w:caps w:val="false"/>
                <w:smallCaps w:val="false"/>
                <w:strike w:val="false"/>
                <w:dstrike w:val="false"/>
                <w:sz w:val="18"/>
                <w:u w:val="none"/>
                <w:effect w:val="none"/>
              </w:rPr>
              <w:t>Taoufiq Boussaid</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has served as our Chief Financial Officer since February 2025.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Before joining us, Mr. Boussaid was an advisor for N.V.Bekaert S.A., a Belgium-listed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industrial steel and coatings technology group, from October 2024 to December 2024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was the group’s Chief Financial Officer from July 2019 through October 2024. From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2007 to 2019, Mr. Boussaid was employed at Bombardier Transportation, a rolling stock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rail transport manufacturing company, where he served multiple leadership roles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within its finance organization in different geographies with his most recent position as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Vice President Finance for Western Europe, Asia Pacific, Middle East and Africa. From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2004 to 2007, he held several finance roles with United Technologies Corporation, a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multinational conglomerate, including as Corporate Controller EMEA and Chief Financial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Officer for their Carrier Heating Systems business in Europe. Mr. Boussaid started his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career in international finance as an audit manager with Ernst &amp; Young Global Limited in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France and The Coca-Cola Company in the United States.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40</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Message to Stockholders From the Compensation and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Human Capital Committee of the Board of Directors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(the “Committee”) has reviewed and approved the executive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compensation actions described in this report.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 strong focus of the Company and the Committee is to drive a performance-based culture, deliver on the plans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commitments to our stockholders and hold our executives accountable accordingly. We have therefore been focused on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design, administration, and implementation of our pay-for-performance compensation philosophy and ensuring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compensation programs are aligned with our Company’s strategic imperatives and with our stockholders’ interests.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designed our executive compensation program to ensure alignment with our annual growth objectives as well as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long-term business plan. At the time we set the 2025 performance metrics, we believed that achieving them would require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high level of effort and skilled execution from our executives to achieve strong sales and operational success. This approach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reinforces our performance-based culture by holding our executives accountable for delivering quantifiable results against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measurable performance metrics and individual goals.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2025, we continued to emphasize performance-based equity awards as a crucial element of our long-term incentive plan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 executives, including our named executive officers. Additionally, our performance-based equity awards were designed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emphasize multi-year performance, which, combined with our annual cash incentive program, balances long-term and short-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 objectives. The successful execution of key corporate performance metrics allows our named executive officers to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appropriately rewarded, ensuring alignment between pay and performance.</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As summarized below and detailed in the “Business Highlights and Key Accomplishments for 2025” section, we achieved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several important milestones in 2025, spearheaded by the unique talent and sustained effort of our executive team: </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z w:val="18"/>
        </w:rPr>
        <w:t xml:space="preserve">Extended our technology and category leadership into the SUV segment as we ramped production of the Lucid Gravity,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marking a major step in broadening our product portfolio and positioning the Company to address a larger premium SUV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market.</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z w:val="18"/>
        </w:rPr>
        <w:t xml:space="preserve">Achieved four consecutive quarters of record deliveries, with strong year-over-year growth of 55% in fiscal year 2025,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reflecting increasing demand, improved execution, and continued momentum as we scale the business.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z w:val="18"/>
        </w:rPr>
        <w:t xml:space="preserve">The Lucid Air was the best-selling EV in the U.S. in its segment in 2025, and finished third overall in the large luxury car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segment when including traditional internal combustion engine vehicles from some of the most storied and well-</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established automotive brands in the world.</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z w:val="18"/>
        </w:rPr>
        <w:t>Delivered strong and accelerating revenue growth in fiscal year 2025, with revenue increasing approximately 68% year-</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over-year to $1.35 billion, significantly outpacing prior-year growth and reflecting higher vehicle deliveries, improved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production consistency, and the initial ramp of Lucid Gravity.</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z w:val="18"/>
        </w:rPr>
        <w:t xml:space="preserve">Strengthened our financial foundation, improving gross margins and working capital efficiency while maintaining a robust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balance sheet with approximately $4.6 billion in total liquidity at year-end 2025, supporting our path to scale and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profitability.</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z w:val="18"/>
        </w:rPr>
        <w:t xml:space="preserve">Lucid Gravity and Lucid Air were both named to Car and Driver 10Best of 2026, for SUVs and cars, respectively, and were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the only electric vehicles to be named in each category. Secured our largest technology partnership to date as we entered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into an agreement with Uber and Nuro to develop a global robotaxi service based on the Lucid Gravity platform, providing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our company a key foothold in the rapidly growing robotaxi market.</w:t>
      </w:r>
    </w:p>
    <w:p>
      <w:pPr>
        <w:pStyle w:val="TextBody"/>
        <w:bidi w:val="0"/>
        <w:spacing w:lineRule="atLeast" w:line="24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z w:val="18"/>
        </w:rPr>
        <w:t>Defined and executed our broader</w:t>
      </w:r>
      <w:r>
        <w:rPr>
          <w:caps w:val="false"/>
          <w:smallCaps w:val="false"/>
        </w:rPr>
        <w:t xml:space="preserve"> </w:t>
      </w:r>
      <w:r>
        <w:rPr>
          <w:rFonts w:ascii="Arial;sans-serif" w:hAnsi="Arial;sans-serif"/>
          <w:b w:val="false"/>
          <w:i w:val="false"/>
          <w:caps w:val="false"/>
          <w:smallCaps w:val="false"/>
          <w:sz w:val="18"/>
        </w:rPr>
        <w:t xml:space="preserve">autonomous mobility initiatives leveraging the support of industry-leading partners,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reflecting our ability to bring new services to customers and also extend our software-defined platform into new, capital-</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efficient revenue opportunities.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z w:val="18"/>
        </w:rPr>
        <w:t xml:space="preserve">Nearly doubled annual production year-over-year (98%) despite unprecedented industry headwinds including tariffs,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magnet and chip shortages, and fires at one of our major suppliers, underscoring our resilience, agility, and growing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manufacturing strength. Advanced our global manufacturing strategy, progressing expansion at AMP-2 in Saudi Arabia to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enable completely built-up unit production, which will add 150,000 units of annual capacity, further supporting our long-</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term scale, geographic diversification, and capital efficiency.</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41</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have a robust and exciting series of additional milestones expected from this leadership team in 2026 and we will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continue to endeavor to make the best decisions possible for both the present and future of the Company.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are also very aware that we are in an enterprise-building phase of our growth story. And we firmly believe that the people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at Lucid are a big reason to be optimistic about our future. Therefore, we strive to attract and retain industry leading talent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Company.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thank you for being on this journey with us and we are committed to ensuring this journey is a rewarding one for all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our stakeholders.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Andrew Liveris, Chair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Nichelle Maynard-Elliott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Ori Winitzer</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42</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Compensation Discussion and Analysis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OVERVIEW</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This Compensation Discussion and Analysis (“CD&amp;A”) describes our executive compensation program in 2025 for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named executive officers (“NEOs”), including our compensation philosophy and process, the objectives and elements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program, and the material factors considered in making compensation decisions.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NEOs for 2025 included: (i) Marc Winterhoff, our Interim Chief Executive Officer (“CEO”) appointed on February 21,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2025, who previously served as our Chief Operating Officer; (ii) Taoufiq Boussaid, our Chief Financial Officer appointed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February 25, 2025; (iii) Gagan Dhingra, who served as our Interim Chief Financial Officer and was promoted from Vice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President of Accounting to Senior Vice President, Finance and Accounting on February 25, 2025; (iv) Peter Rawlinson,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former CEO and Chief Technology Officer who was appointed Strategic Technical Advisor to the Chairman of the Board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February 21, 2025; and (v) Eric Bach, our former Senior Vice President, Product and Chief Engineer, who left the Company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November 5, 2025. Each individual who was serving as an executive officer (as defined under Rule 3b-7 of the Exchange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Act) of the Company as of December 31, 2025 is included as a NEO.</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Following the end of fiscal year 2025, the Company announced that Silvio Napoli will be appointed to serve as our CEO.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Following Mr. Napoli’s appointment, Mr. Winterhoff will transition to his previous role as our Chief Operating Officer. Because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Mr. Napoli was not employed by us at any time during fiscal year 2025, he is not a NEO for the fiscal year ended December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31, 2025, and he has no historical compensation to disclose for that period.</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BUSINESS HIGHLIGHTS AND KEY ACCOMPLISHMENTS FOR 2025</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During fiscal year 2025, we significantly advanced our strategic initiatives and continued to set new standards and achieve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recognition for our luxury electric vehicles.</w:t>
      </w:r>
    </w:p>
    <w:tbl>
      <w:tblPr>
        <w:tblW w:w="10119" w:type="dxa"/>
        <w:jc w:val="left"/>
        <w:tblInd w:w="0" w:type="dxa"/>
        <w:tblLayout w:type="fixed"/>
        <w:tblCellMar>
          <w:top w:w="28" w:type="dxa"/>
          <w:left w:w="28" w:type="dxa"/>
          <w:bottom w:w="28" w:type="dxa"/>
          <w:right w:w="28" w:type="dxa"/>
        </w:tblCellMar>
      </w:tblPr>
      <w:tblGrid>
        <w:gridCol w:w="124"/>
        <w:gridCol w:w="3484"/>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c>
          <w:tcPr>
            <w:tcW w:w="6511" w:type="dxa"/>
            <w:tcBorders/>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0"/>
              <w:jc w:val="left"/>
              <w:rPr/>
            </w:pPr>
            <w:r>
              <w:rPr/>
              <w:drawing>
                <wp:inline distT="0" distB="0" distL="0" distR="0">
                  <wp:extent cx="2157730" cy="84264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157730" cy="842645"/>
                          </a:xfrm>
                          <a:prstGeom prst="rect">
                            <a:avLst/>
                          </a:prstGeom>
                        </pic:spPr>
                      </pic:pic>
                    </a:graphicData>
                  </a:graphic>
                </wp:inline>
              </w:drawing>
            </w:r>
            <w:bookmarkStart w:id="40" w:name="i-39"/>
            <w:bookmarkEnd w:id="40"/>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Awards</w:t>
            </w:r>
          </w:p>
        </w:tc>
        <w:tc>
          <w:tcPr>
            <w:tcW w:w="6511"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Lucid Gravity was named to Car and Driver’s esteemed annual ranking, 10Best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Trucks &amp; SUVs for 2026, in its first year of eligibility. Lucid Gravity Grand Touring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impressed with its range, fast charging, quick acceleration, and agile handling. Editors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also called out the attention to detail throughout, from the spaciousness of each row of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seats to the large frunk.</w:t>
            </w:r>
          </w:p>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Additionally, Lucid Gravity was awarded Esquire’s 2026 Car of the Year, as well as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Good Housekeeping Family Car Awards 2026 for Best Luxury EV.</w:t>
            </w:r>
          </w:p>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The Lucid Air was also selected to Car and Driver’s 2026 10Best Cars for the third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consecutive year. The Lucid Air Pure trim was included and recognized for its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exceptional combination of range, driver-oriented performance, and innovative design.</w:t>
            </w:r>
          </w:p>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U.S. News and World Report named Lucid as the Best Luxury EV Brand, citing the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overall excellence of Lucid Air and Lucid Gravity, as well as their industry-leading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efficiency and range.</w:t>
            </w:r>
          </w:p>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The prestigious German Car of the Year Awards named Lucid Air Sapphire as the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2026 German Performance Car of the Year for its groundbreaking performance.</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0"/>
              <w:jc w:val="left"/>
              <w:rPr/>
            </w:pPr>
            <w:r>
              <w:rPr/>
              <w:drawing>
                <wp:inline distT="0" distB="0" distL="0" distR="0">
                  <wp:extent cx="2157730" cy="84264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157730" cy="842645"/>
                          </a:xfrm>
                          <a:prstGeom prst="rect">
                            <a:avLst/>
                          </a:prstGeom>
                        </pic:spPr>
                      </pic:pic>
                    </a:graphicData>
                  </a:graphic>
                </wp:inline>
              </w:drawing>
            </w:r>
            <w:bookmarkStart w:id="41" w:name="i-40"/>
            <w:bookmarkEnd w:id="41"/>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 xml:space="preserve">Nearly Doubled Production and Achieved </w:t>
            </w:r>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 xml:space="preserve">Four Consecutive Quarters of Record </w:t>
            </w:r>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Deliveries and Revenue</w:t>
            </w:r>
          </w:p>
        </w:tc>
        <w:tc>
          <w:tcPr>
            <w:tcW w:w="6511"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We nearly doubled production year over year and in-line with 2025 annual production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guidance of approximately 18,000 vehicles despite supply chain and tariff headwinds.</w:t>
            </w:r>
          </w:p>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In the four consecutive quarters of 2025, we delivered 3,109, 3,309, 4,078, and 5,345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vehicles, respectively, achieving an impressive 55% year-over-year growth.</w:t>
            </w:r>
          </w:p>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We delivered strong and accelerating revenue growth in fiscal year 2025, with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revenue increasing approximately 68% year-over-year to $1.35 billion, significantly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outpacing prior-year growth and reflecting higher vehicle deliveries, improved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production consistency, and the initial ramp of Lucid Gravity.</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43</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tbl>
      <w:tblPr>
        <w:tblW w:w="10138" w:type="dxa"/>
        <w:jc w:val="left"/>
        <w:tblInd w:w="0" w:type="dxa"/>
        <w:tblLayout w:type="fixed"/>
        <w:tblCellMar>
          <w:top w:w="28" w:type="dxa"/>
          <w:left w:w="28" w:type="dxa"/>
          <w:bottom w:w="28" w:type="dxa"/>
          <w:right w:w="28" w:type="dxa"/>
        </w:tblCellMar>
      </w:tblPr>
      <w:tblGrid>
        <w:gridCol w:w="124"/>
        <w:gridCol w:w="3484"/>
        <w:gridCol w:w="109"/>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0"/>
              <w:jc w:val="left"/>
              <w:rPr/>
            </w:pPr>
            <w:r>
              <w:rPr/>
              <w:drawing>
                <wp:inline distT="0" distB="0" distL="0" distR="0">
                  <wp:extent cx="2157730" cy="84264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157730" cy="842645"/>
                          </a:xfrm>
                          <a:prstGeom prst="rect">
                            <a:avLst/>
                          </a:prstGeom>
                        </pic:spPr>
                      </pic:pic>
                    </a:graphicData>
                  </a:graphic>
                </wp:inline>
              </w:drawing>
            </w:r>
            <w:bookmarkStart w:id="42" w:name="i-41"/>
            <w:bookmarkEnd w:id="42"/>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 xml:space="preserve">Ramped Production and Deliveries of the </w:t>
            </w:r>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Lucid Gravity</w:t>
            </w:r>
          </w:p>
        </w:tc>
        <w:tc>
          <w:tcPr>
            <w:tcW w:w="109"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We extended our technology leadership into the SUV segment with Lucid Gravity,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delivering exceptional range, interior space, and performance in a highly efficient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platform—demonstrating our ability to scale our core technology across multiple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vehicle categories.</w:t>
            </w:r>
          </w:p>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We successfully ramped production and initial deliveries of the Lucid Gravity, with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early customer deliveries marking a key milestone as we scale our second vehicle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platform and expand into the premium SUV segment.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0"/>
              <w:jc w:val="left"/>
              <w:rPr/>
            </w:pPr>
            <w:r>
              <w:rPr/>
              <w:drawing>
                <wp:inline distT="0" distB="0" distL="0" distR="0">
                  <wp:extent cx="2157730" cy="84264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157730" cy="842645"/>
                          </a:xfrm>
                          <a:prstGeom prst="rect">
                            <a:avLst/>
                          </a:prstGeom>
                        </pic:spPr>
                      </pic:pic>
                    </a:graphicData>
                  </a:graphic>
                </wp:inline>
              </w:drawing>
            </w:r>
            <w:bookmarkStart w:id="43" w:name="i-42"/>
            <w:bookmarkEnd w:id="43"/>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 xml:space="preserve">Advanced Autonomy Strategy and </w:t>
            </w:r>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 xml:space="preserve">Capabilities </w:t>
            </w:r>
          </w:p>
        </w:tc>
        <w:tc>
          <w:tcPr>
            <w:tcW w:w="109"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Advanced our autonomous mobility strategy through a differentiated partnership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approach, delivering engineering vehicles to support integration of the Nuro Driver for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Uber robotaxi applications and securing an initial order for 20,000 vehicles from Uber.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By leveraging best-in-class partners, we are accelerating time to market while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minimizing capital intensity, expanding our total addressable market beyond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traditional vehicle sales and extending the Lucid platform into new, scalable, and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capital-efficient revenue opportunities.</w:t>
            </w:r>
          </w:p>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Progressed our consumer driver assistance and autonomy capabilities, delivering a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major over-the-air update to our DreamDrive Pro system in fiscal year 2025 that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introduced Hands-Free Drive Assist and Hands-Free Lane Change Assist, improving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usability and functionality on compatible highways. Built on our comprehensive 32-</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sensor hardware suite and in-house software stack, these enhancements reflect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continued progress toward higher levels of autonomy and reinforce our long-term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roadmap for expanding software-enabled features and value creation.</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0"/>
              <w:jc w:val="left"/>
              <w:rPr/>
            </w:pPr>
            <w:r>
              <w:rPr/>
              <w:drawing>
                <wp:inline distT="0" distB="0" distL="0" distR="0">
                  <wp:extent cx="2157730" cy="84264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157730" cy="842645"/>
                          </a:xfrm>
                          <a:prstGeom prst="rect">
                            <a:avLst/>
                          </a:prstGeom>
                        </pic:spPr>
                      </pic:pic>
                    </a:graphicData>
                  </a:graphic>
                </wp:inline>
              </w:drawing>
            </w:r>
            <w:bookmarkStart w:id="44" w:name="i-43"/>
            <w:bookmarkEnd w:id="44"/>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 xml:space="preserve">Scaled and Optimized Manufacturing </w:t>
            </w:r>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 xml:space="preserve">Operations </w:t>
            </w:r>
          </w:p>
        </w:tc>
        <w:tc>
          <w:tcPr>
            <w:tcW w:w="109"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We continued to scale and optimize manufacturing operations at AMP-1, where both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the Lucid Air and Lucid Gravity are assembled, building on the 2024 expansion to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approximately 90,000 units of annual capacity. In fiscal year 2025, we increased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production volumes while implementing manufacturing process improvements,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enhancing throughput and efficiency, and benefiting from easing industry-wide supply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chain constraints—supporting more consistent output and improved cost absorption.</w:t>
            </w:r>
          </w:p>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We advanced development and operational readiness of AMP-2 in Saudi Arabia,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where construction has progressed significantly with major structural milestones,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including facility walls now in place, and engagement with key partners such as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Rockwell Automation to support advanced manufacturing systems. We continued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expansion to enable completely built-up unit production and an additional 150,000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units of annual capacity, while achieving ISO 14001 and ISO 45001 certification,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positioning AMP-2 to support scalable, efficient global production as volumes grow.</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0"/>
              <w:jc w:val="left"/>
              <w:rPr/>
            </w:pPr>
            <w:r>
              <w:rPr/>
              <w:drawing>
                <wp:inline distT="0" distB="0" distL="0" distR="0">
                  <wp:extent cx="2157730" cy="84264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157730" cy="842645"/>
                          </a:xfrm>
                          <a:prstGeom prst="rect">
                            <a:avLst/>
                          </a:prstGeom>
                        </pic:spPr>
                      </pic:pic>
                    </a:graphicData>
                  </a:graphic>
                </wp:inline>
              </w:drawing>
            </w:r>
            <w:bookmarkStart w:id="45" w:name="i-44"/>
            <w:bookmarkEnd w:id="45"/>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 xml:space="preserve">Expanded Access to Industry-Leading </w:t>
            </w:r>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Charging</w:t>
            </w:r>
          </w:p>
        </w:tc>
        <w:tc>
          <w:tcPr>
            <w:tcW w:w="109"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We expanded charging access and convenience across our lineup, with Lucid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Gravity equipped with a native NACS charge port enabling direct access to Tesla’s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Supercharger network, and Lucid Air gaining access via adapter—significantly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increasing the availability and ease of fast charging for our customers.</w:t>
            </w:r>
          </w:p>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We maintained leadership in charging performance and safety, with Lucid vehicles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continuing to deliver industry-leading fast-charging capabilities and efficiency, while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the Lucid Air earned a 5-star overall safety rating from the NHTSA, achieving top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scores across frontal crash, side crash, and rollover categories.</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0"/>
              <w:jc w:val="left"/>
              <w:rPr/>
            </w:pPr>
            <w:r>
              <w:rPr/>
              <w:drawing>
                <wp:inline distT="0" distB="0" distL="0" distR="0">
                  <wp:extent cx="2157730" cy="84264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157730" cy="842645"/>
                          </a:xfrm>
                          <a:prstGeom prst="rect">
                            <a:avLst/>
                          </a:prstGeom>
                        </pic:spPr>
                      </pic:pic>
                    </a:graphicData>
                  </a:graphic>
                </wp:inline>
              </w:drawing>
            </w:r>
            <w:bookmarkStart w:id="46" w:name="i-45"/>
            <w:bookmarkEnd w:id="46"/>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 xml:space="preserve">Enhanced Software Capabilities </w:t>
            </w:r>
          </w:p>
        </w:tc>
        <w:tc>
          <w:tcPr>
            <w:tcW w:w="109"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We continued to advance our software-defined vehicle platform, with both Lucid Air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and Lucid Gravity designed to improve over time through over-the-air updates. In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fiscal year 2025, we delivered a series of software enhancements focused on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improving system stability, user interface responsiveness, and overall customer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experience, reflecting our continued progress in addressing earlier issues and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strengthening our in-house software capabilities. Our vertically integrated approach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to hardware and software enables ongoing feature updates and performance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improvements, reinforcing differentiation and long-term value creation.</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2025 PAY ACTIONS RELATED TO TARGET COMPENSATION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believe our executive compensation program provides effective incentives for our NEOs to lead us to achieve significant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growth, thereby producing long-term value for our stockholders. In light of our key accomplishments through 2025, our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44</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and Human Capital Committee approved the following pay actions for our NEOs, each of which is more fully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described below in this CD&amp;A:</w:t>
      </w:r>
    </w:p>
    <w:tbl>
      <w:tblPr>
        <w:tblW w:w="10205" w:type="dxa"/>
        <w:jc w:val="left"/>
        <w:tblInd w:w="0" w:type="dxa"/>
        <w:tblLayout w:type="fixed"/>
        <w:tblCellMar>
          <w:top w:w="28" w:type="dxa"/>
          <w:left w:w="28" w:type="dxa"/>
          <w:bottom w:w="28" w:type="dxa"/>
          <w:right w:w="28" w:type="dxa"/>
        </w:tblCellMar>
      </w:tblPr>
      <w:tblGrid>
        <w:gridCol w:w="124"/>
        <w:gridCol w:w="2418"/>
        <w:gridCol w:w="109"/>
        <w:gridCol w:w="7554"/>
      </w:tblGrid>
      <w:tr>
        <w:trPr/>
        <w:tc>
          <w:tcPr>
            <w:tcW w:w="124"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4"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418"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5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418"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Pay Element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554"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Pay Action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418"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5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Base Salary</w:t>
            </w:r>
          </w:p>
        </w:tc>
        <w:tc>
          <w:tcPr>
            <w:tcW w:w="109" w:type="dxa"/>
            <w:tcBorders/>
            <w:vAlign w:val="center"/>
          </w:tcPr>
          <w:p>
            <w:pPr>
              <w:pStyle w:val="TableContents"/>
              <w:bidi w:val="0"/>
              <w:spacing w:before="0" w:after="283"/>
              <w:jc w:val="left"/>
              <w:rPr>
                <w:sz w:val="4"/>
                <w:szCs w:val="4"/>
              </w:rPr>
            </w:pPr>
            <w:r>
              <w:rPr>
                <w:sz w:val="4"/>
                <w:szCs w:val="4"/>
              </w:rPr>
            </w:r>
          </w:p>
        </w:tc>
        <w:tc>
          <w:tcPr>
            <w:tcW w:w="7554"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In 2025, the Compensation and Human Capital Committee increased the base salaries by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approximately 7% for Mr. Winterhoff, 19% for Mr. Dhingra, and 3% for Mr. Bach. These increases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were primarily based on executive performance, competitive peer group data, and internal pay equity.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The increase for Mr. Dhingra was also based on his promotion from Vice President of Accounting to </w:t>
            </w:r>
          </w:p>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6"/>
                <w:u w:val="none"/>
                <w:effect w:val="none"/>
              </w:rPr>
              <w:t>Senior Vice President, Finance and Accounting. Due to Mr. Rawlinson</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6"/>
                <w:u w:val="none"/>
                <w:effect w:val="none"/>
              </w:rPr>
              <w:t xml:space="preserve">s transition to Strategic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Technical Advisor to the Chairman of the Board, he began receiving a monthly payment of $120,000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for services rendered during the 24-month consulting term starting in February 2025. Mr. Winterhoff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also receives a monthly stipend of $20,000 for any month or partial month he serves as interim CEO.</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Annual Cash Incentive</w:t>
            </w:r>
          </w:p>
        </w:tc>
        <w:tc>
          <w:tcPr>
            <w:tcW w:w="109" w:type="dxa"/>
            <w:tcBorders/>
            <w:vAlign w:val="center"/>
          </w:tcPr>
          <w:p>
            <w:pPr>
              <w:pStyle w:val="TableContents"/>
              <w:bidi w:val="0"/>
              <w:spacing w:before="0" w:after="283"/>
              <w:jc w:val="left"/>
              <w:rPr>
                <w:sz w:val="4"/>
                <w:szCs w:val="4"/>
              </w:rPr>
            </w:pPr>
            <w:r>
              <w:rPr>
                <w:sz w:val="4"/>
                <w:szCs w:val="4"/>
              </w:rPr>
            </w:r>
          </w:p>
        </w:tc>
        <w:tc>
          <w:tcPr>
            <w:tcW w:w="7554"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The Compensation and Human Capital Committee and the Board approved our annual cash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incentive program for 2025, under which the target incentives were 90% of base salary and interim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CEO stipend for Mr. Winterhoff, 90% of base salary for Mr. Boussaid, 75% for Mr. Bach, and 75% for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Mr. Dhingra. Mr. Rawlinson, who departed in February 2025, was not eligible for an annual bonus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opportunity for 2025. The annual cash incentive program metrics were deliveries, gross margin, and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free cash flow for fiscal year 2025, and production validation release of the Lucid Mid-size by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September 30, 2025, with individual performance modifiers.</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Long-Term Equity Incentives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and 2025 Equity Award Mix</w:t>
            </w:r>
          </w:p>
        </w:tc>
        <w:tc>
          <w:tcPr>
            <w:tcW w:w="109" w:type="dxa"/>
            <w:tcBorders/>
            <w:vAlign w:val="center"/>
          </w:tcPr>
          <w:p>
            <w:pPr>
              <w:pStyle w:val="TableContents"/>
              <w:bidi w:val="0"/>
              <w:spacing w:before="0" w:after="283"/>
              <w:jc w:val="left"/>
              <w:rPr>
                <w:sz w:val="4"/>
                <w:szCs w:val="4"/>
              </w:rPr>
            </w:pPr>
            <w:r>
              <w:rPr>
                <w:sz w:val="4"/>
                <w:szCs w:val="4"/>
              </w:rPr>
            </w:r>
          </w:p>
        </w:tc>
        <w:tc>
          <w:tcPr>
            <w:tcW w:w="7554"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In an ongoing effort to achieve strong support for our executive compensation program and to further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align executive incentives with stockholder interests, the Compensation and Human Capital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Committee considered and evaluated modifications to the long-term equity incentive component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effective for 2025. Based on feedback received from stockholder engagement and consistent with our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pay-for-performance compensation philosophy, we maintained performance-based equity awards as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 significant component of the equity awards program for our executive leaders (including our NEOs).</w:t>
            </w:r>
          </w:p>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For 2025, we continued to utilize PSUs as a core component of annual equity delivery, aligned with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our financial, operational, and strategic goals. We measure performance versus pre-established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goals over a two-year period. The key corporate performance metrics were deliveries, gross margin,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and free cash flow for the 2025 performance period and are deliveries and free cash flow for the 2026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performance period. Additionally, we continued to abstain from applying an individual performance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modifier to underscore our commitment to collective effort and teamwork.</w:t>
            </w:r>
          </w:p>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For 2025, the equity award mix for our NEOs was as follows: (1) for Messrs. Boussaid, Dhingra, and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Bach, 60% PSUs and 40% RSUs; (2) for Mr. Winterhoff, 33.33% in PSUs and 66.67% in RSUs. Mr.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Rawlinson, who departed in February 2025, was not eligible for an equity award in 2025, aside from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the Supplemental Rawlinson RSU Award (as defined under the heading "Mr. Rawlinson Transition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Agreement").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45</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COMPENSATION GOVERNANCE BEST PRACTICES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maintain strong corporate governance standards with respect to our executive and director compensation programs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are mindful of the perspectives of our stockholders. Our executive compensation program is guided by the following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corporate governance best practices designed to protect the interests of our stockholders:</w:t>
      </w:r>
    </w:p>
    <w:tbl>
      <w:tblPr>
        <w:tblW w:w="10205" w:type="dxa"/>
        <w:jc w:val="left"/>
        <w:tblInd w:w="0" w:type="dxa"/>
        <w:tblLayout w:type="fixed"/>
        <w:tblCellMar>
          <w:top w:w="28" w:type="dxa"/>
          <w:left w:w="28" w:type="dxa"/>
          <w:bottom w:w="28" w:type="dxa"/>
          <w:right w:w="28" w:type="dxa"/>
        </w:tblCellMar>
      </w:tblPr>
      <w:tblGrid>
        <w:gridCol w:w="124"/>
        <w:gridCol w:w="221"/>
        <w:gridCol w:w="4781"/>
        <w:gridCol w:w="109"/>
        <w:gridCol w:w="221"/>
        <w:gridCol w:w="4749"/>
      </w:tblGrid>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74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21" w:type="dxa"/>
            <w:tcBorders/>
            <w:shd w:fill="000000" w:val="clear"/>
            <w:vAlign w:val="center"/>
          </w:tcPr>
          <w:p>
            <w:pPr>
              <w:pStyle w:val="TableContents"/>
              <w:bidi w:val="0"/>
              <w:spacing w:before="0" w:after="283"/>
              <w:jc w:val="left"/>
              <w:rPr>
                <w:sz w:val="4"/>
                <w:szCs w:val="4"/>
              </w:rPr>
            </w:pPr>
            <w:r>
              <w:rPr>
                <w:sz w:val="4"/>
                <w:szCs w:val="4"/>
              </w:rPr>
            </w:r>
          </w:p>
        </w:tc>
        <w:tc>
          <w:tcPr>
            <w:tcW w:w="478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21" w:type="dxa"/>
            <w:tcBorders/>
            <w:shd w:fill="000000" w:val="clear"/>
            <w:vAlign w:val="center"/>
          </w:tcPr>
          <w:p>
            <w:pPr>
              <w:pStyle w:val="TableContents"/>
              <w:bidi w:val="0"/>
              <w:spacing w:before="0" w:after="283"/>
              <w:jc w:val="left"/>
              <w:rPr>
                <w:sz w:val="4"/>
                <w:szCs w:val="4"/>
              </w:rPr>
            </w:pPr>
            <w:r>
              <w:rPr>
                <w:sz w:val="4"/>
                <w:szCs w:val="4"/>
              </w:rPr>
            </w:r>
          </w:p>
        </w:tc>
        <w:tc>
          <w:tcPr>
            <w:tcW w:w="4749"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5002" w:type="dxa"/>
            <w:gridSpan w:val="2"/>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What We Do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4970" w:type="dxa"/>
            <w:gridSpan w:val="2"/>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What We Don’t Do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21" w:type="dxa"/>
            <w:tcBorders/>
            <w:shd w:fill="000000" w:val="clear"/>
            <w:vAlign w:val="center"/>
          </w:tcPr>
          <w:p>
            <w:pPr>
              <w:pStyle w:val="TableContents"/>
              <w:bidi w:val="0"/>
              <w:spacing w:before="0" w:after="283"/>
              <w:jc w:val="left"/>
              <w:rPr>
                <w:sz w:val="4"/>
                <w:szCs w:val="4"/>
              </w:rPr>
            </w:pPr>
            <w:r>
              <w:rPr>
                <w:sz w:val="4"/>
                <w:szCs w:val="4"/>
              </w:rPr>
            </w:r>
          </w:p>
        </w:tc>
        <w:tc>
          <w:tcPr>
            <w:tcW w:w="478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21" w:type="dxa"/>
            <w:tcBorders/>
            <w:shd w:fill="000000" w:val="clear"/>
            <w:vAlign w:val="center"/>
          </w:tcPr>
          <w:p>
            <w:pPr>
              <w:pStyle w:val="TableContents"/>
              <w:bidi w:val="0"/>
              <w:spacing w:before="0" w:after="283"/>
              <w:jc w:val="left"/>
              <w:rPr>
                <w:sz w:val="4"/>
                <w:szCs w:val="4"/>
              </w:rPr>
            </w:pPr>
            <w:r>
              <w:rPr>
                <w:sz w:val="4"/>
                <w:szCs w:val="4"/>
              </w:rPr>
            </w:r>
          </w:p>
        </w:tc>
        <w:tc>
          <w:tcPr>
            <w:tcW w:w="4749"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74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left"/>
              <w:rPr/>
            </w:pPr>
            <w:r>
              <w:rPr/>
              <w:drawing>
                <wp:inline distT="0" distB="0" distL="0" distR="0">
                  <wp:extent cx="85725" cy="857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85725" cy="85725"/>
                          </a:xfrm>
                          <a:prstGeom prst="rect">
                            <a:avLst/>
                          </a:prstGeom>
                        </pic:spPr>
                      </pic:pic>
                    </a:graphicData>
                  </a:graphic>
                </wp:inline>
              </w:drawing>
            </w:r>
            <w:bookmarkStart w:id="47" w:name="i-46"/>
            <w:bookmarkEnd w:id="47"/>
          </w:p>
        </w:tc>
        <w:tc>
          <w:tcPr>
            <w:tcW w:w="4781" w:type="dxa"/>
            <w:tcBorders/>
            <w:vAlign w:val="center"/>
          </w:tcPr>
          <w:p>
            <w:pPr>
              <w:pStyle w:val="TableContents"/>
              <w:bidi w:val="0"/>
              <w:spacing w:lineRule="atLeast" w:line="160" w:before="0" w:after="0"/>
              <w:jc w:val="left"/>
              <w:rPr/>
            </w:pPr>
            <w:r>
              <w:rPr>
                <w:rFonts w:ascii="Arial;sans-serif" w:hAnsi="Arial;sans-serif"/>
                <w:b/>
                <w:i/>
                <w:strike w:val="false"/>
                <w:dstrike w:val="false"/>
                <w:sz w:val="16"/>
                <w:u w:val="none"/>
                <w:effect w:val="none"/>
              </w:rPr>
              <w:t>Annual Compensation Review</w:t>
            </w:r>
            <w:r>
              <w:rPr>
                <w:rFonts w:ascii="Arial;sans-serif" w:hAnsi="Arial;sans-serif"/>
                <w:b w:val="false"/>
                <w:i w:val="false"/>
                <w:caps w:val="false"/>
                <w:smallCaps w:val="false"/>
                <w:strike w:val="false"/>
                <w:dstrike w:val="false"/>
                <w:sz w:val="16"/>
                <w:u w:val="none"/>
                <w:effect w:val="none"/>
              </w:rPr>
              <w:t xml:space="preserve">. The Compensation and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Human Capital Committee conducts a review at least annually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of our executive compensation philosophy and strategy,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including a market assessment of executive pay practices at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peer companies.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left"/>
              <w:rPr/>
            </w:pPr>
            <w:r>
              <w:rPr/>
              <w:drawing>
                <wp:inline distT="0" distB="0" distL="0" distR="0">
                  <wp:extent cx="85725" cy="857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85725" cy="85725"/>
                          </a:xfrm>
                          <a:prstGeom prst="rect">
                            <a:avLst/>
                          </a:prstGeom>
                        </pic:spPr>
                      </pic:pic>
                    </a:graphicData>
                  </a:graphic>
                </wp:inline>
              </w:drawing>
            </w:r>
            <w:bookmarkStart w:id="48" w:name="i-47"/>
            <w:bookmarkEnd w:id="48"/>
          </w:p>
        </w:tc>
        <w:tc>
          <w:tcPr>
            <w:tcW w:w="4749" w:type="dxa"/>
            <w:tcBorders/>
            <w:vAlign w:val="center"/>
          </w:tcPr>
          <w:p>
            <w:pPr>
              <w:pStyle w:val="TableContents"/>
              <w:bidi w:val="0"/>
              <w:spacing w:lineRule="atLeast" w:line="160" w:before="0" w:after="0"/>
              <w:jc w:val="left"/>
              <w:rPr/>
            </w:pPr>
            <w:r>
              <w:rPr>
                <w:rFonts w:ascii="Arial;sans-serif" w:hAnsi="Arial;sans-serif"/>
                <w:b/>
                <w:i/>
                <w:strike w:val="false"/>
                <w:dstrike w:val="false"/>
                <w:sz w:val="16"/>
                <w:u w:val="none"/>
                <w:effect w:val="none"/>
              </w:rPr>
              <w:t>No Option/SAR Repricing or Buy Outs</w:t>
            </w:r>
            <w:r>
              <w:rPr>
                <w:rFonts w:ascii="Arial;sans-serif" w:hAnsi="Arial;sans-serif"/>
                <w:b w:val="false"/>
                <w:i w:val="false"/>
                <w:caps w:val="false"/>
                <w:smallCaps w:val="false"/>
                <w:strike w:val="false"/>
                <w:dstrike w:val="false"/>
                <w:sz w:val="16"/>
                <w:u w:val="none"/>
                <w:effect w:val="none"/>
              </w:rPr>
              <w:t xml:space="preserve">. Our Amended and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Restated 2021 Stock Incentive Plan prohibits, without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stockholder approval, repricing of stock options and stock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appreciation rights, and buyouts of underwater stock options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and stock appreciation rights.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4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left"/>
              <w:rPr/>
            </w:pPr>
            <w:r>
              <w:rPr/>
              <w:drawing>
                <wp:inline distT="0" distB="0" distL="0" distR="0">
                  <wp:extent cx="85725" cy="857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85725" cy="85725"/>
                          </a:xfrm>
                          <a:prstGeom prst="rect">
                            <a:avLst/>
                          </a:prstGeom>
                        </pic:spPr>
                      </pic:pic>
                    </a:graphicData>
                  </a:graphic>
                </wp:inline>
              </w:drawing>
            </w:r>
            <w:bookmarkStart w:id="49" w:name="i-48"/>
            <w:bookmarkEnd w:id="49"/>
          </w:p>
        </w:tc>
        <w:tc>
          <w:tcPr>
            <w:tcW w:w="4781" w:type="dxa"/>
            <w:tcBorders/>
            <w:vAlign w:val="center"/>
          </w:tcPr>
          <w:p>
            <w:pPr>
              <w:pStyle w:val="TableContents"/>
              <w:bidi w:val="0"/>
              <w:spacing w:lineRule="atLeast" w:line="160" w:before="0" w:after="0"/>
              <w:jc w:val="left"/>
              <w:rPr/>
            </w:pPr>
            <w:r>
              <w:rPr>
                <w:rFonts w:ascii="Arial;sans-serif" w:hAnsi="Arial;sans-serif"/>
                <w:b/>
                <w:i/>
                <w:strike w:val="false"/>
                <w:dstrike w:val="false"/>
                <w:sz w:val="16"/>
                <w:u w:val="none"/>
                <w:effect w:val="none"/>
              </w:rPr>
              <w:t>Annual Compensation-Related Risk Assessment</w:t>
            </w:r>
            <w:r>
              <w:rPr>
                <w:rFonts w:ascii="Arial;sans-serif" w:hAnsi="Arial;sans-serif"/>
                <w:b w:val="false"/>
                <w:i w:val="false"/>
                <w:caps w:val="false"/>
                <w:smallCaps w:val="false"/>
                <w:strike w:val="false"/>
                <w:dstrike w:val="false"/>
                <w:sz w:val="16"/>
                <w:u w:val="none"/>
                <w:effect w:val="none"/>
              </w:rPr>
              <w:t xml:space="preserve">. We have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strong risk and control policies, consider risk management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when making executive compensation decisions, and conduct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an annual risk assessment of our compensation programs to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promote prudent risk management.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left"/>
              <w:rPr/>
            </w:pPr>
            <w:r>
              <w:rPr/>
              <w:drawing>
                <wp:inline distT="0" distB="0" distL="0" distR="0">
                  <wp:extent cx="85725" cy="857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85725" cy="85725"/>
                          </a:xfrm>
                          <a:prstGeom prst="rect">
                            <a:avLst/>
                          </a:prstGeom>
                        </pic:spPr>
                      </pic:pic>
                    </a:graphicData>
                  </a:graphic>
                </wp:inline>
              </w:drawing>
            </w:r>
            <w:bookmarkStart w:id="50" w:name="i-49"/>
            <w:bookmarkEnd w:id="50"/>
          </w:p>
        </w:tc>
        <w:tc>
          <w:tcPr>
            <w:tcW w:w="4749" w:type="dxa"/>
            <w:tcBorders/>
            <w:vAlign w:val="center"/>
          </w:tcPr>
          <w:p>
            <w:pPr>
              <w:pStyle w:val="TableContents"/>
              <w:bidi w:val="0"/>
              <w:spacing w:lineRule="atLeast" w:line="160" w:before="0" w:after="0"/>
              <w:jc w:val="left"/>
              <w:rPr/>
            </w:pPr>
            <w:r>
              <w:rPr>
                <w:rFonts w:ascii="Arial;sans-serif" w:hAnsi="Arial;sans-serif"/>
                <w:b/>
                <w:i/>
                <w:strike w:val="false"/>
                <w:dstrike w:val="false"/>
                <w:sz w:val="16"/>
                <w:u w:val="none"/>
                <w:effect w:val="none"/>
              </w:rPr>
              <w:t>No Dividends on Unvested Awards</w:t>
            </w:r>
            <w:r>
              <w:rPr>
                <w:rFonts w:ascii="Arial;sans-serif" w:hAnsi="Arial;sans-serif"/>
                <w:b w:val="false"/>
                <w:i w:val="false"/>
                <w:caps w:val="false"/>
                <w:smallCaps w:val="false"/>
                <w:strike w:val="false"/>
                <w:dstrike w:val="false"/>
                <w:sz w:val="16"/>
                <w:u w:val="none"/>
                <w:effect w:val="none"/>
              </w:rPr>
              <w:t xml:space="preserve">. We do not pay dividends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on unvested equity awards.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4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left"/>
              <w:rPr/>
            </w:pPr>
            <w:r>
              <w:rPr/>
              <w:drawing>
                <wp:inline distT="0" distB="0" distL="0" distR="0">
                  <wp:extent cx="85725" cy="857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85725" cy="85725"/>
                          </a:xfrm>
                          <a:prstGeom prst="rect">
                            <a:avLst/>
                          </a:prstGeom>
                        </pic:spPr>
                      </pic:pic>
                    </a:graphicData>
                  </a:graphic>
                </wp:inline>
              </w:drawing>
            </w:r>
            <w:bookmarkStart w:id="51" w:name="i-50"/>
            <w:bookmarkEnd w:id="51"/>
          </w:p>
        </w:tc>
        <w:tc>
          <w:tcPr>
            <w:tcW w:w="4781" w:type="dxa"/>
            <w:tcBorders/>
            <w:vAlign w:val="center"/>
          </w:tcPr>
          <w:p>
            <w:pPr>
              <w:pStyle w:val="TableContents"/>
              <w:bidi w:val="0"/>
              <w:spacing w:lineRule="atLeast" w:line="160" w:before="0" w:after="0"/>
              <w:jc w:val="left"/>
              <w:rPr/>
            </w:pPr>
            <w:r>
              <w:rPr>
                <w:rFonts w:ascii="Arial;sans-serif" w:hAnsi="Arial;sans-serif"/>
                <w:b/>
                <w:i/>
                <w:strike w:val="false"/>
                <w:dstrike w:val="false"/>
                <w:sz w:val="16"/>
                <w:u w:val="none"/>
                <w:effect w:val="none"/>
              </w:rPr>
              <w:t>Balanced Short-Term and Long-Term Compensation</w:t>
            </w:r>
            <w:r>
              <w:rPr>
                <w:rFonts w:ascii="Arial;sans-serif" w:hAnsi="Arial;sans-serif"/>
                <w:b w:val="false"/>
                <w:i w:val="false"/>
                <w:caps w:val="false"/>
                <w:smallCaps w:val="false"/>
                <w:strike w:val="false"/>
                <w:dstrike w:val="false"/>
                <w:sz w:val="16"/>
                <w:u w:val="none"/>
                <w:effect w:val="none"/>
              </w:rPr>
              <w:t xml:space="preserve">. We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balance short- and long-term incentives to discourage short-</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term risk-taking at the expense of long-term results.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left"/>
              <w:rPr/>
            </w:pPr>
            <w:r>
              <w:rPr/>
              <w:drawing>
                <wp:inline distT="0" distB="0" distL="0" distR="0">
                  <wp:extent cx="85725" cy="857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85725" cy="85725"/>
                          </a:xfrm>
                          <a:prstGeom prst="rect">
                            <a:avLst/>
                          </a:prstGeom>
                        </pic:spPr>
                      </pic:pic>
                    </a:graphicData>
                  </a:graphic>
                </wp:inline>
              </w:drawing>
            </w:r>
            <w:bookmarkStart w:id="52" w:name="i-51"/>
            <w:bookmarkEnd w:id="52"/>
          </w:p>
        </w:tc>
        <w:tc>
          <w:tcPr>
            <w:tcW w:w="4749" w:type="dxa"/>
            <w:tcBorders/>
            <w:vAlign w:val="center"/>
          </w:tcPr>
          <w:p>
            <w:pPr>
              <w:pStyle w:val="TableContents"/>
              <w:bidi w:val="0"/>
              <w:spacing w:lineRule="atLeast" w:line="160" w:before="0" w:after="0"/>
              <w:jc w:val="left"/>
              <w:rPr/>
            </w:pPr>
            <w:r>
              <w:rPr>
                <w:rFonts w:ascii="Arial;sans-serif" w:hAnsi="Arial;sans-serif"/>
                <w:b/>
                <w:i/>
                <w:strike w:val="false"/>
                <w:dstrike w:val="false"/>
                <w:sz w:val="16"/>
                <w:u w:val="none"/>
                <w:effect w:val="none"/>
              </w:rPr>
              <w:t>No “Single-Trigger” Change in Control Arrangements</w:t>
            </w:r>
            <w:r>
              <w:rPr>
                <w:rFonts w:ascii="Arial;sans-serif" w:hAnsi="Arial;sans-serif"/>
                <w:b w:val="false"/>
                <w:i w:val="false"/>
                <w:caps w:val="false"/>
                <w:smallCaps w:val="false"/>
                <w:strike w:val="false"/>
                <w:dstrike w:val="false"/>
                <w:sz w:val="16"/>
                <w:u w:val="none"/>
                <w:effect w:val="none"/>
              </w:rPr>
              <w:t xml:space="preserve">. We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do not provide for “single-trigger” acceleration of equity or other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compensation or benefits solely upon a change in control.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4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left"/>
              <w:rPr/>
            </w:pPr>
            <w:r>
              <w:rPr/>
              <w:drawing>
                <wp:inline distT="0" distB="0" distL="0" distR="0">
                  <wp:extent cx="85725" cy="857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85725" cy="85725"/>
                          </a:xfrm>
                          <a:prstGeom prst="rect">
                            <a:avLst/>
                          </a:prstGeom>
                        </pic:spPr>
                      </pic:pic>
                    </a:graphicData>
                  </a:graphic>
                </wp:inline>
              </w:drawing>
            </w:r>
            <w:bookmarkStart w:id="53" w:name="i-52"/>
            <w:bookmarkEnd w:id="53"/>
          </w:p>
        </w:tc>
        <w:tc>
          <w:tcPr>
            <w:tcW w:w="4781" w:type="dxa"/>
            <w:tcBorders/>
            <w:vAlign w:val="center"/>
          </w:tcPr>
          <w:p>
            <w:pPr>
              <w:pStyle w:val="TableContents"/>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 xml:space="preserve">Independent Compensation and Human Capital Committee </w:t>
            </w:r>
          </w:p>
          <w:p>
            <w:pPr>
              <w:pStyle w:val="TableContents"/>
              <w:bidi w:val="0"/>
              <w:spacing w:lineRule="atLeast" w:line="160" w:before="0" w:after="0"/>
              <w:jc w:val="left"/>
              <w:rPr/>
            </w:pPr>
            <w:r>
              <w:rPr>
                <w:rFonts w:ascii="Arial;sans-serif" w:hAnsi="Arial;sans-serif"/>
                <w:b/>
                <w:i/>
                <w:strike w:val="false"/>
                <w:dstrike w:val="false"/>
                <w:sz w:val="16"/>
                <w:u w:val="none"/>
                <w:effect w:val="none"/>
              </w:rPr>
              <w:t>Advisor</w:t>
            </w:r>
            <w:r>
              <w:rPr>
                <w:rFonts w:ascii="Arial;sans-serif" w:hAnsi="Arial;sans-serif"/>
                <w:b w:val="false"/>
                <w:i w:val="false"/>
                <w:caps w:val="false"/>
                <w:smallCaps w:val="false"/>
                <w:strike w:val="false"/>
                <w:dstrike w:val="false"/>
                <w:sz w:val="16"/>
                <w:u w:val="none"/>
                <w:effect w:val="none"/>
              </w:rPr>
              <w:t xml:space="preserve">. The Compensation and Human Capital Committee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engages an independent compensation consultant.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left"/>
              <w:rPr/>
            </w:pPr>
            <w:r>
              <w:rPr/>
              <w:drawing>
                <wp:inline distT="0" distB="0" distL="0" distR="0">
                  <wp:extent cx="85725" cy="8572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85725" cy="85725"/>
                          </a:xfrm>
                          <a:prstGeom prst="rect">
                            <a:avLst/>
                          </a:prstGeom>
                        </pic:spPr>
                      </pic:pic>
                    </a:graphicData>
                  </a:graphic>
                </wp:inline>
              </w:drawing>
            </w:r>
            <w:bookmarkStart w:id="54" w:name="i-53"/>
            <w:bookmarkEnd w:id="54"/>
          </w:p>
        </w:tc>
        <w:tc>
          <w:tcPr>
            <w:tcW w:w="4749" w:type="dxa"/>
            <w:tcBorders/>
            <w:vAlign w:val="center"/>
          </w:tcPr>
          <w:p>
            <w:pPr>
              <w:pStyle w:val="TableContents"/>
              <w:bidi w:val="0"/>
              <w:spacing w:lineRule="atLeast" w:line="160" w:before="0" w:after="0"/>
              <w:jc w:val="left"/>
              <w:rPr/>
            </w:pPr>
            <w:r>
              <w:rPr>
                <w:rFonts w:ascii="Arial;sans-serif" w:hAnsi="Arial;sans-serif"/>
                <w:b/>
                <w:i/>
                <w:strike w:val="false"/>
                <w:dstrike w:val="false"/>
                <w:sz w:val="16"/>
                <w:u w:val="none"/>
                <w:effect w:val="none"/>
              </w:rPr>
              <w:t>No Excise Tax “Gross-Ups</w:t>
            </w:r>
            <w:r>
              <w:rPr>
                <w:rFonts w:ascii="Arial;sans-serif" w:hAnsi="Arial;sans-serif"/>
                <w:b w:val="false"/>
                <w:i w:val="false"/>
                <w:caps w:val="false"/>
                <w:smallCaps w:val="false"/>
                <w:strike w:val="false"/>
                <w:dstrike w:val="false"/>
                <w:sz w:val="16"/>
                <w:u w:val="none"/>
                <w:effect w:val="none"/>
              </w:rPr>
              <w:t xml:space="preserve">.” We do not provide any excise tax </w:t>
            </w:r>
          </w:p>
          <w:p>
            <w:pPr>
              <w:pStyle w:val="TableContents"/>
              <w:bidi w:val="0"/>
              <w:spacing w:lineRule="atLeast" w:line="16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6"/>
                <w:u w:val="none"/>
                <w:effect w:val="none"/>
              </w:rPr>
              <w:t xml:space="preserve">gross-ups” on severance or other payments in connection with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 change in control.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4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left"/>
              <w:rPr/>
            </w:pPr>
            <w:r>
              <w:rPr/>
              <w:drawing>
                <wp:inline distT="0" distB="0" distL="0" distR="0">
                  <wp:extent cx="85725" cy="8572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85725" cy="85725"/>
                          </a:xfrm>
                          <a:prstGeom prst="rect">
                            <a:avLst/>
                          </a:prstGeom>
                        </pic:spPr>
                      </pic:pic>
                    </a:graphicData>
                  </a:graphic>
                </wp:inline>
              </w:drawing>
            </w:r>
            <w:bookmarkStart w:id="55" w:name="i-54"/>
            <w:bookmarkEnd w:id="55"/>
          </w:p>
        </w:tc>
        <w:tc>
          <w:tcPr>
            <w:tcW w:w="4781" w:type="dxa"/>
            <w:tcBorders/>
            <w:vAlign w:val="center"/>
          </w:tcPr>
          <w:p>
            <w:pPr>
              <w:pStyle w:val="TableContents"/>
              <w:bidi w:val="0"/>
              <w:spacing w:lineRule="atLeast" w:line="160" w:before="0" w:after="0"/>
              <w:jc w:val="left"/>
              <w:rPr/>
            </w:pPr>
            <w:r>
              <w:rPr>
                <w:rFonts w:ascii="Arial;sans-serif" w:hAnsi="Arial;sans-serif"/>
                <w:b/>
                <w:i/>
                <w:strike w:val="false"/>
                <w:dstrike w:val="false"/>
                <w:sz w:val="16"/>
                <w:u w:val="none"/>
                <w:effect w:val="none"/>
              </w:rPr>
              <w:t>Independent Compensation and Human Capital Committee</w:t>
            </w:r>
            <w:r>
              <w:rPr>
                <w:rFonts w:ascii="Arial;sans-serif" w:hAnsi="Arial;sans-serif"/>
                <w:b w:val="false"/>
                <w:i w:val="false"/>
                <w:caps w:val="false"/>
                <w:smallCaps w:val="false"/>
                <w:strike w:val="false"/>
                <w:dstrike w:val="false"/>
                <w:sz w:val="16"/>
                <w:u w:val="none"/>
                <w:effect w:val="none"/>
              </w:rPr>
              <w:t xml:space="preserve">.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The Compensation and Human Capital Committee consists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only of independent directors under Nasdaq rules, even though,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as a controlled company, we are not required to have an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independent compensation committee under Nasdaq rules.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left"/>
              <w:rPr/>
            </w:pPr>
            <w:r>
              <w:rPr/>
              <w:drawing>
                <wp:inline distT="0" distB="0" distL="0" distR="0">
                  <wp:extent cx="85725" cy="8572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85725" cy="85725"/>
                          </a:xfrm>
                          <a:prstGeom prst="rect">
                            <a:avLst/>
                          </a:prstGeom>
                        </pic:spPr>
                      </pic:pic>
                    </a:graphicData>
                  </a:graphic>
                </wp:inline>
              </w:drawing>
            </w:r>
            <w:bookmarkStart w:id="56" w:name="i-55"/>
            <w:bookmarkEnd w:id="56"/>
          </w:p>
        </w:tc>
        <w:tc>
          <w:tcPr>
            <w:tcW w:w="4749" w:type="dxa"/>
            <w:tcBorders/>
            <w:vAlign w:val="center"/>
          </w:tcPr>
          <w:p>
            <w:pPr>
              <w:pStyle w:val="TableContents"/>
              <w:bidi w:val="0"/>
              <w:spacing w:lineRule="atLeast" w:line="160" w:before="0" w:after="0"/>
              <w:jc w:val="left"/>
              <w:rPr/>
            </w:pPr>
            <w:r>
              <w:rPr>
                <w:rFonts w:ascii="Arial;sans-serif" w:hAnsi="Arial;sans-serif"/>
                <w:b/>
                <w:i/>
                <w:strike w:val="false"/>
                <w:dstrike w:val="false"/>
                <w:sz w:val="16"/>
                <w:u w:val="none"/>
                <w:effect w:val="none"/>
              </w:rPr>
              <w:t>No Hedging or Pledging Permitted</w:t>
            </w:r>
            <w:r>
              <w:rPr>
                <w:rFonts w:ascii="Arial;sans-serif" w:hAnsi="Arial;sans-serif"/>
                <w:b w:val="false"/>
                <w:i w:val="false"/>
                <w:caps w:val="false"/>
                <w:smallCaps w:val="false"/>
                <w:strike w:val="false"/>
                <w:dstrike w:val="false"/>
                <w:sz w:val="16"/>
                <w:u w:val="none"/>
                <w:effect w:val="none"/>
              </w:rPr>
              <w:t xml:space="preserve">. We prohibit directors and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employees (including our NEOs) from hedging or pledging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Lucid securities.</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4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COMPENSATION PHILOSOPHY AND OBJECTIVES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executive compensation program is designed to attract, retain, and motivate top-level talent who possess the skills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leadership necessary to grow our business and enable long-term value creation by (i) providing compensation packages that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are competitive with market practice and drive and reward the achievement of our business objectives; (ii) closely aligning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interests of our NEOs with those of our stockholders by providing a significant portion of our NEOs’ compensation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equity and, with the emphasis of performance-based equity awards, linking a significant portion of equity compensation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performance-based results; and (iii) appropriately aligning compensation with both short-term and long-term Company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performance measures and strategic objectives. Being a technology and automotive company that is setting new standards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with the world’s most advanced electric vehicles, we seek to hire and retain experienced talent from the competitive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technology sector who have the ability to lead across multiple disciplines and through our highly regulated industries.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ensure that management’s interests are aligned with those of our stockholders and to motivate and reward individual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initiative and effort, our executive compensation program emphasizes a pay-for-performance compensation philosophy so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that attainment of Company and individual performance goals are rewarded.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executive compensation program design reflects our pay-for-performance philosophy and includes a mix of three key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compensation elements — base salary, annual cash incentive awards, and long-term equity incentive awards.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annually reviews and analyzes market trends, including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market data from an approved peer group of companies, and adjusts the design and operation of our executive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program from time to time as it deems appropriate. As we continue to grow as a public company,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and Human Capital Committee continues to evaluate the extent to which the equity compensation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NEOs should be linked to performance-based results and to further strengthen this alignment by approving performance-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based equity awards.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RECRUITMENT PHILOSOPHY AND OBJECTIVES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Lucid’s mission is to advance the state-of-the-art of EV technology for the benefit of all. At Lucid, we strongly believe 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power of our talented employees and partners to create, build, and support the most advanced EVs available in the global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46</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market. We seek to attract and retain employees whose respective professional backgrounds and individual skill sets can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help craft an unparalleled suite of state-of-the-art, technologically advanced, California-inspired vehicles for consumers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worldwide.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recognize the critical importance of attracting, recruiting, developing, and retaining top talent at all levels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organization through a comprehensive global human capital management strategy.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oversees this strategy and receives regular updates from management, led by our Senior Vice President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People, on our global talent initiatives. Since 2025, we have successfully continued to strengthen our next-generation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executive leadership team by hiring and promoting seasoned executives across key roles, including Mr. Taoufiq Boussaid,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who joined as our Chief Financial Officer in the first quarter of 2025, Mr. Akerho Oghoghomeh, who joined as our Senior Vice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President, Marketing in the second quarter of 2025, Mr. Emad Dlala, who was promoted to Senior Vice President,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Engineering and Digital in the fourth quarter of 2025, Ms. Marnie Levergood, who joined as our Senior Vice President,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Quality in the fourth quarter of 2025, Mr. Erwin Raphael, who was promoted to Senior Vice President of Revenue 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fourth quarter of 2025, and Mr. Neil Marsons, who joined as our Senior Vice President, Supply Chain and Logistics 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fourth quarter of 2025.</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EXECUTIVE COMPENSATION PROCESS</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Roles of the Compensation and Human Capital Committee and Management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executive compensation program is overseen and administered by the Compensation and Human Capital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which is comprised entirely of independent directors under Nasdaq rules (even though, as a controlled company, we are not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required to have an independent compensation committee under Nasdaq rules).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establishes our overall compensation philosophy and objectives and is responsible for establishing, overseeing,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evaluating our executive compensation program. The Compensation and Human Capital Committee reviews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assesses whether our executive compensation program aligns with our compensation philosophy and objectives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generally approves the cash compensation of our NEOs (other than the CEO), and recommends to the Board for approval,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cash compensation for our CEO and equity grants to our NEOs (including the CEO).</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also consults with and reviews feedback from members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management team, including our CEO and Human Resources senior leadership, when making compensation decisions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(other than related to their own compensation). Our CEO works closely with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and provides the Compensation and Human Capital Committee with performance assessments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recommendations for each NEO (other than himself), based on each NEO’s level of performance and overall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 performance. While the Compensation and Human Capital Committee considers our CEO’s recommendations,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ultimately uses its own business judgment and experience in making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compensation decisions and recommendations.</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Role of Compensation Consultant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is directly responsible for the appointment, compensation and oversight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of the work of any compensation advisor and has sole authority to approve all such advisors’ fees and other retention terms.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has retained Pay Governance LLC ("Pay Governance") as its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independent compensation consultant since November 2021 to provide the committee with advice and guidance on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design of our executive compensation program. The Nominating and Corporate Governance Committee also has retained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Pay Governance as an independent consultant to assist with evaluating non-employee director compensation. Pay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Governance provides the committees with market data and analysis on competitive compensation levels, practices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trends and provides recommendations when requested. Pay Governance has not provided any other services to us and has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not received any compensation from us other than with respect to such services to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Committee and the Nominating and Corporate Governance Committee.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Each year, the Compensation and Human Capital Committee reviews the independence of the compensation consultant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other advisors who provide advice to the committee, utilizing the independence criteria and factors specified under Nasdaq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rules.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has determined that Pay Governance is independent within the meaning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of the Nasdaq rules, and Pay Governance’s work for the committee has not raised any conflicts of interest.</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47</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Executive Compensation Peer Group</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September 2024, based on input from management and Pay Governance,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approved an executive compensation peer group to define external benchmarks to help inform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decision-making for 2025. While external benchmarks are not the only factor used in the committee’s decision process, it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believes external benchmarks to be a valuable tool in understanding the competitive market as it develops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policies and practices intended to attract, motivate, and retain top-level talent.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developing the peer group, consideration was given to financial scoping measures as well as our unique combination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key attributes—high price-to-sales ratio, large-scale manufacturing, and a technology-heavy workforce. Our 2025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compensation peer group included the following companies based on the aforementioned criteria:</w:t>
      </w:r>
    </w:p>
    <w:tbl>
      <w:tblPr>
        <w:tblW w:w="8004" w:type="dxa"/>
        <w:jc w:val="left"/>
        <w:tblInd w:w="0" w:type="dxa"/>
        <w:tblLayout w:type="fixed"/>
        <w:tblCellMar>
          <w:top w:w="28" w:type="dxa"/>
          <w:left w:w="28" w:type="dxa"/>
          <w:bottom w:w="28" w:type="dxa"/>
          <w:right w:w="28" w:type="dxa"/>
        </w:tblCellMar>
      </w:tblPr>
      <w:tblGrid>
        <w:gridCol w:w="124"/>
        <w:gridCol w:w="1906"/>
        <w:gridCol w:w="109"/>
        <w:gridCol w:w="1846"/>
        <w:gridCol w:w="109"/>
        <w:gridCol w:w="1726"/>
        <w:gridCol w:w="109"/>
        <w:gridCol w:w="192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Aptiv PLC</w:t>
            </w:r>
          </w:p>
        </w:tc>
        <w:tc>
          <w:tcPr>
            <w:tcW w:w="10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Ford Motor Company</w:t>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Lyft, Inc.</w:t>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Rivian Automotive,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Aurora Innovation, Inc.</w:t>
            </w:r>
          </w:p>
        </w:tc>
        <w:tc>
          <w:tcPr>
            <w:tcW w:w="10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General Motors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Company</w:t>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Magna International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Inc. </w:t>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Snowflake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Carvana Co.</w:t>
            </w:r>
          </w:p>
        </w:tc>
        <w:tc>
          <w:tcPr>
            <w:tcW w:w="10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Harley-Davidson, Inc.</w:t>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Mobileye Global Inc.</w:t>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Tesla,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Cloudflare, Inc.</w:t>
            </w:r>
          </w:p>
        </w:tc>
        <w:tc>
          <w:tcPr>
            <w:tcW w:w="10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Joby Aviation, Inc.</w:t>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 xml:space="preserve">QuantumScape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Corporation</w:t>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lineRule="atLeast" w:line="16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6"/>
                <w:u w:val="none"/>
                <w:effect w:val="none"/>
              </w:rPr>
              <w:t>Zscaler,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reviews the compensation peer group annually to ensure continued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appropriateness. The peer group companies are intended to be a reasonable frame of reference for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benchmarking, aligned with the Company’s business attributes, and size appropriate, taking into account changes in both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business and the businesses of the companies in the peer group. For 2025, in consultation with Pay Governance,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approved the removal of Airbnb, CrowdStrike, and Uber due to their market capitalizations and/or revenues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relative to Lucid, and the inclusion of Aurora Innovation, Carvana, and QuantumScape due to their strong automotive and/or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electric vehicle industry linkage. </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ANALYSIS OF 2025 COMPENSATION</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Compensation Elements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2025 executive compensation program consisted of the following elements: base salary, annual cash incentive awards,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long-term equity incentive awards. Each element, which is further discussed below, is intended to reward and motivate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executives in different ways consistent with our overall compensation philosophy.</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Compensation-Setting Process and Competitive Positioning</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the first quarter of 2025, the Compensation and Human Capital Committee reviewed the base salaries, target annual cash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incentive opportunities, and annual long-term equity incentive values for our NEOs at that time, as compared to similarly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situated executives in the peer group. Pay Governance provided data at the 25th, 50th, and 75th percentiles for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which the committee used as a reference. The Compensation and Human Capital Committee considers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data relevant to, but not determinative of, its consideration of overall executive compensation matters. The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Human Capital Committee did not benchmark any compensation element to a specific percentile, and the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instead established our NEOs’ compensation at levels it deemed appropriate after considering such data in conjunction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other factors, including our overall financial and operating performance and each NEO’s experience, performance,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contributions and responsibilities, internal pay equity, our short-term and long-term objectives, retention considerations,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prevailing market conditions, and feedback from stockholder engagement.</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BASE SALARY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Base salaries provide a fixed source of compensation to our NEOs. We believe that a competitive base salary is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necessary element of our executive compensation program and is critical in attracting and retaining executive talent,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including our NEOs. Base salaries for our NEOs are also intended to be competitive with those received by other individuals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similar positions at the companies with which we compete for talent, as well as equitable internally across our executive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team.</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48</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annually reviews the base salaries of our NEOs and makes adjustments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as it deems necessary or appropriate based on peer group data and the other factors described above in “Compensation-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Setting Process and Competitive Positioning.” For each NEO, other than the CEO,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Committee receives a performance assessment and salary adjustment recommendation from the CEO.</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reviewed the base salaries of our NEOs and considered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recommendations of our Interim CEO, Mr. Winterhoff (except with respect to his own base salary). Consistent with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intended approach to provide compensation competitive with a benchmark group of companies and in recognition of their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performance, the Compensation and Human Capital Committee approved increases in the annual base salaries for Messrs.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Dhingra and Bach in March 2025. The Board, upon the recommendation of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Committee, approved increase in the annual base salary for Mr. Winterhoff in March 2025.</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Our NEOs’ base salaries for 2025, both immediately preceding and after the increase, are set forth in the table below:</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2025 Base Salary</w:t>
      </w:r>
    </w:p>
    <w:tbl>
      <w:tblPr>
        <w:tblW w:w="4350" w:type="dxa"/>
        <w:jc w:val="left"/>
        <w:tblInd w:w="0" w:type="dxa"/>
        <w:tblLayout w:type="fixed"/>
        <w:tblCellMar>
          <w:top w:w="28" w:type="dxa"/>
          <w:left w:w="28" w:type="dxa"/>
          <w:bottom w:w="28" w:type="dxa"/>
          <w:right w:w="28" w:type="dxa"/>
        </w:tblCellMar>
      </w:tblPr>
      <w:tblGrid>
        <w:gridCol w:w="124"/>
        <w:gridCol w:w="1756"/>
        <w:gridCol w:w="109"/>
        <w:gridCol w:w="1171"/>
        <w:gridCol w:w="109"/>
        <w:gridCol w:w="1081"/>
      </w:tblGrid>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17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8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Named Executive Officer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17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Base Salary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Rate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Before Increase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8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Base Salary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Rate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Post-Increase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17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8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Marc Winterhoff</w:t>
            </w:r>
            <w:r>
              <w:rPr>
                <w:rFonts w:ascii="Arial;sans-serif" w:hAnsi="Arial;sans-serif"/>
                <w:b w:val="false"/>
                <w:i w:val="false"/>
                <w:caps w:val="false"/>
                <w:smallCaps w:val="false"/>
                <w:strike w:val="false"/>
                <w:dstrike w:val="false"/>
                <w:sz w:val="10"/>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$595,000</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$634,000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Taoufiq Boussaid</w:t>
            </w:r>
            <w:r>
              <w:rPr>
                <w:rFonts w:ascii="Arial;sans-serif" w:hAnsi="Arial;sans-serif"/>
                <w:b w:val="false"/>
                <w:i w:val="false"/>
                <w:caps w:val="false"/>
                <w:smallCaps w:val="false"/>
                <w:strike w:val="false"/>
                <w:dstrike w:val="false"/>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$575,000</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$575,000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Gagan Dhingra</w:t>
            </w:r>
            <w:r>
              <w:rPr>
                <w:rFonts w:ascii="Arial;sans-serif" w:hAnsi="Arial;sans-serif"/>
                <w:b w:val="false"/>
                <w:i w:val="false"/>
                <w:caps w:val="false"/>
                <w:smallCaps w:val="false"/>
                <w:strike w:val="false"/>
                <w:dstrike w:val="false"/>
                <w:sz w:val="10"/>
                <w:u w:val="none"/>
                <w:effect w:val="none"/>
              </w:rPr>
              <w:t>(3)</w:t>
            </w:r>
            <w:r>
              <w:rPr>
                <w:caps w:val="false"/>
                <w:smallCaps w:val="false"/>
                <w:strike w:val="false"/>
                <w:dstrike w:val="false"/>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$400,000</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$475,000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Eric Bach</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$605,000</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$626,000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Peter Rawlinson</w:t>
            </w:r>
            <w:r>
              <w:rPr>
                <w:rFonts w:ascii="Arial;sans-serif" w:hAnsi="Arial;sans-serif"/>
                <w:b w:val="false"/>
                <w:i w:val="false"/>
                <w:caps w:val="false"/>
                <w:smallCaps w:val="false"/>
                <w:strike w:val="false"/>
                <w:dstrike w:val="false"/>
                <w:sz w:val="10"/>
                <w:u w:val="none"/>
                <w:effect w:val="none"/>
              </w:rPr>
              <w:t>(4)</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$625,000</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tLeast" w:line="16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0"/>
                <w:u w:val="none"/>
                <w:effect w:val="none"/>
              </w:rPr>
              <w:t>(4)</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 xml:space="preserve">Mr. Winterhoff also receives a stipend of $20,000 per month for any month or partial month he serves as interim CEO. As discussed above, he will continue to serve as our interim CEO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until the appointment of Mr. Napoli in 2026.</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trike w:val="false"/>
          <w:dstrike w:val="false"/>
          <w:sz w:val="12"/>
          <w:u w:val="none"/>
          <w:effect w:val="none"/>
        </w:rPr>
        <w:t xml:space="preserve">In 2025, there was no base salary adjustment for Mr. Boussaid, who commenced employment with us in January 2025 and was therefore not eligible for an increase in the annual base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salary.</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(3)</w:t>
      </w:r>
      <w:r>
        <w:rPr>
          <w:rFonts w:ascii="Arial;sans-serif" w:hAnsi="Arial;sans-serif"/>
          <w:b w:val="false"/>
          <w:i w:val="false"/>
          <w:caps w:val="false"/>
          <w:smallCaps w:val="false"/>
          <w:strike w:val="false"/>
          <w:dstrike w:val="false"/>
          <w:sz w:val="12"/>
          <w:u w:val="none"/>
          <w:effect w:val="none"/>
        </w:rPr>
        <w:t>Mr. Dhingra received a stipend of $25,000 per month for a total of $75,000 for the time he served as interim CFO in fiscal year 2025.</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(4)</w:t>
      </w:r>
      <w:r>
        <w:rPr>
          <w:rFonts w:ascii="Arial;sans-serif" w:hAnsi="Arial;sans-serif"/>
          <w:b w:val="false"/>
          <w:i w:val="false"/>
          <w:caps w:val="false"/>
          <w:smallCaps w:val="false"/>
          <w:strike w:val="false"/>
          <w:dstrike w:val="false"/>
          <w:sz w:val="12"/>
          <w:u w:val="none"/>
          <w:effect w:val="none"/>
        </w:rPr>
        <w:t xml:space="preserve">Mr. Rawlinson was appointed as Strategic Technical Advisor to the Chairman of the Board on February 21, 2025. In connection with such transition, he began receiving a monthly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payment of $120,000 for services rendered during the 24</w:t>
        <w:noBreakHyphen/>
        <w:t>month consulting term starting in February 2025.</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ANNUAL CASH INCENTIVE AWARDS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annual cash incentive program (the “Annual Incentive Plan Program” or “AIP”) is intended to motivate our employees,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including our NEOs, to achieve exceptionally challenging short-term strategic and operational objectives, while also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enhancing our ability to attract and retain highly talented individuals. Under our AIP, NEOs are eligible to receive an annual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performance-based cash bonus award, the amount of which is based on a pre-set target percentage of the NEO’s annual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base salary for that year.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is responsible for establishing the target annual incentive opportunity,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well as the Company performance metrics and individual performance criteria, the latter of which are measured against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assessing the individual performance modifier. For each NEO, the amount of such cash incentive award for each fiscal year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depends on our overall Company Payout Factor, which is based on the combined performance of the underlying Company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Performance Metrics (see following section for additional details) and each executive's respective individual performance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modifier.</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49</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June 2025, the Board, upon the recommendation of the Compensation and Human Capital Committee, approved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Annual Incentive Plan Program for fiscal year 2025 (the “2025 AIP”), based on the following formula:</w:t>
      </w:r>
    </w:p>
    <w:tbl>
      <w:tblPr>
        <w:tblW w:w="5232" w:type="dxa"/>
        <w:jc w:val="left"/>
        <w:tblInd w:w="0" w:type="dxa"/>
        <w:tblLayout w:type="fixed"/>
        <w:tblCellMar>
          <w:top w:w="28" w:type="dxa"/>
          <w:left w:w="28" w:type="dxa"/>
          <w:bottom w:w="28" w:type="dxa"/>
          <w:right w:w="28" w:type="dxa"/>
        </w:tblCellMar>
      </w:tblPr>
      <w:tblGrid>
        <w:gridCol w:w="124"/>
        <w:gridCol w:w="1051"/>
        <w:gridCol w:w="230"/>
        <w:gridCol w:w="1216"/>
        <w:gridCol w:w="230"/>
        <w:gridCol w:w="1156"/>
        <w:gridCol w:w="230"/>
        <w:gridCol w:w="84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23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23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23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54"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51" w:type="dxa"/>
            <w:tcBorders>
              <w:left w:val="single" w:sz="8" w:space="0" w:color="000000"/>
              <w:right w:val="single" w:sz="8" w:space="0" w:color="000000"/>
            </w:tcBorders>
            <w:tcMar>
              <w:top w:w="0" w:type="dxa"/>
              <w:bottom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686667"/>
                <w:sz w:val="18"/>
                <w:u w:val="none"/>
                <w:effect w:val="none"/>
              </w:rPr>
            </w:pPr>
            <w:r>
              <w:rPr>
                <w:rFonts w:ascii="Arial;sans-serif" w:hAnsi="Arial;sans-serif"/>
                <w:b w:val="false"/>
                <w:i w:val="false"/>
                <w:caps w:val="false"/>
                <w:smallCaps w:val="false"/>
                <w:strike w:val="false"/>
                <w:dstrike w:val="false"/>
                <w:color w:val="686667"/>
                <w:sz w:val="18"/>
                <w:u w:val="none"/>
                <w:effect w:val="none"/>
              </w:rPr>
              <w:t>Target</w:t>
            </w:r>
          </w:p>
          <w:p>
            <w:pPr>
              <w:pStyle w:val="TableContents"/>
              <w:bidi w:val="0"/>
              <w:spacing w:lineRule="atLeast" w:line="180" w:before="0" w:after="0"/>
              <w:jc w:val="left"/>
              <w:rPr>
                <w:rFonts w:ascii="Arial;sans-serif" w:hAnsi="Arial;sans-serif"/>
                <w:b w:val="false"/>
                <w:i w:val="false"/>
                <w:caps w:val="false"/>
                <w:smallCaps w:val="false"/>
                <w:strike w:val="false"/>
                <w:dstrike w:val="false"/>
                <w:color w:val="686667"/>
                <w:sz w:val="18"/>
                <w:u w:val="none"/>
                <w:effect w:val="none"/>
              </w:rPr>
            </w:pPr>
            <w:r>
              <w:rPr>
                <w:rFonts w:ascii="Arial;sans-serif" w:hAnsi="Arial;sans-serif"/>
                <w:b w:val="false"/>
                <w:i w:val="false"/>
                <w:caps w:val="false"/>
                <w:smallCaps w:val="false"/>
                <w:strike w:val="false"/>
                <w:dstrike w:val="false"/>
                <w:color w:val="686667"/>
                <w:sz w:val="18"/>
                <w:u w:val="none"/>
                <w:effect w:val="none"/>
              </w:rPr>
              <w:t>Annual</w:t>
            </w:r>
          </w:p>
          <w:p>
            <w:pPr>
              <w:pStyle w:val="TableContents"/>
              <w:bidi w:val="0"/>
              <w:spacing w:lineRule="atLeast" w:line="180" w:before="0" w:after="0"/>
              <w:jc w:val="left"/>
              <w:rPr>
                <w:rFonts w:ascii="Arial;sans-serif" w:hAnsi="Arial;sans-serif"/>
                <w:b w:val="false"/>
                <w:i w:val="false"/>
                <w:caps w:val="false"/>
                <w:smallCaps w:val="false"/>
                <w:strike w:val="false"/>
                <w:dstrike w:val="false"/>
                <w:color w:val="686667"/>
                <w:sz w:val="18"/>
                <w:u w:val="none"/>
                <w:effect w:val="none"/>
              </w:rPr>
            </w:pPr>
            <w:r>
              <w:rPr>
                <w:rFonts w:ascii="Arial;sans-serif" w:hAnsi="Arial;sans-serif"/>
                <w:b w:val="false"/>
                <w:i w:val="false"/>
                <w:caps w:val="false"/>
                <w:smallCaps w:val="false"/>
                <w:strike w:val="false"/>
                <w:dstrike w:val="false"/>
                <w:color w:val="686667"/>
                <w:sz w:val="18"/>
                <w:u w:val="none"/>
                <w:effect w:val="none"/>
              </w:rPr>
              <w:t>Incentive</w:t>
            </w:r>
          </w:p>
          <w:p>
            <w:pPr>
              <w:pStyle w:val="TableContents"/>
              <w:bidi w:val="0"/>
              <w:spacing w:lineRule="atLeast" w:line="180" w:before="0" w:after="0"/>
              <w:jc w:val="left"/>
              <w:rPr>
                <w:rFonts w:ascii="Arial;sans-serif" w:hAnsi="Arial;sans-serif"/>
                <w:b w:val="false"/>
                <w:i w:val="false"/>
                <w:caps w:val="false"/>
                <w:smallCaps w:val="false"/>
                <w:strike w:val="false"/>
                <w:dstrike w:val="false"/>
                <w:color w:val="686667"/>
                <w:sz w:val="18"/>
                <w:u w:val="none"/>
                <w:effect w:val="none"/>
              </w:rPr>
            </w:pPr>
            <w:r>
              <w:rPr>
                <w:rFonts w:ascii="Arial;sans-serif" w:hAnsi="Arial;sans-serif"/>
                <w:b w:val="false"/>
                <w:i w:val="false"/>
                <w:caps w:val="false"/>
                <w:smallCaps w:val="false"/>
                <w:strike w:val="false"/>
                <w:dstrike w:val="false"/>
                <w:color w:val="686667"/>
                <w:sz w:val="18"/>
                <w:u w:val="none"/>
                <w:effect w:val="none"/>
              </w:rPr>
              <w:t>Opportunity</w:t>
            </w:r>
          </w:p>
        </w:tc>
        <w:tc>
          <w:tcPr>
            <w:tcW w:w="230" w:type="dxa"/>
            <w:tcBorders>
              <w:left w:val="single" w:sz="8" w:space="0" w:color="000000"/>
              <w:right w:val="single" w:sz="8" w:space="0" w:color="000000"/>
            </w:tcBorders>
            <w:tcMar>
              <w:top w:w="0" w:type="dxa"/>
              <w:bottom w:w="0" w:type="dxa"/>
            </w:tcMar>
            <w:vAlign w:val="center"/>
          </w:tcPr>
          <w:p>
            <w:pPr>
              <w:pStyle w:val="TableContents"/>
              <w:bidi w:val="0"/>
              <w:spacing w:before="0" w:after="0"/>
              <w:jc w:val="left"/>
              <w:rPr/>
            </w:pPr>
            <w:r>
              <w:rPr/>
              <w:drawing>
                <wp:inline distT="0" distB="0" distL="0" distR="0">
                  <wp:extent cx="91440" cy="9144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1440" cy="91440"/>
                          </a:xfrm>
                          <a:prstGeom prst="rect">
                            <a:avLst/>
                          </a:prstGeom>
                        </pic:spPr>
                      </pic:pic>
                    </a:graphicData>
                  </a:graphic>
                </wp:inline>
              </w:drawing>
            </w:r>
            <w:bookmarkStart w:id="57" w:name="i-56"/>
            <w:bookmarkEnd w:id="57"/>
          </w:p>
        </w:tc>
        <w:tc>
          <w:tcPr>
            <w:tcW w:w="1216" w:type="dxa"/>
            <w:tcBorders>
              <w:left w:val="single" w:sz="8" w:space="0" w:color="000000"/>
              <w:right w:val="single" w:sz="8" w:space="0" w:color="000000"/>
            </w:tcBorders>
            <w:tcMar>
              <w:top w:w="0" w:type="dxa"/>
              <w:bottom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686667"/>
                <w:sz w:val="18"/>
                <w:u w:val="none"/>
                <w:effect w:val="none"/>
              </w:rPr>
            </w:pPr>
            <w:r>
              <w:rPr>
                <w:rFonts w:ascii="Arial;sans-serif" w:hAnsi="Arial;sans-serif"/>
                <w:b w:val="false"/>
                <w:i w:val="false"/>
                <w:caps w:val="false"/>
                <w:smallCaps w:val="false"/>
                <w:strike w:val="false"/>
                <w:dstrike w:val="false"/>
                <w:color w:val="686667"/>
                <w:sz w:val="18"/>
                <w:u w:val="none"/>
                <w:effect w:val="none"/>
              </w:rPr>
              <w:t>Company</w:t>
            </w:r>
          </w:p>
          <w:p>
            <w:pPr>
              <w:pStyle w:val="TableContents"/>
              <w:bidi w:val="0"/>
              <w:spacing w:lineRule="atLeast" w:line="180" w:before="0" w:after="0"/>
              <w:jc w:val="left"/>
              <w:rPr>
                <w:rFonts w:ascii="Arial;sans-serif" w:hAnsi="Arial;sans-serif"/>
                <w:b w:val="false"/>
                <w:i w:val="false"/>
                <w:caps w:val="false"/>
                <w:smallCaps w:val="false"/>
                <w:strike w:val="false"/>
                <w:dstrike w:val="false"/>
                <w:color w:val="686667"/>
                <w:sz w:val="18"/>
                <w:u w:val="none"/>
                <w:effect w:val="none"/>
              </w:rPr>
            </w:pPr>
            <w:r>
              <w:rPr>
                <w:rFonts w:ascii="Arial;sans-serif" w:hAnsi="Arial;sans-serif"/>
                <w:b w:val="false"/>
                <w:i w:val="false"/>
                <w:caps w:val="false"/>
                <w:smallCaps w:val="false"/>
                <w:strike w:val="false"/>
                <w:dstrike w:val="false"/>
                <w:color w:val="686667"/>
                <w:sz w:val="18"/>
                <w:u w:val="none"/>
                <w:effect w:val="none"/>
              </w:rPr>
              <w:t>Payout</w:t>
            </w:r>
          </w:p>
          <w:p>
            <w:pPr>
              <w:pStyle w:val="TableContents"/>
              <w:bidi w:val="0"/>
              <w:spacing w:lineRule="atLeast" w:line="180" w:before="0" w:after="0"/>
              <w:jc w:val="left"/>
              <w:rPr>
                <w:rFonts w:ascii="Arial;sans-serif" w:hAnsi="Arial;sans-serif"/>
                <w:b w:val="false"/>
                <w:i w:val="false"/>
                <w:caps w:val="false"/>
                <w:smallCaps w:val="false"/>
                <w:strike w:val="false"/>
                <w:dstrike w:val="false"/>
                <w:color w:val="686667"/>
                <w:sz w:val="18"/>
                <w:u w:val="none"/>
                <w:effect w:val="none"/>
              </w:rPr>
            </w:pPr>
            <w:r>
              <w:rPr>
                <w:rFonts w:ascii="Arial;sans-serif" w:hAnsi="Arial;sans-serif"/>
                <w:b w:val="false"/>
                <w:i w:val="false"/>
                <w:caps w:val="false"/>
                <w:smallCaps w:val="false"/>
                <w:strike w:val="false"/>
                <w:dstrike w:val="false"/>
                <w:color w:val="686667"/>
                <w:sz w:val="18"/>
                <w:u w:val="none"/>
                <w:effect w:val="none"/>
              </w:rPr>
              <w:t>Factor</w:t>
            </w:r>
          </w:p>
          <w:p>
            <w:pPr>
              <w:pStyle w:val="TableContents"/>
              <w:bidi w:val="0"/>
              <w:spacing w:lineRule="atLeast" w:line="180" w:before="0" w:after="0"/>
              <w:jc w:val="left"/>
              <w:rPr>
                <w:rFonts w:ascii="Arial;sans-serif" w:hAnsi="Arial;sans-serif"/>
                <w:b w:val="false"/>
                <w:i w:val="false"/>
                <w:caps w:val="false"/>
                <w:smallCaps w:val="false"/>
                <w:strike w:val="false"/>
                <w:dstrike w:val="false"/>
                <w:color w:val="686667"/>
                <w:sz w:val="18"/>
                <w:u w:val="none"/>
                <w:effect w:val="none"/>
              </w:rPr>
            </w:pPr>
            <w:r>
              <w:rPr>
                <w:rFonts w:ascii="Arial;sans-serif" w:hAnsi="Arial;sans-serif"/>
                <w:b w:val="false"/>
                <w:i w:val="false"/>
                <w:caps w:val="false"/>
                <w:smallCaps w:val="false"/>
                <w:strike w:val="false"/>
                <w:dstrike w:val="false"/>
                <w:color w:val="686667"/>
                <w:sz w:val="18"/>
                <w:u w:val="none"/>
                <w:effect w:val="none"/>
              </w:rPr>
              <w:t>(0% to 150%)</w:t>
            </w:r>
          </w:p>
        </w:tc>
        <w:tc>
          <w:tcPr>
            <w:tcW w:w="230" w:type="dxa"/>
            <w:tcBorders>
              <w:left w:val="single" w:sz="8" w:space="0" w:color="000000"/>
              <w:right w:val="single" w:sz="8" w:space="0" w:color="000000"/>
            </w:tcBorders>
            <w:tcMar>
              <w:top w:w="0" w:type="dxa"/>
              <w:bottom w:w="0" w:type="dxa"/>
            </w:tcMar>
            <w:vAlign w:val="center"/>
          </w:tcPr>
          <w:p>
            <w:pPr>
              <w:pStyle w:val="TableContents"/>
              <w:bidi w:val="0"/>
              <w:spacing w:before="0" w:after="0"/>
              <w:jc w:val="left"/>
              <w:rPr/>
            </w:pPr>
            <w:r>
              <w:rPr/>
              <w:drawing>
                <wp:inline distT="0" distB="0" distL="0" distR="0">
                  <wp:extent cx="91440" cy="9144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1440" cy="91440"/>
                          </a:xfrm>
                          <a:prstGeom prst="rect">
                            <a:avLst/>
                          </a:prstGeom>
                        </pic:spPr>
                      </pic:pic>
                    </a:graphicData>
                  </a:graphic>
                </wp:inline>
              </w:drawing>
            </w:r>
            <w:bookmarkStart w:id="58" w:name="i-57"/>
            <w:bookmarkEnd w:id="58"/>
          </w:p>
        </w:tc>
        <w:tc>
          <w:tcPr>
            <w:tcW w:w="1156" w:type="dxa"/>
            <w:tcBorders>
              <w:left w:val="single" w:sz="8" w:space="0" w:color="000000"/>
              <w:right w:val="single" w:sz="8" w:space="0" w:color="000000"/>
            </w:tcBorders>
            <w:tcMar>
              <w:top w:w="0" w:type="dxa"/>
              <w:bottom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686667"/>
                <w:sz w:val="18"/>
                <w:u w:val="none"/>
                <w:effect w:val="none"/>
              </w:rPr>
            </w:pPr>
            <w:r>
              <w:rPr>
                <w:rFonts w:ascii="Arial;sans-serif" w:hAnsi="Arial;sans-serif"/>
                <w:b w:val="false"/>
                <w:i w:val="false"/>
                <w:caps w:val="false"/>
                <w:smallCaps w:val="false"/>
                <w:strike w:val="false"/>
                <w:dstrike w:val="false"/>
                <w:color w:val="686667"/>
                <w:sz w:val="18"/>
                <w:u w:val="none"/>
                <w:effect w:val="none"/>
              </w:rPr>
              <w:t>Individual</w:t>
            </w:r>
          </w:p>
          <w:p>
            <w:pPr>
              <w:pStyle w:val="TableContents"/>
              <w:bidi w:val="0"/>
              <w:spacing w:lineRule="atLeast" w:line="180" w:before="0" w:after="0"/>
              <w:jc w:val="left"/>
              <w:rPr>
                <w:rFonts w:ascii="Arial;sans-serif" w:hAnsi="Arial;sans-serif"/>
                <w:b w:val="false"/>
                <w:i w:val="false"/>
                <w:caps w:val="false"/>
                <w:smallCaps w:val="false"/>
                <w:strike w:val="false"/>
                <w:dstrike w:val="false"/>
                <w:color w:val="686667"/>
                <w:sz w:val="18"/>
                <w:u w:val="none"/>
                <w:effect w:val="none"/>
              </w:rPr>
            </w:pPr>
            <w:r>
              <w:rPr>
                <w:rFonts w:ascii="Arial;sans-serif" w:hAnsi="Arial;sans-serif"/>
                <w:b w:val="false"/>
                <w:i w:val="false"/>
                <w:caps w:val="false"/>
                <w:smallCaps w:val="false"/>
                <w:strike w:val="false"/>
                <w:dstrike w:val="false"/>
                <w:color w:val="686667"/>
                <w:sz w:val="18"/>
                <w:u w:val="none"/>
                <w:effect w:val="none"/>
              </w:rPr>
              <w:t>Performance</w:t>
            </w:r>
          </w:p>
          <w:p>
            <w:pPr>
              <w:pStyle w:val="TableContents"/>
              <w:bidi w:val="0"/>
              <w:spacing w:lineRule="atLeast" w:line="180" w:before="0" w:after="0"/>
              <w:jc w:val="left"/>
              <w:rPr>
                <w:rFonts w:ascii="Arial;sans-serif" w:hAnsi="Arial;sans-serif"/>
                <w:b w:val="false"/>
                <w:i w:val="false"/>
                <w:caps w:val="false"/>
                <w:smallCaps w:val="false"/>
                <w:strike w:val="false"/>
                <w:dstrike w:val="false"/>
                <w:color w:val="686667"/>
                <w:sz w:val="18"/>
                <w:u w:val="none"/>
                <w:effect w:val="none"/>
              </w:rPr>
            </w:pPr>
            <w:r>
              <w:rPr>
                <w:rFonts w:ascii="Arial;sans-serif" w:hAnsi="Arial;sans-serif"/>
                <w:b w:val="false"/>
                <w:i w:val="false"/>
                <w:caps w:val="false"/>
                <w:smallCaps w:val="false"/>
                <w:strike w:val="false"/>
                <w:dstrike w:val="false"/>
                <w:color w:val="686667"/>
                <w:sz w:val="18"/>
                <w:u w:val="none"/>
                <w:effect w:val="none"/>
              </w:rPr>
              <w:t xml:space="preserve">Modifier </w:t>
            </w:r>
          </w:p>
        </w:tc>
        <w:tc>
          <w:tcPr>
            <w:tcW w:w="230" w:type="dxa"/>
            <w:tcBorders>
              <w:left w:val="single" w:sz="8" w:space="0" w:color="000000"/>
              <w:right w:val="single" w:sz="8" w:space="0" w:color="000000"/>
            </w:tcBorders>
            <w:tcMar>
              <w:top w:w="0" w:type="dxa"/>
              <w:bottom w:w="0" w:type="dxa"/>
            </w:tcMar>
            <w:vAlign w:val="center"/>
          </w:tcPr>
          <w:p>
            <w:pPr>
              <w:pStyle w:val="TableContents"/>
              <w:bidi w:val="0"/>
              <w:spacing w:before="0" w:after="0"/>
              <w:jc w:val="left"/>
              <w:rPr/>
            </w:pPr>
            <w:r>
              <w:rPr/>
              <w:drawing>
                <wp:inline distT="0" distB="0" distL="0" distR="0">
                  <wp:extent cx="91440" cy="6731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1440" cy="67310"/>
                          </a:xfrm>
                          <a:prstGeom prst="rect">
                            <a:avLst/>
                          </a:prstGeom>
                        </pic:spPr>
                      </pic:pic>
                    </a:graphicData>
                  </a:graphic>
                </wp:inline>
              </w:drawing>
            </w:r>
            <w:bookmarkStart w:id="59" w:name="i-58"/>
            <w:bookmarkEnd w:id="59"/>
          </w:p>
        </w:tc>
        <w:tc>
          <w:tcPr>
            <w:tcW w:w="841" w:type="dxa"/>
            <w:tcBorders>
              <w:left w:val="single" w:sz="8" w:space="0" w:color="000000"/>
              <w:right w:val="single" w:sz="8" w:space="0" w:color="000000"/>
            </w:tcBorders>
            <w:tcMar>
              <w:top w:w="0" w:type="dxa"/>
              <w:bottom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686667"/>
                <w:sz w:val="18"/>
                <w:u w:val="none"/>
                <w:effect w:val="none"/>
              </w:rPr>
            </w:pPr>
            <w:r>
              <w:rPr>
                <w:rFonts w:ascii="Arial;sans-serif" w:hAnsi="Arial;sans-serif"/>
                <w:b w:val="false"/>
                <w:i w:val="false"/>
                <w:caps w:val="false"/>
                <w:smallCaps w:val="false"/>
                <w:strike w:val="false"/>
                <w:dstrike w:val="false"/>
                <w:color w:val="686667"/>
                <w:sz w:val="18"/>
                <w:u w:val="none"/>
                <w:effect w:val="none"/>
              </w:rPr>
              <w:t>Actual</w:t>
            </w:r>
          </w:p>
          <w:p>
            <w:pPr>
              <w:pStyle w:val="TableContents"/>
              <w:bidi w:val="0"/>
              <w:spacing w:lineRule="atLeast" w:line="180" w:before="0" w:after="0"/>
              <w:jc w:val="left"/>
              <w:rPr>
                <w:rFonts w:ascii="Arial;sans-serif" w:hAnsi="Arial;sans-serif"/>
                <w:b w:val="false"/>
                <w:i w:val="false"/>
                <w:caps w:val="false"/>
                <w:smallCaps w:val="false"/>
                <w:strike w:val="false"/>
                <w:dstrike w:val="false"/>
                <w:color w:val="686667"/>
                <w:sz w:val="18"/>
                <w:u w:val="none"/>
                <w:effect w:val="none"/>
              </w:rPr>
            </w:pPr>
            <w:r>
              <w:rPr>
                <w:rFonts w:ascii="Arial;sans-serif" w:hAnsi="Arial;sans-serif"/>
                <w:b w:val="false"/>
                <w:i w:val="false"/>
                <w:caps w:val="false"/>
                <w:smallCaps w:val="false"/>
                <w:strike w:val="false"/>
                <w:dstrike w:val="false"/>
                <w:color w:val="686667"/>
                <w:sz w:val="18"/>
                <w:u w:val="none"/>
                <w:effect w:val="none"/>
              </w:rPr>
              <w:t>Annual</w:t>
            </w:r>
          </w:p>
          <w:p>
            <w:pPr>
              <w:pStyle w:val="TableContents"/>
              <w:bidi w:val="0"/>
              <w:spacing w:lineRule="atLeast" w:line="180" w:before="0" w:after="0"/>
              <w:jc w:val="left"/>
              <w:rPr>
                <w:rFonts w:ascii="Arial;sans-serif" w:hAnsi="Arial;sans-serif"/>
                <w:b w:val="false"/>
                <w:i w:val="false"/>
                <w:caps w:val="false"/>
                <w:smallCaps w:val="false"/>
                <w:strike w:val="false"/>
                <w:dstrike w:val="false"/>
                <w:color w:val="686667"/>
                <w:sz w:val="18"/>
                <w:u w:val="none"/>
                <w:effect w:val="none"/>
              </w:rPr>
            </w:pPr>
            <w:r>
              <w:rPr>
                <w:rFonts w:ascii="Arial;sans-serif" w:hAnsi="Arial;sans-serif"/>
                <w:b w:val="false"/>
                <w:i w:val="false"/>
                <w:caps w:val="false"/>
                <w:smallCaps w:val="false"/>
                <w:strike w:val="false"/>
                <w:dstrike w:val="false"/>
                <w:color w:val="686667"/>
                <w:sz w:val="18"/>
                <w:u w:val="none"/>
                <w:effect w:val="none"/>
              </w:rPr>
              <w:t>Incentive</w:t>
            </w:r>
          </w:p>
          <w:p>
            <w:pPr>
              <w:pStyle w:val="TableContents"/>
              <w:bidi w:val="0"/>
              <w:spacing w:lineRule="atLeast" w:line="180" w:before="0" w:after="0"/>
              <w:jc w:val="left"/>
              <w:rPr>
                <w:rFonts w:ascii="Arial;sans-serif" w:hAnsi="Arial;sans-serif"/>
                <w:b w:val="false"/>
                <w:i w:val="false"/>
                <w:caps w:val="false"/>
                <w:smallCaps w:val="false"/>
                <w:strike w:val="false"/>
                <w:dstrike w:val="false"/>
                <w:color w:val="686667"/>
                <w:sz w:val="18"/>
                <w:u w:val="none"/>
                <w:effect w:val="none"/>
              </w:rPr>
            </w:pPr>
            <w:r>
              <w:rPr>
                <w:rFonts w:ascii="Arial;sans-serif" w:hAnsi="Arial;sans-serif"/>
                <w:b w:val="false"/>
                <w:i w:val="false"/>
                <w:caps w:val="false"/>
                <w:smallCaps w:val="false"/>
                <w:strike w:val="false"/>
                <w:dstrike w:val="false"/>
                <w:color w:val="686667"/>
                <w:sz w:val="18"/>
                <w:u w:val="none"/>
                <w:effect w:val="none"/>
              </w:rPr>
              <w:t>Payout</w:t>
            </w:r>
          </w:p>
        </w:tc>
        <w:tc>
          <w:tcPr>
            <w:tcW w:w="154"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23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21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23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1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23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8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154"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pPr>
      <w:r>
        <w:rPr>
          <w:rFonts w:ascii="Arial;sans-serif" w:hAnsi="Arial;sans-serif"/>
          <w:b/>
          <w:i w:val="false"/>
          <w:caps w:val="false"/>
          <w:smallCaps w:val="false"/>
          <w:strike w:val="false"/>
          <w:dstrike w:val="false"/>
          <w:sz w:val="18"/>
          <w:u w:val="none"/>
          <w:effect w:val="none"/>
        </w:rPr>
        <w:t xml:space="preserve">Target Annual Incentive Opportunity. </w:t>
      </w:r>
      <w:r>
        <w:rPr>
          <w:rFonts w:ascii="Arial;sans-serif" w:hAnsi="Arial;sans-serif"/>
          <w:b w:val="false"/>
          <w:i w:val="false"/>
          <w:caps w:val="false"/>
          <w:smallCaps w:val="false"/>
          <w:strike w:val="false"/>
          <w:dstrike w:val="false"/>
          <w:sz w:val="18"/>
          <w:u w:val="none"/>
          <w:effect w:val="none"/>
        </w:rPr>
        <w:t xml:space="preserve">The target annual incentive opportunity is a specified percentage of base salary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effect at the end of the year for each of our executives (including our NEOs) (the “Target Annual Incentive Opportunity”).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and Human Capital Committee reviewed Target Annual Incentive Opportunities for our NEOs under the 2025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AIP, taking into consideration a competitive market analysis performed by its compensation consultant, Pay Governance.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Compared to the prior year, the Compensation and Human Capital Committee increased the Target Annual Incentive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Opportunity, as a percentage of base salary,  for Mr. Dhingra from 50% to 75% in connection with his promotion to Senior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Vice President, Finance and Accounting. Under the terms of Mr. Boussaid’s offer of employment, his Target Annual Incentive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Opportunity for fiscal year 2025 was 90% of base salary, and he was guaranteed to receive a 2025 AIP payout at the greater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his Target Annual Incentive Opportunity or the calculated actual 2025 AIP payout based on the Company Payout Factor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his applicable individual performance modifier.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Our NEOs’ Target Annual Incentive Opportunities for 2025 are set forth in the table below:</w:t>
      </w:r>
    </w:p>
    <w:tbl>
      <w:tblPr>
        <w:tblW w:w="4414" w:type="dxa"/>
        <w:jc w:val="left"/>
        <w:tblInd w:w="0" w:type="dxa"/>
        <w:tblLayout w:type="fixed"/>
        <w:tblCellMar>
          <w:top w:w="28" w:type="dxa"/>
          <w:left w:w="28" w:type="dxa"/>
          <w:bottom w:w="28" w:type="dxa"/>
          <w:right w:w="28" w:type="dxa"/>
        </w:tblCellMar>
      </w:tblPr>
      <w:tblGrid>
        <w:gridCol w:w="124"/>
        <w:gridCol w:w="1756"/>
        <w:gridCol w:w="109"/>
        <w:gridCol w:w="1261"/>
        <w:gridCol w:w="109"/>
        <w:gridCol w:w="90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6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01"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271" w:type="dxa"/>
            <w:gridSpan w:val="3"/>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Target Annual Incentive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Opportunity </w:t>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Named Executive Officer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6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of Base Salary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0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Amount </w:t>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6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01"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Marc Winterhoff </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90%</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786,600</w:t>
            </w:r>
            <w:r>
              <w:rPr>
                <w:rFonts w:ascii="Arial;sans-serif" w:hAnsi="Arial;sans-serif"/>
                <w:b w:val="false"/>
                <w:i w:val="false"/>
                <w:caps w:val="false"/>
                <w:smallCaps w:val="false"/>
                <w:strike w:val="false"/>
                <w:dstrike w:val="false"/>
                <w:sz w:val="10"/>
                <w:u w:val="none"/>
                <w:effect w:val="none"/>
              </w:rPr>
              <w:t>(3)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Taoufiq Boussaid</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90%</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$517,500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Gagan Dhingra </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75%</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$333,000</w:t>
            </w:r>
            <w:r>
              <w:rPr>
                <w:rFonts w:ascii="Arial;sans-serif" w:hAnsi="Arial;sans-serif"/>
                <w:b w:val="false"/>
                <w:i w:val="false"/>
                <w:caps w:val="false"/>
                <w:smallCaps w:val="false"/>
                <w:strike w:val="false"/>
                <w:dstrike w:val="false"/>
                <w:sz w:val="10"/>
                <w:u w:val="none"/>
                <w:effect w:val="none"/>
              </w:rPr>
              <w:t>(4)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Eric Bach</w:t>
            </w:r>
            <w:r>
              <w:rPr>
                <w:rFonts w:ascii="Arial;sans-serif" w:hAnsi="Arial;sans-serif"/>
                <w:b w:val="false"/>
                <w:i w:val="false"/>
                <w:caps w:val="false"/>
                <w:smallCaps w:val="false"/>
                <w:strike w:val="false"/>
                <w:dstrike w:val="false"/>
                <w:sz w:val="10"/>
                <w:u w:val="none"/>
                <w:effect w:val="none"/>
              </w:rPr>
              <w:t>(1)</w:t>
            </w:r>
            <w:r>
              <w:rPr>
                <w:caps w:val="false"/>
                <w:smallCaps w:val="false"/>
                <w:strike w:val="false"/>
                <w:dstrike w:val="false"/>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75%</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$469,500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Peter Rawlinson</w:t>
            </w:r>
            <w:r>
              <w:rPr>
                <w:rFonts w:ascii="Arial;sans-serif" w:hAnsi="Arial;sans-serif"/>
                <w:b w:val="false"/>
                <w:i w:val="false"/>
                <w:caps w:val="false"/>
                <w:smallCaps w:val="false"/>
                <w:strike w:val="false"/>
                <w:dstrike w:val="false"/>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Due to Mr. Bach</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2"/>
          <w:u w:val="none"/>
          <w:effect w:val="none"/>
        </w:rPr>
        <w:t>s departure on November 5, 2025, he is not eligible for the payout of 2025 AIP.</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trike w:val="false"/>
          <w:dstrike w:val="false"/>
          <w:sz w:val="12"/>
          <w:u w:val="none"/>
          <w:effect w:val="none"/>
        </w:rPr>
        <w:t>Due to Mr. Rawlinson</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2"/>
          <w:u w:val="none"/>
          <w:effect w:val="none"/>
        </w:rPr>
        <w:t>s transition to Strategic Technical Advisor to the Chairman of the Board, he was not eligible for annual incentive opportunity for 2025.</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(3)</w:t>
      </w:r>
      <w:r>
        <w:rPr>
          <w:rFonts w:ascii="Arial;sans-serif" w:hAnsi="Arial;sans-serif"/>
          <w:b w:val="false"/>
          <w:i w:val="false"/>
          <w:caps w:val="false"/>
          <w:smallCaps w:val="false"/>
          <w:strike w:val="false"/>
          <w:dstrike w:val="false"/>
          <w:sz w:val="12"/>
          <w:u w:val="none"/>
          <w:effect w:val="none"/>
        </w:rPr>
        <w:t>Amount includes Mr. Winterhoff</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2"/>
          <w:u w:val="none"/>
          <w:effect w:val="none"/>
        </w:rPr>
        <w:t xml:space="preserve">s stipend of $20,000 per month for any month or partial month he serves as interim CEO. </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(4)</w:t>
      </w:r>
      <w:r>
        <w:rPr>
          <w:rFonts w:ascii="Arial;sans-serif" w:hAnsi="Arial;sans-serif"/>
          <w:b w:val="false"/>
          <w:i w:val="false"/>
          <w:caps w:val="false"/>
          <w:smallCaps w:val="false"/>
          <w:strike w:val="false"/>
          <w:dstrike w:val="false"/>
          <w:sz w:val="12"/>
          <w:u w:val="none"/>
          <w:effect w:val="none"/>
        </w:rPr>
        <w:t>Prorated for Mr. Dhingra</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2"/>
          <w:u w:val="none"/>
          <w:effect w:val="none"/>
        </w:rPr>
        <w:t>s tenure as Vice President and Senior Vice President in 2025.</w:t>
      </w:r>
    </w:p>
    <w:p>
      <w:pPr>
        <w:pStyle w:val="TextBody"/>
        <w:bidi w:val="0"/>
        <w:spacing w:lineRule="atLeast" w:line="180" w:before="0" w:after="0"/>
        <w:jc w:val="left"/>
        <w:rPr/>
      </w:pPr>
      <w:r>
        <w:rPr>
          <w:rFonts w:ascii="Arial;sans-serif" w:hAnsi="Arial;sans-serif"/>
          <w:b/>
          <w:i w:val="false"/>
          <w:caps w:val="false"/>
          <w:smallCaps w:val="false"/>
          <w:strike w:val="false"/>
          <w:dstrike w:val="false"/>
          <w:sz w:val="18"/>
          <w:u w:val="none"/>
          <w:effect w:val="none"/>
        </w:rPr>
        <w:t>Company Performance Metrics.</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For 2025, the Board, upon recommendation of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selected deliveries, gross margin, and free cash flow for fiscal year 2025, and the production validation release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of the Lucid Mid</w:t>
        <w:noBreakHyphen/>
        <w:t xml:space="preserve">size by September 30, 2025 (the "Lucid Mid-size Milestone"), as corporate performance metrics (each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metric and together, the “Company Performance Metrics”). The Company Performance Metrics and their respective targets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reflect a balanced approach, focusing on key performance metrics that align with our annual growth objectives as well as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long-term business plan. At the time the Company Performance Metrics were established for 2025, the Board and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and Human Capital Committee believed that attaining such goals would require a high level of effort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skilled execution on the part of our executives, including our NEOs, to achieve strong sales and operational success.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example, the 2025 delivery target would require a significant increase over the number of vehicles delivered in the prior year,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demanding strong execution from the executive team. The introduction of the Lucid Mid-size Milestone as a performance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metric also helped ensure alignment between executive compensation and the achievement of a critical strategic milestone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a challenging timeline. Additionally, the Free Cash Flow and Gross Margin metrics reflect the increased production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levels necessary to meet the delivery target, while also accounting for the associated costs of achieving the Lucid Mid-size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Milestone.</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50</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tbl>
      <w:tblPr>
        <w:tblW w:w="9660" w:type="dxa"/>
        <w:jc w:val="left"/>
        <w:tblInd w:w="0" w:type="dxa"/>
        <w:tblLayout w:type="fixed"/>
        <w:tblCellMar>
          <w:top w:w="28" w:type="dxa"/>
          <w:left w:w="28" w:type="dxa"/>
          <w:bottom w:w="28" w:type="dxa"/>
          <w:right w:w="28" w:type="dxa"/>
        </w:tblCellMar>
      </w:tblPr>
      <w:tblGrid>
        <w:gridCol w:w="124"/>
        <w:gridCol w:w="2086"/>
        <w:gridCol w:w="109"/>
        <w:gridCol w:w="586"/>
        <w:gridCol w:w="109"/>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0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5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646"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08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Company Performance Metrics</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58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Weight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64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Metric Description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0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5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646"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Deliveries </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w:t>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The number of Lucid vehicles transferred to customers for the full fiscal year ended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December 31, 2025.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Free Cash Flow</w:t>
            </w:r>
            <w:r>
              <w:rPr>
                <w:rFonts w:ascii="Arial;sans-serif" w:hAnsi="Arial;sans-serif"/>
                <w:b w:val="false"/>
                <w:i w:val="false"/>
                <w:caps w:val="false"/>
                <w:smallCaps w:val="false"/>
                <w:strike w:val="false"/>
                <w:dstrike w:val="false"/>
                <w:sz w:val="10"/>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w:t>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The Company’s net cash from operations less capital expenditures, subject to any cash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balance adjustments not connected to operations.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Gross Margin </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w:t>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The Company’s sales minus its cost of goods sold, expressed as a percentage of sales.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Lucid Mid-size Milestone</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w:t>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Complete the Lucid Mid-size production validation release by end of September 30, 2025,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including full initial production Bill-of-Materials design release.</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 xml:space="preserve">Free Cash Flow is not a financial measure prepared in accordance with generally accepted accounting principles (“GAAP”). For information on how we compute these non-GAAP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financial measures and a reconciliation to the most directly comparable financial measures prepared in accordance with GAAP, please refer to “Annex B: Reconciliation of Non-GAAP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Financial Measures” in this Proxy Statement.</w:t>
      </w:r>
    </w:p>
    <w:p>
      <w:pPr>
        <w:pStyle w:val="TextBody"/>
        <w:bidi w:val="0"/>
        <w:spacing w:lineRule="atLeast" w:line="180" w:before="0" w:after="0"/>
        <w:jc w:val="left"/>
        <w:rPr/>
      </w:pPr>
      <w:r>
        <w:rPr>
          <w:rFonts w:ascii="Arial;sans-serif" w:hAnsi="Arial;sans-serif"/>
          <w:b/>
          <w:i w:val="false"/>
          <w:caps w:val="false"/>
          <w:smallCaps w:val="false"/>
          <w:strike w:val="false"/>
          <w:dstrike w:val="false"/>
          <w:sz w:val="18"/>
          <w:u w:val="none"/>
          <w:effect w:val="none"/>
        </w:rPr>
        <w:t>2025 Individual Performance Modifier.</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The Compensation and Human Capital Committee reviewed and evaluated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individual performance of our NEOs (other than Mr. Rawlinson, who transitioned in February 2025, and Mr. Bach, who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departed in November 2025) against the Company’s objectives and key results as well as key accomplishments for 2025,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based on the recommendation from our Interim CEO, Mr. Winterhoff (other than for his own performance). While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and Human Capital Committee considered Mr. Winterhoff’s recommendations, the Compensation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Human Capital Committee ultimately was responsible for determining the final individual performance ratings and individual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performance modifiers. In the case of Mr. Winterhoff’s performance, the Compensation and Human Capital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reviewed and recommended to the Board, and the Board ultimately approved his performance rating and individual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performance modifier.</w:t>
      </w:r>
    </w:p>
    <w:p>
      <w:pPr>
        <w:pStyle w:val="TextBody"/>
        <w:bidi w:val="0"/>
        <w:spacing w:lineRule="atLeast" w:line="180" w:before="0" w:after="0"/>
        <w:jc w:val="left"/>
        <w:rPr/>
      </w:pPr>
      <w:r>
        <w:rPr>
          <w:rFonts w:ascii="Arial;sans-serif" w:hAnsi="Arial;sans-serif"/>
          <w:b/>
          <w:i w:val="false"/>
          <w:caps w:val="false"/>
          <w:smallCaps w:val="false"/>
          <w:strike w:val="false"/>
          <w:dstrike w:val="false"/>
          <w:sz w:val="18"/>
          <w:u w:val="none"/>
          <w:effect w:val="none"/>
        </w:rPr>
        <w:t>2025 AIP Actual Performance and Payouts.</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In February 2026, the Compensation and Human Capital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evaluated the Company’s performance against the Company Performance Metrics, as well as the individual contributions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each NEO (other than Mr. Rawlinson and Mr. Bach) toward the achievement of those metrics. For fiscal year 2025,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 achieved and exceeded target performance in Free Cash Flow, reporting $(4,400) million (target: $(4,730) million).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It achieved threshold performance for Deliveries with 15,841 deliveries (target: 20,000). While the target for the Lucid Mid-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size Milestone was September 30, 2025, the production validation release was planned for January 15, 2026, and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milestone was met as planned on that date. Therefore, the Compensation and Human Capital Committee approved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Lucid Mid-size Milestone at 85% achievement. The Company failed to achieve the threshold performance for Gross Margin,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recording (92.8)% (target: (55.0)%). Taken together, the Company’s performance against the Company Performance Metrics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resulted in a Company Payout Factor of 68.7%. Accordingly, the Target Annual Incentive Opportunity, the Company Payout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Factor, and any individual performance modifier produced the following 2025 AIP payouts for our NEOs: $675,000 for Mr.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Winterhoff and $286,000 for Mr. Dhingra. Under the terms of Mr. Boussaid’s offer of employment, for fiscal year 2025 Mr.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Boussaid received $518,000, which is 90% of his base salary rounded up to the nearest thousand, as this amount exceeded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actual calculated 2025 AIP payout based on the Company Payout Factor and his applicable individual performance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modifier. Due to their transition or separation, Messrs. Rawlinson and Bach were not eligible for an annual cash incentive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award in 2025.</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Long-Term Incentive Compensation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believe that providing long-term incentive compensation in the form of equity-based awards is a critical element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executive compensation program as it encourages our NEOs to take a long-term outlook and reinforces our pay-for-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performance culture. By providing opportunities for our employees (including our NEOs) to benefit from future successes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Lucid through the appreciation of the value of their equity awards, the Compensation and Human Capital Committee and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Board believe that equity awards align employees’ and our NEOs’ interests and contributions with our critical business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objectives as well as the long-term interests of Lucid’s stockholders. Offering meaningful equity ownership in Lucid is also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helpful in retaining our NEOs and other key employees.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Based on peer group data and the feedback received from stockholder engagement,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determined that a combination of PSUs and RSUs would be the most appropriate incentive structure for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executive leaders to reward performance over time and achieve our retention objectives. In determining such combination,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considered market trends, retention needs, and internal equity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51</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considerations, and concluded such combination would provide a substantial retention incentive, further align our long-term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incentive program with market trends, and align the interests of our NEOs with those of our stockholders by encouraging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them to focus on the Company’s long-term performance and success. For additional detail about our NEO equity award mix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 2025, please see above under the heading “2025 Pay Actions Related to Target Compensation —  Long-Term Equity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Incentives and 2025 Equity Award Mix.”</w:t>
      </w:r>
    </w:p>
    <w:p>
      <w:pPr>
        <w:pStyle w:val="TextBody"/>
        <w:bidi w:val="0"/>
        <w:spacing w:lineRule="atLeast" w:line="180" w:before="0" w:after="0"/>
        <w:jc w:val="left"/>
        <w:rPr/>
      </w:pPr>
      <w:r>
        <w:rPr>
          <w:rFonts w:ascii="Arial;sans-serif" w:hAnsi="Arial;sans-serif"/>
          <w:b/>
          <w:i w:val="false"/>
          <w:caps w:val="false"/>
          <w:smallCaps w:val="false"/>
          <w:strike w:val="false"/>
          <w:dstrike w:val="false"/>
          <w:sz w:val="18"/>
          <w:u w:val="none"/>
          <w:effect w:val="none"/>
        </w:rPr>
        <w:t>2025 Equity Grants.</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In 2025, our executive officers received equity awards. In addition to further incentivizing their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continued employment with the Company and aligning their interests with our critical business objectives and those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stockholders, awards were informed by competitive benchmark information from the peer group, individual performance,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internal equity considerations. Upon his appointment as Interim CEO, Mr. Winterhoff was granted RSUs with a target value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$4,000,000 based on the Committee’s assessment of external interim CEO pay packages and peer group CEO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levels. Under the terms of Mr. Boussaid’s offer of employment, he was granted RSUs with a target value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$4,000,000 and PSUs with a target value of $6,000,000 at the time of grant. Additionally, upon his promotion to Senior Vice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President, Finance and Accounting, Mr. Dhingra was granted RSUs with a target value of $400,000 and PSUs with a target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value of $600,000 at the time of grant. Due to Mr. Rawlinson’s transition, he was not eligible for an annual equity award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2025, aside from the Supplemental Rawlinson RSU Award. The size and terms of each of the grants to Messrs. Winterhoff,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Boussaid, and Dhingra in connection with their new appointments and of Mr. Rawlinson’s Supplemental Rawlinson RSU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Award were determined in consultation with Pay Governance.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total value (at target) of equity awards granted to each of our NEOs in 2025 is set forth in the table below:</w:t>
      </w:r>
    </w:p>
    <w:tbl>
      <w:tblPr>
        <w:tblW w:w="7975" w:type="dxa"/>
        <w:jc w:val="left"/>
        <w:tblInd w:w="0" w:type="dxa"/>
        <w:tblLayout w:type="fixed"/>
        <w:tblCellMar>
          <w:top w:w="28" w:type="dxa"/>
          <w:left w:w="28" w:type="dxa"/>
          <w:bottom w:w="28" w:type="dxa"/>
          <w:right w:w="28" w:type="dxa"/>
        </w:tblCellMar>
      </w:tblPr>
      <w:tblGrid>
        <w:gridCol w:w="124"/>
        <w:gridCol w:w="1756"/>
        <w:gridCol w:w="109"/>
        <w:gridCol w:w="2776"/>
        <w:gridCol w:w="109"/>
        <w:gridCol w:w="1006"/>
        <w:gridCol w:w="109"/>
        <w:gridCol w:w="916"/>
        <w:gridCol w:w="109"/>
        <w:gridCol w:w="961"/>
      </w:tblGrid>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77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6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Named Executive Officer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77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Type of Award</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Total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Grant Value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RSUs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6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PSUs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(at target)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77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6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vMerge w:val="restart"/>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Marc Winterhoff</w:t>
            </w:r>
            <w:r>
              <w:rPr>
                <w:rFonts w:ascii="Arial;sans-serif" w:hAnsi="Arial;sans-serif"/>
                <w:b w:val="false"/>
                <w:i w:val="false"/>
                <w:caps w:val="false"/>
                <w:smallCaps w:val="false"/>
                <w:strike w:val="false"/>
                <w:dstrike w:val="false"/>
                <w:sz w:val="10"/>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Annual Award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$5,000,000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$2,000,000</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$3,000,000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Interim CEO Award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$4,000,000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$4,000,000</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Taoufiq Boussaid</w:t>
            </w:r>
            <w:r>
              <w:rPr>
                <w:rFonts w:ascii="Arial;sans-serif" w:hAnsi="Arial;sans-serif"/>
                <w:b w:val="false"/>
                <w:i w:val="false"/>
                <w:caps w:val="false"/>
                <w:smallCaps w:val="false"/>
                <w:strike w:val="false"/>
                <w:dstrike w:val="false"/>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New Hire Award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$10,000,000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$4,000,000</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$6,000,000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vMerge w:val="restart"/>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Gagan Dhingra</w:t>
            </w:r>
            <w:r>
              <w:rPr>
                <w:rFonts w:ascii="Arial;sans-serif" w:hAnsi="Arial;sans-serif"/>
                <w:b w:val="false"/>
                <w:i w:val="false"/>
                <w:caps w:val="false"/>
                <w:smallCaps w:val="false"/>
                <w:strike w:val="false"/>
                <w:dstrike w:val="false"/>
                <w:sz w:val="10"/>
                <w:u w:val="none"/>
                <w:effect w:val="none"/>
              </w:rPr>
              <w:t>(3)</w:t>
            </w:r>
            <w:r>
              <w:rPr>
                <w:caps w:val="false"/>
                <w:smallCaps w:val="false"/>
                <w:strike w:val="false"/>
                <w:dstrike w:val="false"/>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Annual Award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$4,000,000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$1,600,000</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$2,400,000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SVP Promotion Award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$1,000,000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$400,000</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$600,000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Eric Bach</w:t>
            </w:r>
            <w:r>
              <w:rPr>
                <w:rFonts w:ascii="Arial;sans-serif" w:hAnsi="Arial;sans-serif"/>
                <w:b w:val="false"/>
                <w:i w:val="false"/>
                <w:caps w:val="false"/>
                <w:smallCaps w:val="false"/>
                <w:strike w:val="false"/>
                <w:dstrike w:val="false"/>
                <w:sz w:val="10"/>
                <w:u w:val="none"/>
                <w:effect w:val="none"/>
              </w:rPr>
              <w:t>(4)</w:t>
            </w:r>
            <w:r>
              <w:rPr>
                <w:caps w:val="false"/>
                <w:smallCaps w:val="false"/>
                <w:strike w:val="false"/>
                <w:dstrike w:val="false"/>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Annual Award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$4,500,000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$1,800,000</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$2,700,000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Peter Rawlinson</w:t>
            </w:r>
            <w:r>
              <w:rPr>
                <w:rFonts w:ascii="Arial;sans-serif" w:hAnsi="Arial;sans-serif"/>
                <w:b w:val="false"/>
                <w:i w:val="false"/>
                <w:caps w:val="false"/>
                <w:smallCaps w:val="false"/>
                <w:strike w:val="false"/>
                <w:dstrike w:val="false"/>
                <w:sz w:val="10"/>
                <w:u w:val="none"/>
                <w:effect w:val="none"/>
              </w:rPr>
              <w:t>(5)</w:t>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Supplemental Rawlinson RSU Award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$2,000,000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$2,000,000</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Awarded $4,000,000 in RSUs in connection with his appointment as Interim Chief Executive Officer.</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trike w:val="false"/>
          <w:dstrike w:val="false"/>
          <w:sz w:val="12"/>
          <w:u w:val="none"/>
          <w:effect w:val="none"/>
        </w:rPr>
        <w:t>Awarded in connection with the commencement of Mr. Boussaid’s employment with the Company.</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(3)</w:t>
      </w:r>
      <w:r>
        <w:rPr>
          <w:rFonts w:ascii="Arial;sans-serif" w:hAnsi="Arial;sans-serif"/>
          <w:b w:val="false"/>
          <w:i w:val="false"/>
          <w:caps w:val="false"/>
          <w:smallCaps w:val="false"/>
          <w:strike w:val="false"/>
          <w:dstrike w:val="false"/>
          <w:sz w:val="12"/>
          <w:u w:val="none"/>
          <w:effect w:val="none"/>
        </w:rPr>
        <w:t>Awarded $400,000 in RSUs and $600,000 in PSUs in connection with his promotion to Senior Vice President, Finance and Accounting.</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(4)</w:t>
      </w:r>
      <w:r>
        <w:rPr>
          <w:rFonts w:ascii="Arial;sans-serif" w:hAnsi="Arial;sans-serif"/>
          <w:b w:val="false"/>
          <w:i w:val="false"/>
          <w:caps w:val="false"/>
          <w:smallCaps w:val="false"/>
          <w:strike w:val="false"/>
          <w:dstrike w:val="false"/>
          <w:sz w:val="12"/>
          <w:u w:val="none"/>
          <w:effect w:val="none"/>
        </w:rPr>
        <w:t>Forfeited in connection with Mr. Bach’s separation in November 2025.</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(5)</w:t>
      </w:r>
      <w:r>
        <w:rPr>
          <w:rFonts w:ascii="Arial;sans-serif" w:hAnsi="Arial;sans-serif"/>
          <w:b w:val="false"/>
          <w:i w:val="false"/>
          <w:caps w:val="false"/>
          <w:smallCaps w:val="false"/>
          <w:strike w:val="false"/>
          <w:dstrike w:val="false"/>
          <w:sz w:val="12"/>
          <w:u w:val="none"/>
          <w:effect w:val="none"/>
        </w:rPr>
        <w:t>Represents the Supplemental Rawlinson RSU Award.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total grant value of each RSU and PSU award is converted into a number of shares of our Common Stock,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discussed below.</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RSUs</w:t>
      </w:r>
    </w:p>
    <w:p>
      <w:pPr>
        <w:pStyle w:val="TextBody"/>
        <w:bidi w:val="0"/>
        <w:spacing w:lineRule="atLeast" w:line="180" w:before="0" w:after="0"/>
        <w:jc w:val="left"/>
        <w:rPr/>
      </w:pPr>
      <w:r>
        <w:rPr>
          <w:rFonts w:ascii="Arial;sans-serif" w:hAnsi="Arial;sans-serif"/>
          <w:b/>
          <w:i w:val="false"/>
          <w:caps w:val="false"/>
          <w:smallCaps w:val="false"/>
          <w:strike w:val="false"/>
          <w:dstrike w:val="false"/>
          <w:sz w:val="18"/>
          <w:u w:val="none"/>
          <w:effect w:val="none"/>
        </w:rPr>
        <w:t>Number of RSUs Granted.</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The total number of shares of our Common Stock subject to each RSU award granted to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employees (including our NEOs) is typically determined by dividing the total dollar value of the award by the volume-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weighted average price of the Company’s Common Stock during the 30 consecutive trading day period ending on the grant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date (the “30-day VWAP”). Such average is determined based upon the closing price for each such trading day and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number of shares traded on such day. For fiscal year 2025 annual RSU awards, the calculation from dollar value to units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was based on a fixed stock price of $30.00 per share (the "Conversion Price"), which was higher than the 30-day VWAP,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purposes of controlling burn rate and dilution, with awards rounded down to the nearest whole share, consistent with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approach the Compensation and Human Capital Committee approved for other executive and non</w:t>
        <w:noBreakHyphen/>
        <w:t>executive long</w:t>
        <w:noBreakHyphen/>
        <w:t xml:space="preserve">term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incentive awards. The  RSUs granted to Messrs. Winterhoff, Boussaid, and Dhingra in connection with their new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52</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appointments or promotions, and to Mr. Rawlinson for the Supplemental Rawlinson RSU Award, were calculated using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30-day VWAP.</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Our NEOs’ RSU awards in 2025 are set forth in the table below:</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2025 RSU Awards to NEOs</w:t>
      </w:r>
    </w:p>
    <w:tbl>
      <w:tblPr>
        <w:tblW w:w="4850" w:type="dxa"/>
        <w:jc w:val="left"/>
        <w:tblInd w:w="0" w:type="dxa"/>
        <w:tblLayout w:type="fixed"/>
        <w:tblCellMar>
          <w:top w:w="28" w:type="dxa"/>
          <w:left w:w="28" w:type="dxa"/>
          <w:bottom w:w="28" w:type="dxa"/>
          <w:right w:w="28" w:type="dxa"/>
        </w:tblCellMar>
      </w:tblPr>
      <w:tblGrid>
        <w:gridCol w:w="124"/>
        <w:gridCol w:w="1756"/>
        <w:gridCol w:w="109"/>
        <w:gridCol w:w="916"/>
        <w:gridCol w:w="109"/>
        <w:gridCol w:w="871"/>
        <w:gridCol w:w="109"/>
        <w:gridCol w:w="856"/>
      </w:tblGrid>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7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56"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Named Executive Officer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RSUs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(Value)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7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Conversion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Price</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5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Number of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RSUs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7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56"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vMerge w:val="restart"/>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Marc Winterhoff</w:t>
            </w:r>
            <w:r>
              <w:rPr>
                <w:rFonts w:ascii="Arial;sans-serif" w:hAnsi="Arial;sans-serif"/>
                <w:b w:val="false"/>
                <w:i w:val="false"/>
                <w:caps w:val="false"/>
                <w:smallCaps w:val="false"/>
                <w:strike w:val="false"/>
                <w:dstrike w:val="false"/>
                <w:sz w:val="10"/>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$2,000,000</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$30.0000</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66,667</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$4,000,000</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$29.7280</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134,554</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Taoufiq Boussaid</w:t>
            </w:r>
            <w:r>
              <w:rPr>
                <w:rFonts w:ascii="Arial;sans-serif" w:hAnsi="Arial;sans-serif"/>
                <w:b w:val="false"/>
                <w:i w:val="false"/>
                <w:caps w:val="false"/>
                <w:smallCaps w:val="false"/>
                <w:strike w:val="false"/>
                <w:dstrike w:val="false"/>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$4,000,000</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$29.9350</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133,623</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vMerge w:val="restart"/>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Gagan Dhingra</w:t>
            </w:r>
            <w:r>
              <w:rPr>
                <w:rFonts w:ascii="Arial;sans-serif" w:hAnsi="Arial;sans-serif"/>
                <w:b w:val="false"/>
                <w:i w:val="false"/>
                <w:caps w:val="false"/>
                <w:smallCaps w:val="false"/>
                <w:strike w:val="false"/>
                <w:dstrike w:val="false"/>
                <w:sz w:val="10"/>
                <w:u w:val="none"/>
                <w:effect w:val="none"/>
              </w:rPr>
              <w:t>(3)</w:t>
            </w:r>
            <w:r>
              <w:rPr>
                <w:caps w:val="false"/>
                <w:smallCaps w:val="false"/>
                <w:strike w:val="false"/>
                <w:dstrike w:val="false"/>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$1,600,000</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$30.0000</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53,334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$400,000</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$29.4840</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13,567</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Eric Bach</w:t>
            </w:r>
            <w:r>
              <w:rPr>
                <w:rFonts w:ascii="Arial;sans-serif" w:hAnsi="Arial;sans-serif"/>
                <w:b w:val="false"/>
                <w:i w:val="false"/>
                <w:caps w:val="false"/>
                <w:smallCaps w:val="false"/>
                <w:strike w:val="false"/>
                <w:dstrike w:val="false"/>
                <w:sz w:val="10"/>
                <w:u w:val="none"/>
                <w:effect w:val="none"/>
              </w:rPr>
              <w:t>(4)</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$1,800,000</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$30.0000</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60,000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Peter Rawlinson</w:t>
            </w:r>
            <w:r>
              <w:rPr>
                <w:rFonts w:ascii="Arial;sans-serif" w:hAnsi="Arial;sans-serif"/>
                <w:b w:val="false"/>
                <w:i w:val="false"/>
                <w:caps w:val="false"/>
                <w:smallCaps w:val="false"/>
                <w:strike w:val="false"/>
                <w:dstrike w:val="false"/>
                <w:sz w:val="10"/>
                <w:u w:val="none"/>
                <w:effect w:val="none"/>
              </w:rPr>
              <w:t>(5)</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$2,000,000</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$29.7280</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67,277</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Awarded $4,000,000 in RSUs in connection with his appointment as Interim Chief Executive Officer. The target number of RSUs subject to this award was determined based on the 30-</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day VWAP, rounded down to the nearest whole share.</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trike w:val="false"/>
          <w:dstrike w:val="false"/>
          <w:sz w:val="12"/>
          <w:u w:val="none"/>
          <w:effect w:val="none"/>
        </w:rPr>
        <w:t>Awarded in connection with the commencement of Mr. Boussaid’s employment with the Company. The target number of RSUs subject to this award was determined based on the 30-</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day VWAP, rounded down to the nearest whole share.</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(3)</w:t>
      </w:r>
      <w:r>
        <w:rPr>
          <w:rFonts w:ascii="Arial;sans-serif" w:hAnsi="Arial;sans-serif"/>
          <w:b w:val="false"/>
          <w:i w:val="false"/>
          <w:caps w:val="false"/>
          <w:smallCaps w:val="false"/>
          <w:strike w:val="false"/>
          <w:dstrike w:val="false"/>
          <w:sz w:val="12"/>
          <w:u w:val="none"/>
          <w:effect w:val="none"/>
        </w:rPr>
        <w:t xml:space="preserve">Awarded $400,000 in RSUs in connection with his promotion to Senior Vice President, Finance and Accounting. The target number of RSUs subject to this award was determined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based on the 30-day VWAP, rounded down to the nearest whole share.</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(4)</w:t>
      </w:r>
      <w:r>
        <w:rPr>
          <w:rFonts w:ascii="Arial;sans-serif" w:hAnsi="Arial;sans-serif"/>
          <w:b w:val="false"/>
          <w:i w:val="false"/>
          <w:caps w:val="false"/>
          <w:smallCaps w:val="false"/>
          <w:strike w:val="false"/>
          <w:dstrike w:val="false"/>
          <w:sz w:val="12"/>
          <w:u w:val="none"/>
          <w:effect w:val="none"/>
        </w:rPr>
        <w:t>Forfeited in connection with Mr. Bach’s separation in November 2025.</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(5)</w:t>
      </w:r>
      <w:r>
        <w:rPr>
          <w:rFonts w:ascii="Arial;sans-serif" w:hAnsi="Arial;sans-serif"/>
          <w:b w:val="false"/>
          <w:i w:val="false"/>
          <w:caps w:val="false"/>
          <w:smallCaps w:val="false"/>
          <w:strike w:val="false"/>
          <w:dstrike w:val="false"/>
          <w:sz w:val="12"/>
          <w:u w:val="none"/>
          <w:effect w:val="none"/>
        </w:rPr>
        <w:t xml:space="preserve">Represents the Supplemental Rawlinson RSU Award. The target number of RSUs subject to this award was determined based on the 30-day VWAP, rounded down to the nearest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whole share.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$1,800,000 RSU grant for Mr. Bach, the $2,000,000 RSU grant for Mr. Winterhoff, and the $1,600,000 RSU grant for Mr.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Dhingra vest over four years, with one</w:t>
        <w:noBreakHyphen/>
        <w:t xml:space="preserve">eighth vesting on September 5, 2025, and the remainder vesting in substantially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equal quarterly installments beginning on December 5, 2025, and ending on March 5, 2029, subject to the NEOs’ continued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employment through the applicable vesting dates. Mr. Bach forfeited his award in connection with his separation from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 on November 5, 2025. The $4,000,000 RSU grant for Mr. Winterhoff and the $400,000 RSU grant for Mr. Dhingra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vest quarterly over the next sixteen quarters, beginning on March 5, 2025. For Mr. Boussaid, the RSUs vest over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two</w:t>
        <w:noBreakHyphen/>
        <w:t>and</w:t>
        <w:noBreakHyphen/>
        <w:t>one</w:t>
        <w:noBreakHyphen/>
        <w:t>half years as follows: one</w:t>
        <w:noBreakHyphen/>
        <w:t>quarter vested on March 5, 2025; one</w:t>
        <w:noBreakHyphen/>
        <w:t xml:space="preserve">quarter vested on June 5, 2025;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thereafter one</w:t>
        <w:noBreakHyphen/>
        <w:t xml:space="preserve">sixteenth will vest quarterly on each subsequent Company Vesting Date, subject to his continued employment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through each vesting date. “Company Vesting Date” means March 5, June 5, September 5, and December 5 of each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calendar year. For Mr. Rawlinson, the Supplemental Rawlinson RSU Award will vest in three equal installments over a 24-</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month period on the following dates: (A) February 21, 2026, (B) August 21, 2026, and (C) February 21, 2027.</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PSUs</w:t>
      </w:r>
    </w:p>
    <w:p>
      <w:pPr>
        <w:pStyle w:val="TextBody"/>
        <w:bidi w:val="0"/>
        <w:spacing w:lineRule="atLeast" w:line="180" w:before="0" w:after="0"/>
        <w:jc w:val="left"/>
        <w:rPr/>
      </w:pPr>
      <w:r>
        <w:rPr>
          <w:rFonts w:ascii="Arial;sans-serif" w:hAnsi="Arial;sans-serif"/>
          <w:b/>
          <w:i w:val="false"/>
          <w:caps w:val="false"/>
          <w:smallCaps w:val="false"/>
          <w:strike w:val="false"/>
          <w:dstrike w:val="false"/>
          <w:sz w:val="18"/>
          <w:u w:val="none"/>
          <w:effect w:val="none"/>
        </w:rPr>
        <w:t>Number of PSUs Granted.</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The target number of shares of our Common Stock subject to each PSU award granted to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executives (including our NEOs) is typically determined by dividing the total dollar value of the award by the 30-day VWAP.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PSUs granted to Messrs. Boussaid and Dhingra in connection with their new roles were calculated using the 30-day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VWAP. For fiscal year 2025 annual PSU awards, the calculation from dollar value to target units was based on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Conversion Price, which was higher than the 30-day VWAP, for purposes of controlling burn rate and dilution, with awards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rounded down to the nearest whole share, consistent with the approach the Compensation and Human Capital Committee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53</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approved for other executive and non</w:t>
        <w:noBreakHyphen/>
        <w:t>executive long</w:t>
        <w:noBreakHyphen/>
        <w:t xml:space="preserve">term incentive awards. Our NEOs’ 2025 target PSU awards are set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forth in the table below:</w:t>
      </w:r>
    </w:p>
    <w:tbl>
      <w:tblPr>
        <w:tblW w:w="4955" w:type="dxa"/>
        <w:jc w:val="left"/>
        <w:tblInd w:w="0" w:type="dxa"/>
        <w:tblLayout w:type="fixed"/>
        <w:tblCellMar>
          <w:top w:w="28" w:type="dxa"/>
          <w:left w:w="28" w:type="dxa"/>
          <w:bottom w:w="28" w:type="dxa"/>
          <w:right w:w="28" w:type="dxa"/>
        </w:tblCellMar>
      </w:tblPr>
      <w:tblGrid>
        <w:gridCol w:w="124"/>
        <w:gridCol w:w="1756"/>
        <w:gridCol w:w="109"/>
        <w:gridCol w:w="1021"/>
        <w:gridCol w:w="109"/>
        <w:gridCol w:w="871"/>
        <w:gridCol w:w="109"/>
        <w:gridCol w:w="856"/>
      </w:tblGrid>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2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7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56"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Named Executive Officer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2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Value of PSUs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7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Conversion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Price</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5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Number of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PSUs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2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7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56"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Marc Winterhoff</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$3,000,000</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$30.0000</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100,000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Taoufiq Boussaid</w:t>
            </w:r>
            <w:r>
              <w:rPr>
                <w:rFonts w:ascii="Arial;sans-serif" w:hAnsi="Arial;sans-serif"/>
                <w:b w:val="false"/>
                <w:i w:val="false"/>
                <w:caps w:val="false"/>
                <w:smallCaps w:val="false"/>
                <w:strike w:val="false"/>
                <w:dstrike w:val="false"/>
                <w:sz w:val="10"/>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$6,000,000</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$29.9350</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200,435</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vMerge w:val="restart"/>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Gagan Dhingra</w:t>
            </w:r>
            <w:r>
              <w:rPr>
                <w:rFonts w:ascii="Arial;sans-serif" w:hAnsi="Arial;sans-serif"/>
                <w:b w:val="false"/>
                <w:i w:val="false"/>
                <w:caps w:val="false"/>
                <w:smallCaps w:val="false"/>
                <w:strike w:val="false"/>
                <w:dstrike w:val="false"/>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$2,400,000</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$30.0000</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80,000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$600,000</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$29.4840</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20,350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Eric Bach</w:t>
            </w:r>
            <w:r>
              <w:rPr>
                <w:rFonts w:ascii="Arial;sans-serif" w:hAnsi="Arial;sans-serif"/>
                <w:b w:val="false"/>
                <w:i w:val="false"/>
                <w:caps w:val="false"/>
                <w:smallCaps w:val="false"/>
                <w:strike w:val="false"/>
                <w:dstrike w:val="false"/>
                <w:sz w:val="10"/>
                <w:u w:val="none"/>
                <w:effect w:val="none"/>
              </w:rPr>
              <w:t>(3)</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$2,700,000</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$30.0000</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90,000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Peter Rawlinson</w:t>
            </w:r>
            <w:r>
              <w:rPr>
                <w:rFonts w:ascii="Arial;sans-serif" w:hAnsi="Arial;sans-serif"/>
                <w:b w:val="false"/>
                <w:i w:val="false"/>
                <w:caps w:val="false"/>
                <w:smallCaps w:val="false"/>
                <w:strike w:val="false"/>
                <w:dstrike w:val="false"/>
                <w:sz w:val="10"/>
                <w:u w:val="none"/>
                <w:effect w:val="none"/>
              </w:rPr>
              <w:t>(4)</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 xml:space="preserve">Awarded in connection with the commencement of Mr. Boussaid’s employment with the Company. The target number of PSUs subject to this award was based on the 30-day VWAP,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rounded down to the nearest whole share.</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trike w:val="false"/>
          <w:dstrike w:val="false"/>
          <w:sz w:val="12"/>
          <w:u w:val="none"/>
          <w:effect w:val="none"/>
        </w:rPr>
        <w:t>Awarded $600,000 in PSUs in connection with his promotion to Senior Vice President, Finance and Accounting. The target number of PSUs subject to this award was based on the 30-</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day VWAP, rounded down to the nearest whole share.</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(3)</w:t>
      </w:r>
      <w:r>
        <w:rPr>
          <w:rFonts w:ascii="Arial;sans-serif" w:hAnsi="Arial;sans-serif"/>
          <w:b w:val="false"/>
          <w:i w:val="false"/>
          <w:caps w:val="false"/>
          <w:smallCaps w:val="false"/>
          <w:strike w:val="false"/>
          <w:dstrike w:val="false"/>
          <w:sz w:val="12"/>
          <w:u w:val="none"/>
          <w:effect w:val="none"/>
        </w:rPr>
        <w:t>Forfeited in connection with Mr. Bach’s separation in November 2025.</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(4)</w:t>
      </w:r>
      <w:r>
        <w:rPr>
          <w:rFonts w:ascii="Arial;sans-serif" w:hAnsi="Arial;sans-serif"/>
          <w:b w:val="false"/>
          <w:i w:val="false"/>
          <w:caps w:val="false"/>
          <w:smallCaps w:val="false"/>
          <w:strike w:val="false"/>
          <w:dstrike w:val="false"/>
          <w:sz w:val="12"/>
          <w:u w:val="none"/>
          <w:effect w:val="none"/>
        </w:rPr>
        <w:t>Due to Mr. Rawlinson’s transition, he was not eligible for any equity awards in the form of PSUs in 2025.</w:t>
      </w:r>
    </w:p>
    <w:p>
      <w:pPr>
        <w:pStyle w:val="TextBody"/>
        <w:bidi w:val="0"/>
        <w:spacing w:lineRule="atLeast" w:line="180" w:before="0" w:after="0"/>
        <w:jc w:val="left"/>
        <w:rPr/>
      </w:pPr>
      <w:r>
        <w:rPr>
          <w:rFonts w:ascii="Arial;sans-serif" w:hAnsi="Arial;sans-serif"/>
          <w:b/>
          <w:i w:val="false"/>
          <w:caps w:val="false"/>
          <w:smallCaps w:val="false"/>
          <w:strike w:val="false"/>
          <w:dstrike w:val="false"/>
          <w:sz w:val="18"/>
          <w:u w:val="none"/>
          <w:effect w:val="none"/>
        </w:rPr>
        <w:t xml:space="preserve">Overview of 2025 PSU Award Structure </w:t>
      </w:r>
      <w:r>
        <w:rPr>
          <w:caps w:val="false"/>
          <w:smallCaps w:val="false"/>
          <w:strike w:val="false"/>
          <w:dstrike w:val="false"/>
          <w:u w:val="none"/>
          <w:effect w:val="none"/>
        </w:rPr>
        <w:t xml:space="preserve">— </w:t>
      </w:r>
      <w:r>
        <w:rPr>
          <w:rFonts w:ascii="Arial;sans-serif" w:hAnsi="Arial;sans-serif"/>
          <w:b/>
          <w:i w:val="false"/>
          <w:caps w:val="false"/>
          <w:smallCaps w:val="false"/>
          <w:strike w:val="false"/>
          <w:dstrike w:val="false"/>
          <w:sz w:val="18"/>
          <w:u w:val="none"/>
          <w:effect w:val="none"/>
        </w:rPr>
        <w:t>2025 PSU Program.</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Consistent with our pay-for-performance philosophy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focus on achieving critical business objectives and creating long-term stockholder value, our Compensation and Human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Capital Committee determined that the design of the 2025 PSU awards (including those granted to our NEOs) would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structured into a two-year performance period, segmented into two equal tranches (2025 and 2026, respectively). The 2025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tranche (the “2025 Tranche”) uses deliveries, gross margin and free cash flow as the performance metrics (“2025 Tranche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 Performance Metrics”). The 2026 tranche (the “2026 Tranche”) uses deliveries and free cash flow as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performance metrics. For each tranche, a minimum of 50% weighted-average performance achievement, measured against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performance goals for that year, is required to certify any earning of the PSUs. Vesting of earned PSUs under each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tranche is as follows: (1) For the 2025 Tranche: 50% of earned shares vest upon the later of March 5, 2025 or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certification of achievement which occurred in the first quarter of 2026. The remaining 50% of earned shares vest in equal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quarterly installments over the following four quarters, subject to the NEO’s continued service through the applicable vesting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dates; (2) For the 2026 Tranche: 50% of earned shares vest upon the later of March 5, 2027 or the certification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achievement, which is expected to occur in the first quarter of 2027. The remaining 50% of earned shares vest in equal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quarterly installments over the following four quarters, subject to the NEO’s continued service through the applicable vesting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dates.</w:t>
      </w:r>
    </w:p>
    <w:p>
      <w:pPr>
        <w:pStyle w:val="TextBody"/>
        <w:bidi w:val="0"/>
        <w:spacing w:lineRule="atLeast" w:line="180" w:before="0" w:after="0"/>
        <w:jc w:val="left"/>
        <w:rPr/>
      </w:pPr>
      <w:r>
        <w:rPr>
          <w:rFonts w:ascii="Arial;sans-serif" w:hAnsi="Arial;sans-serif"/>
          <w:b/>
          <w:i w:val="false"/>
          <w:caps w:val="false"/>
          <w:smallCaps w:val="false"/>
          <w:strike w:val="false"/>
          <w:dstrike w:val="false"/>
          <w:sz w:val="18"/>
          <w:u w:val="none"/>
          <w:effect w:val="none"/>
        </w:rPr>
        <w:t>2025 Tranche Performance Metrics.</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For the 2025 Tranche, the Board, upon the recommendation of the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Human Capital Committee, selected deliveries, gross margin and free cash flow as performance metrics. As explained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above under the heading Annual Cash Incentive Awards, these metrics and their respective target performance levels reflect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 balanced approach, focusing on key performance metrics that align with our annual growth objectives as well as our long-</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 business plan. At the time the performance metrics were established for the 2025 Tranche, the Board, upon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recommendation of the Compensation and Human Capital Committee, believed that attaining such goals would require a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54</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high level of effort and skilled execution on the part of our executives, including our NEOs, to achieve strong sales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operational success.</w:t>
      </w:r>
    </w:p>
    <w:tbl>
      <w:tblPr>
        <w:tblW w:w="9180" w:type="dxa"/>
        <w:jc w:val="left"/>
        <w:tblInd w:w="0" w:type="dxa"/>
        <w:tblLayout w:type="fixed"/>
        <w:tblCellMar>
          <w:top w:w="28" w:type="dxa"/>
          <w:left w:w="28" w:type="dxa"/>
          <w:bottom w:w="28" w:type="dxa"/>
          <w:right w:w="28" w:type="dxa"/>
        </w:tblCellMar>
      </w:tblPr>
      <w:tblGrid>
        <w:gridCol w:w="124"/>
        <w:gridCol w:w="1636"/>
        <w:gridCol w:w="109"/>
        <w:gridCol w:w="586"/>
        <w:gridCol w:w="109"/>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63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5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616"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63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2025 Tranche Company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Performance Metrics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58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Weight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61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Metric Description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63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5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616"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Deliveries </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w:t>
            </w:r>
          </w:p>
        </w:tc>
        <w:tc>
          <w:tcPr>
            <w:tcW w:w="109" w:type="dxa"/>
            <w:tcBorders/>
            <w:vAlign w:val="center"/>
          </w:tcPr>
          <w:p>
            <w:pPr>
              <w:pStyle w:val="TableContents"/>
              <w:bidi w:val="0"/>
              <w:spacing w:before="0" w:after="283"/>
              <w:jc w:val="left"/>
              <w:rPr>
                <w:sz w:val="4"/>
                <w:szCs w:val="4"/>
              </w:rPr>
            </w:pPr>
            <w:r>
              <w:rPr>
                <w:sz w:val="4"/>
                <w:szCs w:val="4"/>
              </w:rPr>
            </w:r>
          </w:p>
        </w:tc>
        <w:tc>
          <w:tcPr>
            <w:tcW w:w="66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The number of Lucid vehicles transferred to customers for the full fiscal year ended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December 31, 2025.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Gross Margin </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w:t>
            </w:r>
          </w:p>
        </w:tc>
        <w:tc>
          <w:tcPr>
            <w:tcW w:w="109" w:type="dxa"/>
            <w:tcBorders/>
            <w:vAlign w:val="center"/>
          </w:tcPr>
          <w:p>
            <w:pPr>
              <w:pStyle w:val="TableContents"/>
              <w:bidi w:val="0"/>
              <w:spacing w:before="0" w:after="283"/>
              <w:jc w:val="left"/>
              <w:rPr>
                <w:sz w:val="4"/>
                <w:szCs w:val="4"/>
              </w:rPr>
            </w:pPr>
            <w:r>
              <w:rPr>
                <w:sz w:val="4"/>
                <w:szCs w:val="4"/>
              </w:rPr>
            </w:r>
          </w:p>
        </w:tc>
        <w:tc>
          <w:tcPr>
            <w:tcW w:w="66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The Company’s sales minus its cost of goods sold, expressed as a percentage of sales.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Free Cash Flow </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w:t>
            </w:r>
          </w:p>
        </w:tc>
        <w:tc>
          <w:tcPr>
            <w:tcW w:w="109" w:type="dxa"/>
            <w:tcBorders/>
            <w:vAlign w:val="center"/>
          </w:tcPr>
          <w:p>
            <w:pPr>
              <w:pStyle w:val="TableContents"/>
              <w:bidi w:val="0"/>
              <w:spacing w:before="0" w:after="283"/>
              <w:jc w:val="left"/>
              <w:rPr>
                <w:sz w:val="4"/>
                <w:szCs w:val="4"/>
              </w:rPr>
            </w:pPr>
            <w:r>
              <w:rPr>
                <w:sz w:val="4"/>
                <w:szCs w:val="4"/>
              </w:rPr>
            </w:r>
          </w:p>
        </w:tc>
        <w:tc>
          <w:tcPr>
            <w:tcW w:w="66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The Company’s net cash from operations less capital expenditures, subject to any cash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balance adjustments not connected to operations.</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pPr>
      <w:r>
        <w:rPr>
          <w:rFonts w:ascii="Arial;sans-serif" w:hAnsi="Arial;sans-serif"/>
          <w:b/>
          <w:i w:val="false"/>
          <w:caps w:val="false"/>
          <w:smallCaps w:val="false"/>
          <w:strike w:val="false"/>
          <w:dstrike w:val="false"/>
          <w:sz w:val="18"/>
          <w:u w:val="none"/>
          <w:effect w:val="none"/>
        </w:rPr>
        <w:t>Actual Performance and PSUs Earned Under 2025 Tranche.</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In March 2026,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evaluated the Company’s performance against the 2025 Tranche Company Performance Metrics. For fiscal year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2025, the Company achieved and exceeded target performance in free cash flow, reporting $(4,400) million (target: $(4,730)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million), and achieved threshold performance for deliveries with 15,841 deliveries (target: 20,000). The Company failed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achieve the threshold performance for gross margin, recording (92.8)% (target: (55.0)%). Taken together, the Company’s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performance with respect to the 2025 Tranche Company Performance Metrics resulted in a PSU Payout Factor of 57.5%.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Based on the number of PSUs granted at target and the applicable PSU Payout Factor, the following PSUs were earned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the 2025 Tranche: 28,751 for Mr. Winterhoff, 57,627 for Mr. Boussaid, and 28,849 collectively for Mr. Dhingra’s two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PSU awards. Due to their transition or separation (respectively), Messrs. Rawlinson and Bach were not eligible for any PSU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grant or payout under the 2025 PSU program.</w:t>
      </w:r>
    </w:p>
    <w:p>
      <w:pPr>
        <w:pStyle w:val="TextBody"/>
        <w:bidi w:val="0"/>
        <w:spacing w:lineRule="atLeast" w:line="180" w:before="0" w:after="0"/>
        <w:jc w:val="left"/>
        <w:rPr/>
      </w:pPr>
      <w:r>
        <w:rPr>
          <w:rFonts w:ascii="Arial;sans-serif" w:hAnsi="Arial;sans-serif"/>
          <w:b/>
          <w:i w:val="false"/>
          <w:caps w:val="false"/>
          <w:smallCaps w:val="false"/>
          <w:strike w:val="false"/>
          <w:dstrike w:val="false"/>
          <w:sz w:val="18"/>
          <w:u w:val="none"/>
          <w:effect w:val="none"/>
        </w:rPr>
        <w:t>2026 Tranche Performance Metrics.</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For the 2026 Tranche, the Board, upon the recommendation of the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Human Capital Committee, selected deliveries and free cash flow as performance metrics (“2026 Tranche Company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Performance Metrics”) in alignment with our long-term business plan for 2026.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Details regarding actual performance and PSUs earned under the 2026 Tranche will be disclosed in the proxy statement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following year.</w:t>
      </w:r>
    </w:p>
    <w:tbl>
      <w:tblPr>
        <w:tblW w:w="9330" w:type="dxa"/>
        <w:jc w:val="left"/>
        <w:tblInd w:w="0" w:type="dxa"/>
        <w:tblLayout w:type="fixed"/>
        <w:tblCellMar>
          <w:top w:w="28" w:type="dxa"/>
          <w:left w:w="28" w:type="dxa"/>
          <w:bottom w:w="28" w:type="dxa"/>
          <w:right w:w="28" w:type="dxa"/>
        </w:tblCellMar>
      </w:tblPr>
      <w:tblGrid>
        <w:gridCol w:w="124"/>
        <w:gridCol w:w="1636"/>
        <w:gridCol w:w="109"/>
        <w:gridCol w:w="781"/>
        <w:gridCol w:w="109"/>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63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8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57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63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2026 Tranche Company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Performance Metrics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8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Weighting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57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Metric Description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63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8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57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Deliveries </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50%</w:t>
            </w:r>
          </w:p>
        </w:tc>
        <w:tc>
          <w:tcPr>
            <w:tcW w:w="109" w:type="dxa"/>
            <w:tcBorders/>
            <w:vAlign w:val="center"/>
          </w:tcPr>
          <w:p>
            <w:pPr>
              <w:pStyle w:val="TableContents"/>
              <w:bidi w:val="0"/>
              <w:spacing w:before="0" w:after="283"/>
              <w:jc w:val="left"/>
              <w:rPr>
                <w:sz w:val="4"/>
                <w:szCs w:val="4"/>
              </w:rPr>
            </w:pPr>
            <w:r>
              <w:rPr>
                <w:sz w:val="4"/>
                <w:szCs w:val="4"/>
              </w:rPr>
            </w:r>
          </w:p>
        </w:tc>
        <w:tc>
          <w:tcPr>
            <w:tcW w:w="65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The number of Lucid vehicles transferred to customers for the full fiscal year ended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December 31, 2026.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Free Cash Flow </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50%</w:t>
            </w:r>
          </w:p>
        </w:tc>
        <w:tc>
          <w:tcPr>
            <w:tcW w:w="109" w:type="dxa"/>
            <w:tcBorders/>
            <w:vAlign w:val="center"/>
          </w:tcPr>
          <w:p>
            <w:pPr>
              <w:pStyle w:val="TableContents"/>
              <w:bidi w:val="0"/>
              <w:spacing w:before="0" w:after="283"/>
              <w:jc w:val="left"/>
              <w:rPr>
                <w:sz w:val="4"/>
                <w:szCs w:val="4"/>
              </w:rPr>
            </w:pPr>
            <w:r>
              <w:rPr>
                <w:sz w:val="4"/>
                <w:szCs w:val="4"/>
              </w:rPr>
            </w:r>
          </w:p>
        </w:tc>
        <w:tc>
          <w:tcPr>
            <w:tcW w:w="65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The Company’s net cash from operations less capital expenditures, subject to any cash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balance adjustments not connected to operations.</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pPr>
      <w:r>
        <w:rPr>
          <w:rFonts w:ascii="Arial;sans-serif" w:hAnsi="Arial;sans-serif"/>
          <w:b/>
          <w:i w:val="false"/>
          <w:caps w:val="false"/>
          <w:smallCaps w:val="false"/>
          <w:strike w:val="false"/>
          <w:dstrike w:val="false"/>
          <w:sz w:val="18"/>
          <w:u w:val="none"/>
          <w:effect w:val="none"/>
        </w:rPr>
        <w:t>2024 PSU Program — Actual Performance and PSUs Earned Under 2025 Tranche.</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In 2024, the Board, upon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recommendation of the Compensation and Human Capital Committee, selected deliveries and free cash flow as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performance metrics for the 2025 tranche of the 2024 PSU program (The "2024 PSU 2025 Tranche" and such metrics, the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2024 PSU 2025 Tranche Company Performance Metrics”). For such tranche, a minimum of 50% weighted-average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performance achievement, measured against the performance goals for 2025, is required to certify any earning of the PSUs.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Vesting of earned PSUs for the 2025 tranche is as follows: 50% of earned shares vest upon the later of March 5, 2026 or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certification of achievement. The remaining 50% of earned shares vest in equal quarterly installments over the following four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quarters, subject to the NEO’s continued service through the applicable vesting dates. In March 2025, the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Human Capital Committee evaluated the Company’s performance against the 2024 PSU 2025 Tranche Company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Performance Metrics.  For fiscal year 2025, the Company exceeded target performance in free cash flow, reporting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$(3,660.0) million (target: $(3,887.0) million), and failed to achieve threshold performance for deliveries, reporting 15,841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deliveries (target: 20,000). Taken together, the Company’s performance against the 2024 PSU 2025 Tranche metrics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resulted in a PSU payout factor of 57.3%. Based on the number of PSUs granted at target and the applicable PSU payout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factor, the committee determined that the following PSUs were earned under the 2024 PSU 2025 Tranche: 61,214 PSUs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Mr. Winterhoff and 11,950 PSUs for Mr. Dhingra.  Mr. Bach was not eligible for a payout with respect to the 2025 tranche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his 2024 annual PSU grant due to his separation. For a fuller description of the 2024 PSU Program and its 2025 tranche,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including the applicable performance metrics, certification process, PSU payout factor methodology, and vesting provisions,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55</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see the section titled “Compensation Discussion and Analysis — Long-Term Incentive Compensation — PSUs” 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Company’s 2025 Proxy Statement filed with the SEC.</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Special Bonus - Interim Chief Financial Officer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January 2025, in connection with Mr. Dhingra’s promotion to Senior Vice President, Finance and Accounting,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 awarded him a discretionary cash bonus of $250,000 in recognition of his sustained and exemplary performance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while serving as the Company’s Interim Chief Financial Officer.</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Other Compensation</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PERQUISITES AND OTHER PERSONAL BENEFITS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periodically reviews the perquisites and other personal benefits provided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our NEOs to ensure that they are reasonable, competitive, and consistent with the overall compensation program. We do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not view perquisites or other personal benefits as a significant component of our executive compensation program and we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do not provide material perquisites or personal benefits to our NEOs. Key perquisites and other personal benefits for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NEOs include the following, as reflected in the Summary Compensation Table and accompanying footnotes if applicable: (i)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personal use of a Company</w:t>
        <w:noBreakHyphen/>
        <w:t xml:space="preserve">provided Lucid vehicle for certain NEOs, including associated tax gross-ups; (ii) for Mr.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Rawlinson, annual reimbursement of up to $10,000 for tax advisory and preparation fees, net of applicable tax deductions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withholdings, for calendar years of 2025 and 2026 (though Mr. Rawlinson did not seek reimbursement for such fees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incurred in 2025), as well as Company-paid COBRA health insurance premiums in connection with his transition agreement;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(iii) for Mr. Boussaid, (a) a temporary housing subsidy for twelve months and $500,000 of relocation assistance, (b)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annual stipend of $200,000 (increased in January 2026 from $100,000 in fiscal year 2025) to cover his personal cost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participate in the French retirement system, and (c) repatriation benefits and up to $275,000 of tax and immigration support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over two years in connection with his status as a French national.</w:t>
      </w:r>
    </w:p>
    <w:p>
      <w:pPr>
        <w:pStyle w:val="TextBody"/>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 xml:space="preserve">Executive Security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connection with Mr. Winterhoff’s role as the Interim Chief Executive Officer, his home and personal security was evaluated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by a third-party security firm, and the Board, upon the recommendation of the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approved to implement security measures for Mr. Winterhoff. Prior to Mr. Winterhoff’s appointment, Mr.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Rawlinson received personal security services in connection with his role as Chief Executive Officer up until his transition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February 2025. Additionally, following an independent security assessment concluding that Mr. Boussaid’s security risk met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threshold for a bona fide business</w:t>
        <w:noBreakHyphen/>
        <w:t xml:space="preserve">oriented concern, the Board, upon the recommendation of the Compensation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Human Capital Committee, approved implementation of recommended security measures for Mr. Boussaid with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aggregate cost up to $50,000. The costs related to personal security for Messrs. Winterhoff, Boussaid and Rawlinson are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reported as other compensation in the "All Other Compensation" column of the 2025 Summary Compensation Table.</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RETIREMENT AND OTHER EMPLOYEE BENEFITS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maintain a 401(k) retirement savings plan for our employees in the United States, including the NEOs. Our NEOs are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eligible to participate in the 401(k) plan on the same terms as other full-time employees. In addition, all of our full-time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employees, including the NEOs, are eligible to participate in our health and welfare plans, including medical, dental,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vision benefits, health and dependent care flexible spending accounts, and disability and life insurance. Employees at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senior director level and above, including the NEOs, are eligible to participate in an executive physicals program, which 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offered as an additional health benefit.</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Employment Arrangements</w:t>
      </w:r>
    </w:p>
    <w:p>
      <w:pPr>
        <w:pStyle w:val="TextBody"/>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At-Will Employment and Restrictive Covenants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Messrs. Winterhoff, Boussaid, and Dhingra are at-will employees with no specified term of employment. As a condition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their employment, each of the NEOs was required to sign a Confidential Information and Invention Assignment Agreement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(“Restrictive Covenant Agreement”) which includes, among other provisions, a 24-month post-employment non-solicit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employees and customers, a perpetual confidentiality covenant, and an assignment of inventions provision.</w:t>
      </w:r>
    </w:p>
    <w:p>
      <w:pPr>
        <w:pStyle w:val="TextBody"/>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Mr. Dhingra Interim Chief Financial Officer Terms and Promotion Terms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connection with Mr. Dhingra’s appointment as our Interim Chief Financial Officer on December 11, 2023, Mr. Dhingra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received certain compensation, including, without limitation, (i) an award of RSUs with a grant value of  $500,000 that has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56</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vested; and (ii) a quarterly bonus of  $50,000 and a monthly stipend of  $25,000 while serving as our Interim Chief Financial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Officer during 2024 and through February 25, 2025, when we appointed Mr. Boussaid as our Chief Financial Officer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promoted Mr. Dhingra to Senior Vice President, Finance and Accounting. The final payment of Mr. Dhingra’s quarterly bonus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monthly stipend was completed on March 28, 2025.</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2025, in connection with Mr. Dhingra’s promotion to Senior Vice President, Finance and Accounting, Mr. Dhingra’s base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salary was increased to $475,000, his target bonus opportunity commencing for the fiscal 2025 performance period was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increased to 75% of base salary, he received a one-time bonus in the amount of  $250,000 and he became eligible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participate in the Executive Severance Plan (as defined below) at the senior vice president level. In 2025, in connection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such promotion, Mr. Dhingra was also granted a special award of RSUs and a special award of PSUs, with target grant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values of  $400,000 and $600,000, respectively, with such RSUs vesting quarterly over four years and such PSUs vesting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consistent with the terms of performance stock units granted to other NEOs.</w:t>
      </w:r>
    </w:p>
    <w:p>
      <w:pPr>
        <w:pStyle w:val="TextBody"/>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Mr. Boussaid Chief Financial Officer Appointment and Terms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Mr. Boussaid joined the Company on January 29, 2025, and was appointed Chief Financial Officer on February 25, 2025.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connection with his appointment, Mr. Boussaid received the following compensation and benefits: (i) an annual base salary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$575,000; (ii) a target annual bonus opportunity of 90% of base salary for fiscal year 2025 (guaranteed to be paid at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greater of 90% of base salary or the actual AIP payout determined by corporate and individual performance for 2025) and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target annual bonus opportunity for fiscal year 2026 equal to the greater of 45% of base salary or the actual AIP payout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determined by corporate and individual performance for 2026; (iii) a cash signing bonus of $2,000,000, subject to clawback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certain circumstances through the third anniversary of his hire date; (iv) an award of RSUs with a grant value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$4,000,000 and an award of PSUs with a grant value of $6,000,000, each granted under the Lucid Group, Inc. Amended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Restated 2021 Stock Incentive Plan, with the RSUs vesting over two</w:t>
        <w:noBreakHyphen/>
        <w:t>and</w:t>
        <w:noBreakHyphen/>
        <w:t>one</w:t>
        <w:noBreakHyphen/>
        <w:t xml:space="preserve">half years and the PSUs vesting on the same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terms applicable to PSUs granted to other senior executives; (v) eligibility to participate in the Lucid Group, Inc. Executive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Severance Plan (as defined below) on terms substantially consistent with other senior executives; (vi) a French</w:t>
        <w:noBreakHyphen/>
        <w:t xml:space="preserve">national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stipend of $100,000 per year to defray costs associated with participation in the French retirement system, retention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multinational tax advisors, and related repatriation support; and (vii) relocation assistance of $500,000, subject to clawback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provisions, together with paid temporary housing for up to six months following his start date.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January 20, 2026, following a review with Pay Governance, the Compensation and Human Capital Committee approved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 amendment to Mr. Boussaid’s compensation terms to (a) extend the temporary housing subsidy from six months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twelve months, (b) increase the annual French</w:t>
        <w:noBreakHyphen/>
        <w:t xml:space="preserve">national stipend from $100,000 to $200,000 based on an updated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assessment of his costs to participate in the French retirement system, and (c) approve certain repatriation benefits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immigration support over two years in connection with his status as a French national, payable in an amount up to $275,000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if his employment terminates due to an involuntary termination without cause (as defined in the Executive Severance Plan).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committee determined that these adjustments were consistent with its original intent in approving Mr. Boussaid’s offer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employment and were implemented to address additional circumstances and information that emerged during the course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Mr. Boussaid’s initial employment with the Company.</w:t>
      </w:r>
    </w:p>
    <w:p>
      <w:pPr>
        <w:pStyle w:val="TextBody"/>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Mr. Rawlinson Transition Agreement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connection with Mr. Rawlinson’s resignation as our CEO and Chief Technology Officer and his appointment as Strategic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Technical Advisor to the Chairman of the Board on February 21, 2025, the Company entered into a transition agreement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Mr. Rawlinson, pursuant to which he is entitled to receive: (i) a monthly payment of  $120,000 for services rendered during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24-month consulting term, (ii) a Lucid vehicle, (iii) Company-paid COBRA health insurance premiums during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consulting term, (iv) in each calendar year of 2025 and 2026, a payment of up to $10,000 for tax preparation services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(including an additional true-up payment equal to the amount of personal income tax due in connection with such payment),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(v) a supplemental RSU grant with a target grant date fair value of  $2,000,000, which will vest in three equal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installments over a 24-month period on the following dates: (A) February 21, 2026, (B) August 21, 2026, and (C) February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21, 2027 (such grant, the "Supplemental Rawlinson RSU Award").</w:t>
      </w:r>
    </w:p>
    <w:p>
      <w:pPr>
        <w:pStyle w:val="TextBody"/>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Mr. Winterhoff Interim CEO Terms and Promotion and Transition to Prior Role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connection with Mr. Winterhoff’s appointment as our Interim Chief Executive Officer on February 21, 2025, Mr. Winterhoff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received or became entitled to receive the following additional compensation and benefits: (i) a monthly stipend of  $20,000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 any month or partial month that Mr. Winterhoff serves as the Interim CEO; (ii) an award of RSUs with a grant value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$4,000,000 granted pursuant to the Company’s Amended and Restated 2021 Stock Incentive Plan, which will vest quarterly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over sixteen quarters on the Company Vesting Dates and provides for accelerated vesting upon a termination without cause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resignation following a constructive termination; (iii) an increase from nine months’ pay and benefits to twelve months’ pay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57</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benefits under certain circumstances that Mr. Winterhoff is eligible to receive under the Executive Severance Plan;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(iv) elevated executive security services as needed.</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In connection with Mr. Winterhoff’s anticipated transition back to the role of the Company’s Chief Operating Officer in 2026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following the appointment of Mr. Napoli as our CEO, Mr. Winterhoff is eligible to receive the following compensation effective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as of April 15, 2026: (i) an annual base salary of $1,000,000; (ii) beginning for the 2026 performance period, a target AIP of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150% of base salary, a threshold AIP payout level of 75% of base salary and a maximum AIP payout level of 225% of base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salary; (iii) a 2026 annual long-term incentive award with a target grant value of $5,400,000, which will be granted in the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same mix of equity award vehicles that apply to the Company’s other executive officers’ annual long-term incentive grants in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2026; (iv) $2,000,000 of cash recognition and retention bonuses, $1,000,000 of which vested on April 15, 2026 and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$1,000,000 of which vests on April 15, 2027, subject to Mr. Winterhoff’s continued employment with the Company through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such date.</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Additionally, in connection with the transition in 2026, Mr. Winterhoff will also receive a performance-based cash bonus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which has a maximum payout opportunity of $3,000,000 (the “Performance-Based Cash Bonus”), segmented into three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equal tranches of $1,000,000. Each tranche of the Performance-Based Cash Bonus may only be earned if both the time-</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based and performance-based vesting conditions applicable to such tranche are met. Such vesting conditions of the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Performance-Based Cash Bonus are satisfied based on achievement of a volume-weighted average of the Company’s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market capitalization for 45 consecutive trading days (the “Market Capitalization Performance Hurdle”) of $5.0 billion, $7.5 </w:t>
      </w:r>
    </w:p>
    <w:p>
      <w:pPr>
        <w:pStyle w:val="TextBody"/>
        <w:bidi w:val="0"/>
        <w:spacing w:lineRule="atLeast" w:line="180"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billion and $10.0 billion for tranche 1, tranche 2, and tranche 3, respectively.</w:t>
      </w:r>
    </w:p>
    <w:p>
      <w:pPr>
        <w:pStyle w:val="TextBody"/>
        <w:bidi w:val="0"/>
        <w:spacing w:lineRule="atLeast" w:line="160" w:before="0" w:after="0"/>
        <w:jc w:val="left"/>
        <w:rPr>
          <w:rFonts w:ascii="Arial;sans-serif" w:hAnsi="Arial;sans-serif"/>
          <w:b/>
          <w:i/>
          <w:sz w:val="16"/>
        </w:rPr>
      </w:pPr>
      <w:r>
        <w:rPr>
          <w:rFonts w:ascii="Arial;sans-serif" w:hAnsi="Arial;sans-serif"/>
          <w:b/>
          <w:i/>
          <w:sz w:val="16"/>
        </w:rPr>
        <w:t>Mr. Napoli CEO Terms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Pursuant to the terms of his offer letters with us, in connection with his anticipated appointment as our CEO in 2026, Mr.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Napoli is eligible to receive the following compensation, among other things: (i) an annual base salary of $1,500,000; (ii)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beginning for the 2026 performance period, a target annual incentive bonus opportunity of 200% of base salary, a threshold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payout level of 100% of base salary and a maximum payout level of 300% of base salary, provided that, for the 2026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performance period, such bonus will be paid out based on the greater of (x) target performance or (y) actual performance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full 2026 performance period, pro-rated based on Mr. Napoli’s start date of April 15, 2026; (iii) initial equity grants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described below; (iv) eligibility to participate in the Lucid Group, Inc. Executive Severance Benefit Plan, as modified under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terms of his offer letters; (v) reimbursement of up to $25,000 per month for six months for temporary housing expenses;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(vi) provision of, or reimbursement for, two Company vehicles, security protection and tax and financial planning. Mr.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Napoli will also receive a lump sum payment of $1,000,000 to cover any expenses in connection with moving to the U.S.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Mr. Napoli will receive a 2026 annual equity award grant with a target grant value of $9,500,000, allocated as (i) $3,800,000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the form of RSUs that vest over four years, with 25% vesting on a one-year cliff and the remainder vesting quarterly in 12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installments thereafter, and (ii) $5,700,000 in the form of PSUs (assuming target performance), on the same terms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conditions that apply to the annual PSU grants in 2026 to other executive officers of the Company, subject in each case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Mr. Napoli’s continued employment with the Company through the vesting date.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Mr. Napoli will also receive a one-time grant of performance-based stock options, with respect to a maximum of 1,000,000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if maximum performance is achieved between April 15, 2026 and April 15, 2031 and time-based vesting conditions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are satisfied. The New Hire PSOs will be segmented into five tranches of 200,000 each, with the performance-based vesting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condition for each tranche satisfied based on achievement of a Market Capitalization Performance Hurdle of $5.0 billion,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$7.5 billion, $10.0 billion, $12.5 billion and 17.5 billion, for tranche 1, 2, 3, 4, and 5, respectively. </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Termination and Change in Control Agreements</w:t>
      </w:r>
    </w:p>
    <w:p>
      <w:pPr>
        <w:pStyle w:val="TextBody"/>
        <w:bidi w:val="0"/>
        <w:spacing w:lineRule="atLeast" w:line="160" w:before="0" w:after="0"/>
        <w:jc w:val="left"/>
        <w:rPr>
          <w:rFonts w:ascii="Arial;sans-serif" w:hAnsi="Arial;sans-serif"/>
          <w:b/>
          <w:i/>
          <w:strike w:val="false"/>
          <w:dstrike w:val="false"/>
          <w:sz w:val="16"/>
          <w:u w:val="none"/>
          <w:effect w:val="none"/>
        </w:rPr>
      </w:pPr>
      <w:r>
        <w:rPr>
          <w:rFonts w:ascii="Arial;sans-serif" w:hAnsi="Arial;sans-serif"/>
          <w:b/>
          <w:i/>
          <w:strike w:val="false"/>
          <w:dstrike w:val="false"/>
          <w:sz w:val="16"/>
          <w:u w:val="none"/>
          <w:effect w:val="none"/>
        </w:rPr>
        <w:t>Executive Severance Plan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 established the Lucid Group, Inc. Executive Severance Benefit Plan, effective July 23, 2021 (the “Executive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Severance Plan”), in which executives (including our NEOs) participate. Under the terms of the Executive Severance Plan,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participants are entitled to receive the following in the event of a termination of employment without “cause” or a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constructive termination” (as each such term is defined in the Executive Severance Plan) that is not a Change in Control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Termination (as defined below), subject to the participant’s execution of a release of claims: (i) base salary continuation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number of months set forth in the participant’s participation agreement, (ii) Company-paid COBRA premiums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healthcare continuation coverage (including a gross-up for applicable taxes) up to the number of months set forth 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participant’s participation agreement, and (iii) accelerated vesting of an “applicable percentage” of the participant’s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outstanding and unvested equity awards granted prior to July 23, 2021 (but such accelerated vesting under the Executive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Severance Plan does not apply to the 2021 CEO Grant, which contains its own accelerated vesting terms under certain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circumstances (as described below), nor to any equity awards granted on or after July 23, 2021). For purposes of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58</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determining the accelerated vesting of pre-July 23, 2021 awards, the “applicable percentage” is equal to 25%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unvested equity award at the time of such termination plus 5% for each year of service, up to 50%.</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the event of a termination without “cause” or a “constructive termination” in each case within three months prior to or 12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months following a change in control of Lucid (a “Change in Control Termination”), participants are entitled to receive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following, subject to the participant’s execution of a release of claims: (i) a lump-sum payment equal to the sum of base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salary and target annual cash incentive divided by 12, multiplied by the number of months set forth in the participant’s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participation agreement, (ii) Company-paid COBRA premiums for healthcare continuation coverage (including a gross-up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applicable taxes) up to the number of months set forth in the participant’s participation agreement, and (iii) accelerated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vesting of 100% of the participant’s outstanding equity awards (except in the case of the 2021 CEO Grant, as mentioned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above).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the Executive Severance Plan, a participant’s right to receive severance benefits terminates in the event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 breaches the Restrictive Covenant Agreement or the participant utilizes our trade secrets to solicit any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employees to leave us or to induce any of our then-current clients, customers, or suppliers to terminate their business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relationship with us. As of December 31, 2025, the severance levels that apply to each of the NEOs under the Executive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Severance Plan are set forth in the table below:</w:t>
      </w:r>
    </w:p>
    <w:tbl>
      <w:tblPr>
        <w:tblW w:w="6675" w:type="dxa"/>
        <w:jc w:val="left"/>
        <w:tblInd w:w="0" w:type="dxa"/>
        <w:tblLayout w:type="fixed"/>
        <w:tblCellMar>
          <w:top w:w="28" w:type="dxa"/>
          <w:left w:w="28" w:type="dxa"/>
          <w:bottom w:w="28" w:type="dxa"/>
          <w:right w:w="28" w:type="dxa"/>
        </w:tblCellMar>
      </w:tblPr>
      <w:tblGrid>
        <w:gridCol w:w="124"/>
        <w:gridCol w:w="1756"/>
        <w:gridCol w:w="109"/>
        <w:gridCol w:w="1996"/>
        <w:gridCol w:w="109"/>
        <w:gridCol w:w="2581"/>
      </w:tblGrid>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99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58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Named Executive Officer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99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Severance Not in Connection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with a Change in Control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(Number of Months)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58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Severance in Connection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with a Change in Control Termination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(Number of Months)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99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58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Marc Winterhoff</w:t>
            </w:r>
            <w:r>
              <w:rPr>
                <w:rFonts w:ascii="Arial;sans-serif" w:hAnsi="Arial;sans-serif"/>
                <w:b w:val="false"/>
                <w:i w:val="false"/>
                <w:caps w:val="false"/>
                <w:smallCaps w:val="false"/>
                <w:strike w:val="false"/>
                <w:dstrike w:val="false"/>
                <w:sz w:val="10"/>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w:t>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Taoufiq Boussaid</w:t>
            </w:r>
            <w:r>
              <w:rPr>
                <w:rFonts w:ascii="Arial;sans-serif" w:hAnsi="Arial;sans-serif"/>
                <w:b w:val="false"/>
                <w:i w:val="false"/>
                <w:caps w:val="false"/>
                <w:smallCaps w:val="false"/>
                <w:strike w:val="false"/>
                <w:dstrike w:val="false"/>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w:t>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Gagan Dhingra</w:t>
            </w:r>
            <w:r>
              <w:rPr>
                <w:rFonts w:ascii="Arial;sans-serif" w:hAnsi="Arial;sans-serif"/>
                <w:b w:val="false"/>
                <w:i w:val="false"/>
                <w:caps w:val="false"/>
                <w:smallCaps w:val="false"/>
                <w:strike w:val="false"/>
                <w:dstrike w:val="false"/>
                <w:sz w:val="10"/>
                <w:u w:val="none"/>
                <w:effect w:val="none"/>
              </w:rPr>
              <w:t>(3)</w:t>
            </w:r>
            <w:r>
              <w:rPr>
                <w:caps w:val="false"/>
                <w:smallCaps w:val="false"/>
                <w:strike w:val="false"/>
                <w:dstrike w:val="false"/>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w:t>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Eric Bach</w:t>
            </w:r>
            <w:r>
              <w:rPr>
                <w:rFonts w:ascii="Arial;sans-serif" w:hAnsi="Arial;sans-serif"/>
                <w:b w:val="false"/>
                <w:i w:val="false"/>
                <w:caps w:val="false"/>
                <w:smallCaps w:val="false"/>
                <w:strike w:val="false"/>
                <w:dstrike w:val="false"/>
                <w:sz w:val="10"/>
                <w:u w:val="none"/>
                <w:effect w:val="none"/>
              </w:rPr>
              <w:t>(4)</w:t>
            </w:r>
            <w:r>
              <w:rPr>
                <w:caps w:val="false"/>
                <w:smallCaps w:val="false"/>
                <w:strike w:val="false"/>
                <w:dstrike w:val="false"/>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Peter Rawlinson</w:t>
            </w:r>
            <w:r>
              <w:rPr>
                <w:rFonts w:ascii="Arial;sans-serif" w:hAnsi="Arial;sans-serif"/>
                <w:b w:val="false"/>
                <w:i w:val="false"/>
                <w:caps w:val="false"/>
                <w:smallCaps w:val="false"/>
                <w:strike w:val="false"/>
                <w:dstrike w:val="false"/>
                <w:sz w:val="10"/>
                <w:u w:val="none"/>
                <w:effect w:val="none"/>
              </w:rPr>
              <w:t>(5)</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 xml:space="preserve">Mr. Winterhoff was appointed Interim CEO on February 21, 2025. In connection with the appointment, his participation level under our Executive Severance Plan has been adjusted to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12 months for severance not in connection with a Change in Control Termination, and 12 months for severance in connection with a Change in Control Termination. See “Mr. Winterhoff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Interim CEO Terms and Promotion” above.</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trike w:val="false"/>
          <w:dstrike w:val="false"/>
          <w:sz w:val="12"/>
          <w:u w:val="none"/>
          <w:effect w:val="none"/>
        </w:rPr>
        <w:t xml:space="preserve">Mr. Boussaid joined the Company on January 29, 2025, and was appointed Chief Financial Officer on February 25, 2025.  In connection with his appointment, Mr. Boussaid participated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in the Executive Severance Plan at the level of senior vice president. See “Mr. Boussaid Chief Financial Officer Appointment and Terms” above.</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(3)</w:t>
      </w:r>
      <w:r>
        <w:rPr>
          <w:rFonts w:ascii="Arial;sans-serif" w:hAnsi="Arial;sans-serif"/>
          <w:b w:val="false"/>
          <w:i w:val="false"/>
          <w:caps w:val="false"/>
          <w:smallCaps w:val="false"/>
          <w:strike w:val="false"/>
          <w:dstrike w:val="false"/>
          <w:sz w:val="12"/>
          <w:u w:val="none"/>
          <w:effect w:val="none"/>
        </w:rPr>
        <w:t xml:space="preserve">Mr. Dhingra was promoted from Vice President of Accounting to Senior Vice President, Finance and Accounting, on February 25, 2025. In connection with the promotion, his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participation level under our Executive Severance Plan has been adjusted into 9 months for severance not in connection with a Change in Control Termination, and 12 months for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severance in connection with a Change in Control Termination. See “Mr. Dhingra Interim Chief Financial Officer Terms and Promotion Terms” above. </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(4)</w:t>
      </w:r>
      <w:r>
        <w:rPr>
          <w:rFonts w:ascii="Arial;sans-serif" w:hAnsi="Arial;sans-serif"/>
          <w:b w:val="false"/>
          <w:i w:val="false"/>
          <w:caps w:val="false"/>
          <w:smallCaps w:val="false"/>
          <w:strike w:val="false"/>
          <w:dstrike w:val="false"/>
          <w:sz w:val="12"/>
          <w:u w:val="none"/>
          <w:effect w:val="none"/>
        </w:rPr>
        <w:t>Due to Mr. Bach’s separation in November 2025, he was not eligible for any benefits under the Executive Severance Plan as of December 31, 2025.</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(5)</w:t>
      </w:r>
      <w:r>
        <w:rPr>
          <w:rFonts w:ascii="Arial;sans-serif" w:hAnsi="Arial;sans-serif"/>
          <w:b w:val="false"/>
          <w:i w:val="false"/>
          <w:caps w:val="false"/>
          <w:smallCaps w:val="false"/>
          <w:strike w:val="false"/>
          <w:dstrike w:val="false"/>
          <w:sz w:val="12"/>
          <w:u w:val="none"/>
          <w:effect w:val="none"/>
        </w:rPr>
        <w:t xml:space="preserve">Mr. Rawlinson stepped aside as our CEO and Chief Technology Officer and was appointed as Strategic Technical Advisor to the Chairman of the Board on February 21, 2025.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Therefore, he is no longer participating in our Executive Severance Plan. See “Mr. Rawlinson Transition Agreement” above.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the terms of the Lucid Group, Inc. Vesting Acceleration Policy for Death and Disability (the “Acceleration Policy”),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NEOs who are currently employed are also entitled to accelerated vesting of all outstanding unvested time-based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performance-based equity awards in the event of death or disability, except to the extent the policy would be inconsistent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with the terms or provisions of any award agreement, employment agreement, or other plan or agreement. The Acceleration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Policy also does not apply to any equity awards granted to Mr. Rawlinson prior to September 15, 2021, the date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Acceleration Policy was adopted. Each NEO’s severance entitlements upon certain terminations of employment are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described in more detail below under “Potential Payments Upon Termination or Change in Control.”</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2021 CEO GRANT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March 2021, as previously disclosed, Mr. Rawlinson was granted (i) 1,383,475 RSUs vesting quarterly over a four-year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period beginning on December 5, 2021 (the “CEO Time-Based RSUs”); and (ii) 1,602,442 PSUs vesting in five tranches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each tranche tied to the attainment of market capitalization goals over the course of a five-year performance period as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sz w:val="18"/>
          <w:u w:val="none"/>
          <w:effect w:val="none"/>
        </w:rPr>
        <w:t>outlined below (the “CEO Performance RSUs”, and collectively, the “2021 CEO Grant”). All of</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8"/>
          <w:u w:val="none"/>
          <w:effect w:val="none"/>
        </w:rPr>
        <w:t>the 1,383,475 CEO Time-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Based RSUs have vested as of December 31, 2025. Of the 1,602,442 CEO Performance RSUs, as of December 31, 2025,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59</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1,393,428 have vested and 209,014 remain unvested. The unvested CEO Performance RSUs can be earned until July 23,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2026, subject to continued service as of each applicable vesting date.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Pursuant to the 2021 CEO Grant award agreement, with respect to the CEO Performance RSUs, in the event of a change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control of Lucid, the unvested amount will vest if the per-share price multiplied by the total number of outstanding shares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Common Stock exceeds certain previously disclosed market capitalization metrics. In addition, upon a private financing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public offering of our Common Stock with proceeds of at least $1 billion, if Lucid’s total market capitalization implied by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financing exceeds such market capitalization metrics, the CEO Performance RSUs associated with those metrics will vest.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Upon a termination of service without "cause" or upon a "constructive termination" (as each such term is defined in the 2021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CEO Grant award agreement), any unvested CEO Performance RSUs will remain outstanding and eligible to vest if Lucid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achieves certain market capitalization metrics within six months after such termination of continuous service. The CEO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Performance RSUs that do not vest by July 23, 2026 will be forfeited.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connection with Mr. Rawlinson’s transition to Strategic Technical Advisor to the Chairman of the Board, any unvested CEO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Performance RSUs remain outstanding and eligible to vest during his consulting term.</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COMPENSATION RECOUPMENT POLICY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November 13, 2023, the Company adopted a Compensation Recoupment Policy. The Compensation Recoupment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Policy, adopted in compliance with Exchange Act Rule 10D and the corresponding Nasdaq listing standards, applies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current and former executive officers of the Company. In the event the Company is required to restate its financial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statements as a result of events described in the Nasdaq listing standards effective October 2, 2023, the Compensation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Human Capital Committee is authorized to recover incentive compensation awarded to a covered executive in accordance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with the Compensation Recoupment Policy.</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2025 SAY-ON-PAY VOTE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At our 2025 annual meeting of stockholders, we held a non-binding advisory stockholder vote to approve the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program for our NEOs, commonly referred to as a “say-on-pay” vote. Approximately 99% of votes were cast in favor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say-on-pay proposal at our 2025 annual meeting of stockholders. The Compensation and Human Capital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considered the result of this advisory vote to be an endorsement of our compensation program, policies, practices,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philosophy for our NEOs. The committee will continue to consider the outcome of our say-on-pay votes and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stockholders’ views when making compensation decisions for our NEOs, including the outcome of Proposal No. 3 (non-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binding advisory vote to approve the compensation of our NEOs) at the Annual Meeting. Based on the results of a separate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non-binding advisory stockholder vote on the frequency of future stockholder advisory votes regarding the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program for our NEOs, commonly referred to as a “say on frequency” vote, held at our 2023 annual meeting of stockholders,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determined that we will hold our say-on-pay vote every year until the next required say on frequency vote. We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expect to hold our next advisory vote on the frequency of say-on-pay votes at our annual meeting in 2028.</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STOCK OWNERSHIP GUIDELINES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adopted Stock Ownership Guidelines in 2023. Under these guidelines, our non-employee directors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executives are expected to maintain a minimum equity stake in the Company. These guidelines embody the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Human Capital Committee’s belief that our directors and executives should maintain a significant personal financial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stake in the Company to align such individuals’ interests with our stockholders’ interests, which reduces the incentive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excessive short-term risk taking. Under the guidelines, each covered individual is intended to meet the following ownership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goal within five years of January 23, 2023, the effective date of the guidelines, or within five years of the first election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appointment as a covered individual, whichever comes later.</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60</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following Stock Ownership Guidelines applied to the NEOs with respect to their roles as of December 31, 2025:</w:t>
      </w:r>
    </w:p>
    <w:tbl>
      <w:tblPr>
        <w:tblW w:w="4810" w:type="dxa"/>
        <w:jc w:val="left"/>
        <w:tblInd w:w="0" w:type="dxa"/>
        <w:tblLayout w:type="fixed"/>
        <w:tblCellMar>
          <w:top w:w="28" w:type="dxa"/>
          <w:left w:w="28" w:type="dxa"/>
          <w:bottom w:w="28" w:type="dxa"/>
          <w:right w:w="28" w:type="dxa"/>
        </w:tblCellMar>
      </w:tblPr>
      <w:tblGrid>
        <w:gridCol w:w="124"/>
        <w:gridCol w:w="2086"/>
        <w:gridCol w:w="109"/>
        <w:gridCol w:w="2491"/>
      </w:tblGrid>
      <w:tr>
        <w:trPr/>
        <w:tc>
          <w:tcPr>
            <w:tcW w:w="12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0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49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08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Category of Covered Individual</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49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Ownership Goal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0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49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Non-Employee Director</w:t>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5x Annual Board Cash Retainer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Chief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6x Annual Base Salary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Senior Vice Presidents</w:t>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3x Annual Base Salary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Vice Presidents</w:t>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2x Annual Base Salary</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following shares subject to equity awards will be counted toward satisfaction of the ownership goal (in addition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outstanding shares of which the individual is the beneficial owner): (a) shares subject to unvested, or vested but unsettled,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RSU awards; and (b) shares subject to performance-based awards for which performance conditions have been satisfied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(i.e., earned performance awards at actual achievement, even if they remain subject to time-based vesting conditions).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following shares will not be counted toward satisfaction of the ownership goal: (a) shares subject to performance-based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awards for which the performance conditions have not yet been satisfied; (b) shares subject to unexercised stock options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stock appreciation rights, in each case, regardless of whether vested or “in-the-money”; and (c) shares subject to equity-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based awards that may only be settled in cash.</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TAX AND ACCOUNTING CONSIDERATIONS</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Deductibility of Executive Compensation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Section 162(m) of the Code generally imposes a $1.0 million cap on the federal income tax deduction for compensation paid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our “covered employees” during any fiscal year. While the Compensation and Human Capital Committee considers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deductibility of awards as one factor in determining executive compensation, the committee also looks at other factors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making its decisions, and, in the exercise of its business judgment and in accordance with its compensation philosophy,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retains the flexibility to award compensation even if the compensation is not deductible by us for tax purposes,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to modify compensation that was initially intended to be tax deductible if it determines such modifications are consistent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with our business needs. </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Accounting for Stock-Based Compensation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takes accounting considerations into account in designing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plans and arrangements for our NEOs and other employees. We follow Financial Accounting Standard Board Accounting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Standards Codification Topic 718 (FASB ASC Topic 718) for our stock-based compensation awards. FASB ASC Topic 718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requires us to measure the compensation expense for all share-based payment awards based on the grant date “fair value”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of these awards.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COMPENSATION RISK ASSESSMENT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believes that the design, implementation, and governance of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executive compensation program are consistent with high standards of risk management. Our executive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program reflects an appropriate mix of compensation elements, balancing current and long-term performance objectives,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cash and equity compensation, and risks and rewards.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Pay Governance annually conducts a detailed risk assessment of our compensation programs, employing a framework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assist the Compensation and Human Capital Committee in ascertaining any potential material adverse risks and how they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may link with our compensation programs. The results of Pay Governance’s risk assessment were presented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in December 2025. Based on the assessment, Pay Governance concluded, and the Compensation and Human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Capital Committee agreed, that our compensation programs do not create any potential risk that is reasonably likely to have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 material adverse effect on the Company.</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61</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Based on the above, we believe our executive compensation program effectively (i) ensures that our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opportunities do not encourage excessive risk taking, (ii) keeps our NEOs focused on the creation of long-term, sustainable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value for our stockholders, and (iii) provides competitive and appropriate levels of compensation over time.</w:t>
      </w:r>
    </w:p>
    <w:p>
      <w:pPr>
        <w:pStyle w:val="TextBody"/>
        <w:bidi w:val="0"/>
        <w:spacing w:lineRule="atLeast" w:line="180" w:before="0" w:after="0"/>
        <w:jc w:val="left"/>
        <w:rPr>
          <w:sz w:val="24"/>
        </w:rPr>
      </w:pPr>
      <w:r>
        <w:rPr>
          <w:rFonts w:ascii="Arial;sans-serif" w:hAnsi="Arial;sans-serif"/>
          <w:b/>
          <w:i w:val="false"/>
          <w:caps w:val="false"/>
          <w:smallCaps w:val="false"/>
          <w:strike w:val="false"/>
          <w:dstrike w:val="false"/>
          <w:sz w:val="18"/>
          <w:u w:val="none"/>
          <w:effect w:val="none"/>
        </w:rPr>
        <w:t xml:space="preserve">Equity Grant Practices. </w:t>
      </w:r>
      <w:r>
        <w:rPr>
          <w:rFonts w:ascii="Arial;sans-serif" w:hAnsi="Arial;sans-serif"/>
          <w:b w:val="false"/>
          <w:i w:val="false"/>
          <w:caps w:val="false"/>
          <w:smallCaps w:val="false"/>
          <w:strike w:val="false"/>
          <w:dstrike w:val="false"/>
          <w:sz w:val="18"/>
          <w:u w:val="none"/>
          <w:effect w:val="none"/>
        </w:rPr>
        <w:t xml:space="preserve">Although we do not have a formal policy regarding the timing of equity award grants, we generally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sz w:val="18"/>
          <w:u w:val="none"/>
          <w:effect w:val="none"/>
        </w:rPr>
        <w:t>grant annual equity awards to our NEOs on a pre-established date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8"/>
          <w:u w:val="none"/>
          <w:effect w:val="none"/>
        </w:rPr>
        <w:t>and we do not grant</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any form of equity compensation in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sz w:val="18"/>
          <w:u w:val="none"/>
          <w:effect w:val="none"/>
        </w:rPr>
        <w:t>anticipation of the release of material, non-public information.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8"/>
          <w:u w:val="none"/>
          <w:effect w:val="none"/>
        </w:rPr>
        <w:t>Similarly, we do not time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the release of material, non-public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information based on equity award grant dates for the purpose of affecting the value of any equity award. The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Human Capital Committee also does not take material, non-public information into account when determining the timing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terms of equity award grants, provided that, if material, non-public information becomes known to the committee prior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granting an equity award, the committee takes the existence of such information into consideration and uses its business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judgment to determine whether to delay the grant of equity to avoid any impropriety.</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62</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Compensation and Human Capital Committee Report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and Human Capital Committee has reviewed and discussed the foregoing Compensation Discussion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Analysis with management and, based on such review and discussions, the committee recommended to the Board that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Compensation Discussion and Analysis be included in this Proxy Statement and incorporated by reference into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Company’s Annual Report on Form 10-K for the fiscal year ended December 31, 2025.</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Andrew Liveris, Chair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Nichelle Maynard-Elliott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Ori Winitzer</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63</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2025 Summary Compensation Table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following table sets forth the compensation awarded to or paid to our NEOs for services rendered to the Company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during the years ended December 31, 2025, 2024 and 2023.</w:t>
      </w:r>
    </w:p>
    <w:tbl>
      <w:tblPr>
        <w:tblW w:w="9675" w:type="dxa"/>
        <w:jc w:val="left"/>
        <w:tblInd w:w="0" w:type="dxa"/>
        <w:tblLayout w:type="fixed"/>
        <w:tblCellMar>
          <w:top w:w="28" w:type="dxa"/>
          <w:left w:w="28" w:type="dxa"/>
          <w:bottom w:w="28" w:type="dxa"/>
          <w:right w:w="28" w:type="dxa"/>
        </w:tblCellMar>
      </w:tblPr>
      <w:tblGrid>
        <w:gridCol w:w="124"/>
        <w:gridCol w:w="2341"/>
        <w:gridCol w:w="466"/>
        <w:gridCol w:w="826"/>
        <w:gridCol w:w="226"/>
        <w:gridCol w:w="826"/>
        <w:gridCol w:w="226"/>
        <w:gridCol w:w="826"/>
        <w:gridCol w:w="826"/>
        <w:gridCol w:w="1021"/>
        <w:gridCol w:w="1006"/>
        <w:gridCol w:w="961"/>
      </w:tblGrid>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341" w:type="dxa"/>
            <w:tcBorders/>
            <w:shd w:fill="000000" w:val="clear"/>
            <w:vAlign w:val="center"/>
          </w:tcPr>
          <w:p>
            <w:pPr>
              <w:pStyle w:val="TableContents"/>
              <w:bidi w:val="0"/>
              <w:spacing w:before="0" w:after="283"/>
              <w:jc w:val="left"/>
              <w:rPr>
                <w:sz w:val="4"/>
                <w:szCs w:val="4"/>
              </w:rPr>
            </w:pPr>
            <w:r>
              <w:rPr>
                <w:sz w:val="4"/>
                <w:szCs w:val="4"/>
              </w:rPr>
            </w:r>
          </w:p>
        </w:tc>
        <w:tc>
          <w:tcPr>
            <w:tcW w:w="466"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226"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226"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1021"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before="0" w:after="283"/>
              <w:jc w:val="left"/>
              <w:rPr>
                <w:sz w:val="4"/>
                <w:szCs w:val="4"/>
              </w:rPr>
            </w:pPr>
            <w:r>
              <w:rPr>
                <w:sz w:val="4"/>
                <w:szCs w:val="4"/>
              </w:rPr>
            </w:r>
          </w:p>
        </w:tc>
        <w:tc>
          <w:tcPr>
            <w:tcW w:w="96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34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Name and Principal</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Position</w:t>
            </w:r>
            <w:r>
              <w:rPr>
                <w:rFonts w:ascii="Arial;sans-serif" w:hAnsi="Arial;sans-serif"/>
                <w:b/>
                <w:i w:val="false"/>
                <w:caps w:val="false"/>
                <w:smallCaps w:val="false"/>
                <w:strike w:val="false"/>
                <w:dstrike w:val="false"/>
                <w:color w:val="FEFEFE"/>
                <w:sz w:val="9"/>
                <w:u w:val="none"/>
                <w:effect w:val="none"/>
              </w:rPr>
              <w:t>(1)</w:t>
            </w:r>
          </w:p>
        </w:tc>
        <w:tc>
          <w:tcPr>
            <w:tcW w:w="46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Year </w:t>
            </w:r>
          </w:p>
        </w:tc>
        <w:tc>
          <w:tcPr>
            <w:tcW w:w="82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Salary</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(2)</w:t>
            </w:r>
          </w:p>
        </w:tc>
        <w:tc>
          <w:tcPr>
            <w:tcW w:w="226"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Bonus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226"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Stock</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Awards</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(3)</w:t>
            </w:r>
          </w:p>
        </w:tc>
        <w:tc>
          <w:tcPr>
            <w:tcW w:w="82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Option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Awards</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(3)</w:t>
            </w:r>
          </w:p>
        </w:tc>
        <w:tc>
          <w:tcPr>
            <w:tcW w:w="102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Non-Equity</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Incentive Plan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Compensation</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(4)</w:t>
            </w:r>
          </w:p>
        </w:tc>
        <w:tc>
          <w:tcPr>
            <w:tcW w:w="100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All Other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Compensation</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(5)</w:t>
            </w:r>
          </w:p>
        </w:tc>
        <w:tc>
          <w:tcPr>
            <w:tcW w:w="96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Total</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341" w:type="dxa"/>
            <w:tcBorders/>
            <w:shd w:fill="000000" w:val="clear"/>
            <w:vAlign w:val="center"/>
          </w:tcPr>
          <w:p>
            <w:pPr>
              <w:pStyle w:val="TableContents"/>
              <w:bidi w:val="0"/>
              <w:spacing w:before="0" w:after="283"/>
              <w:jc w:val="left"/>
              <w:rPr>
                <w:sz w:val="4"/>
                <w:szCs w:val="4"/>
              </w:rPr>
            </w:pPr>
            <w:r>
              <w:rPr>
                <w:sz w:val="4"/>
                <w:szCs w:val="4"/>
              </w:rPr>
            </w:r>
          </w:p>
        </w:tc>
        <w:tc>
          <w:tcPr>
            <w:tcW w:w="466"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226"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226"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1021"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before="0" w:after="283"/>
              <w:jc w:val="left"/>
              <w:rPr>
                <w:sz w:val="4"/>
                <w:szCs w:val="4"/>
              </w:rPr>
            </w:pPr>
            <w:r>
              <w:rPr>
                <w:sz w:val="4"/>
                <w:szCs w:val="4"/>
              </w:rPr>
            </w:r>
          </w:p>
        </w:tc>
        <w:tc>
          <w:tcPr>
            <w:tcW w:w="96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restart"/>
            <w:tcBorders/>
            <w:vAlign w:val="center"/>
          </w:tcPr>
          <w:p>
            <w:pPr>
              <w:pStyle w:val="TableContents"/>
              <w:bidi w:val="0"/>
              <w:spacing w:before="0" w:after="283"/>
              <w:jc w:val="left"/>
              <w:rPr>
                <w:sz w:val="4"/>
                <w:szCs w:val="4"/>
              </w:rPr>
            </w:pPr>
            <w:r>
              <w:rPr>
                <w:sz w:val="4"/>
                <w:szCs w:val="4"/>
              </w:rPr>
            </w:r>
          </w:p>
        </w:tc>
        <w:tc>
          <w:tcPr>
            <w:tcW w:w="2341" w:type="dxa"/>
            <w:vMerge w:val="restart"/>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Marc Winterhoff</w:t>
            </w:r>
          </w:p>
          <w:p>
            <w:pPr>
              <w:pStyle w:val="TableContents"/>
              <w:bidi w:val="0"/>
              <w:spacing w:lineRule="atLeast" w:line="160" w:before="0" w:after="0"/>
              <w:jc w:val="left"/>
              <w:rPr>
                <w:rFonts w:ascii="Arial;sans-serif" w:hAnsi="Arial;sans-serif"/>
                <w:b w:val="false"/>
                <w:i/>
                <w:strike w:val="false"/>
                <w:dstrike w:val="false"/>
                <w:sz w:val="16"/>
                <w:u w:val="none"/>
                <w:effect w:val="none"/>
              </w:rPr>
            </w:pPr>
            <w:r>
              <w:rPr>
                <w:rFonts w:ascii="Arial;sans-serif" w:hAnsi="Arial;sans-serif"/>
                <w:b w:val="false"/>
                <w:i/>
                <w:strike w:val="false"/>
                <w:dstrike w:val="false"/>
                <w:sz w:val="16"/>
                <w:u w:val="none"/>
                <w:effect w:val="none"/>
              </w:rPr>
              <w:t>Interim Chief Executive Officer</w:t>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2025</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842,000</w:t>
            </w:r>
          </w:p>
        </w:tc>
        <w:tc>
          <w:tcPr>
            <w:tcW w:w="2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(6)</w:t>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7,720,693</w:t>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675,000</w:t>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471,294</w:t>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9,708,987</w:t>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2024</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595,000</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5,320,323</w:t>
            </w:r>
          </w:p>
        </w:tc>
        <w:tc>
          <w:tcPr>
            <w:tcW w:w="8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697,757</w:t>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32,712</w:t>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6,645,792</w:t>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2023</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22,884</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3,350,000</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3,112,651</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2,006,087</w:t>
            </w:r>
          </w:p>
        </w:tc>
        <w:tc>
          <w:tcPr>
            <w:tcW w:w="102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70</w:t>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8,491,692</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vMerge w:val="restart"/>
            <w:tcBorders/>
            <w:vAlign w:val="center"/>
          </w:tcPr>
          <w:p>
            <w:pPr>
              <w:pStyle w:val="TableContents"/>
              <w:bidi w:val="0"/>
              <w:spacing w:before="0" w:after="283"/>
              <w:jc w:val="left"/>
              <w:rPr>
                <w:sz w:val="4"/>
                <w:szCs w:val="4"/>
              </w:rPr>
            </w:pPr>
            <w:r>
              <w:rPr>
                <w:sz w:val="4"/>
                <w:szCs w:val="4"/>
              </w:rPr>
            </w:r>
          </w:p>
        </w:tc>
        <w:tc>
          <w:tcPr>
            <w:tcW w:w="2341" w:type="dxa"/>
            <w:vMerge w:val="restart"/>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Taoufiq Boussaid</w:t>
            </w:r>
          </w:p>
          <w:p>
            <w:pPr>
              <w:pStyle w:val="TableContents"/>
              <w:bidi w:val="0"/>
              <w:spacing w:lineRule="atLeast" w:line="160" w:before="0" w:after="0"/>
              <w:jc w:val="left"/>
              <w:rPr>
                <w:rFonts w:ascii="Arial;sans-serif" w:hAnsi="Arial;sans-serif"/>
                <w:b w:val="false"/>
                <w:i/>
                <w:strike w:val="false"/>
                <w:dstrike w:val="false"/>
                <w:sz w:val="16"/>
                <w:u w:val="none"/>
                <w:effect w:val="none"/>
              </w:rPr>
            </w:pPr>
            <w:r>
              <w:rPr>
                <w:rFonts w:ascii="Arial;sans-serif" w:hAnsi="Arial;sans-serif"/>
                <w:b w:val="false"/>
                <w:i/>
                <w:strike w:val="false"/>
                <w:dstrike w:val="false"/>
                <w:sz w:val="16"/>
                <w:u w:val="none"/>
                <w:effect w:val="none"/>
              </w:rPr>
              <w:t>Chief Financial Officer</w:t>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2025</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508,654</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2,000,000</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7,917,174</w:t>
            </w:r>
          </w:p>
        </w:tc>
        <w:tc>
          <w:tcPr>
            <w:tcW w:w="8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 xml:space="preserve">518,000 </w:t>
            </w:r>
            <w:r>
              <w:rPr>
                <w:rFonts w:ascii="Arial;sans-serif" w:hAnsi="Arial;sans-serif"/>
                <w:b w:val="false"/>
                <w:i w:val="false"/>
                <w:caps w:val="false"/>
                <w:smallCaps w:val="false"/>
                <w:strike w:val="false"/>
                <w:dstrike w:val="false"/>
                <w:sz w:val="10"/>
                <w:u w:val="none"/>
                <w:effect w:val="none"/>
              </w:rPr>
              <w:t>(10)</w:t>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1,109,264</w:t>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12,053,092</w:t>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2024</w:t>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2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2023</w:t>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2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vMerge w:val="restart"/>
            <w:tcBorders/>
            <w:vAlign w:val="center"/>
          </w:tcPr>
          <w:p>
            <w:pPr>
              <w:pStyle w:val="TableContents"/>
              <w:bidi w:val="0"/>
              <w:spacing w:before="0" w:after="283"/>
              <w:jc w:val="left"/>
              <w:rPr>
                <w:sz w:val="4"/>
                <w:szCs w:val="4"/>
              </w:rPr>
            </w:pPr>
            <w:r>
              <w:rPr>
                <w:sz w:val="4"/>
                <w:szCs w:val="4"/>
              </w:rPr>
            </w:r>
          </w:p>
        </w:tc>
        <w:tc>
          <w:tcPr>
            <w:tcW w:w="2341" w:type="dxa"/>
            <w:vMerge w:val="restart"/>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Gagan Dhingra</w:t>
            </w:r>
          </w:p>
          <w:p>
            <w:pPr>
              <w:pStyle w:val="TableContents"/>
              <w:bidi w:val="0"/>
              <w:spacing w:lineRule="atLeast" w:line="160" w:before="0" w:after="0"/>
              <w:jc w:val="left"/>
              <w:rPr>
                <w:rFonts w:ascii="Arial;sans-serif" w:hAnsi="Arial;sans-serif"/>
                <w:b w:val="false"/>
                <w:i/>
                <w:strike w:val="false"/>
                <w:dstrike w:val="false"/>
                <w:sz w:val="16"/>
                <w:u w:val="none"/>
                <w:effect w:val="none"/>
              </w:rPr>
            </w:pPr>
            <w:r>
              <w:rPr>
                <w:rFonts w:ascii="Arial;sans-serif" w:hAnsi="Arial;sans-serif"/>
                <w:b w:val="false"/>
                <w:i/>
                <w:strike w:val="false"/>
                <w:dstrike w:val="false"/>
                <w:sz w:val="16"/>
                <w:u w:val="none"/>
                <w:effect w:val="none"/>
              </w:rPr>
              <w:t xml:space="preserve">Senior Vice President, </w:t>
            </w:r>
          </w:p>
          <w:p>
            <w:pPr>
              <w:pStyle w:val="TableContents"/>
              <w:bidi w:val="0"/>
              <w:spacing w:lineRule="atLeast" w:line="160" w:before="0" w:after="0"/>
              <w:jc w:val="left"/>
              <w:rPr>
                <w:rFonts w:ascii="Arial;sans-serif" w:hAnsi="Arial;sans-serif"/>
                <w:b w:val="false"/>
                <w:i/>
                <w:strike w:val="false"/>
                <w:dstrike w:val="false"/>
                <w:sz w:val="16"/>
                <w:u w:val="none"/>
                <w:effect w:val="none"/>
              </w:rPr>
            </w:pPr>
            <w:r>
              <w:rPr>
                <w:rFonts w:ascii="Arial;sans-serif" w:hAnsi="Arial;sans-serif"/>
                <w:b w:val="false"/>
                <w:i/>
                <w:strike w:val="false"/>
                <w:dstrike w:val="false"/>
                <w:sz w:val="16"/>
                <w:u w:val="none"/>
                <w:effect w:val="none"/>
              </w:rPr>
              <w:t xml:space="preserve">Finance and Accounting </w:t>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2025</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535,288</w:t>
            </w:r>
          </w:p>
        </w:tc>
        <w:tc>
          <w:tcPr>
            <w:tcW w:w="2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(7)</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283,334</w:t>
            </w:r>
          </w:p>
        </w:tc>
        <w:tc>
          <w:tcPr>
            <w:tcW w:w="2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(8)</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3,678,375</w:t>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286,000</w:t>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25,768</w:t>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4,808,765</w:t>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2024</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397,231</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200,000</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3,287,166</w:t>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390,900</w:t>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337,614</w:t>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4,612,911</w:t>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2023</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377,768</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68,000</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2,529,876</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430,229</w:t>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71,319</w:t>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73,384</w:t>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3,550,576</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vMerge w:val="restart"/>
            <w:tcBorders/>
            <w:vAlign w:val="center"/>
          </w:tcPr>
          <w:p>
            <w:pPr>
              <w:pStyle w:val="TableContents"/>
              <w:bidi w:val="0"/>
              <w:spacing w:before="0" w:after="283"/>
              <w:jc w:val="left"/>
              <w:rPr>
                <w:sz w:val="4"/>
                <w:szCs w:val="4"/>
              </w:rPr>
            </w:pPr>
            <w:r>
              <w:rPr>
                <w:sz w:val="4"/>
                <w:szCs w:val="4"/>
              </w:rPr>
            </w:r>
          </w:p>
        </w:tc>
        <w:tc>
          <w:tcPr>
            <w:tcW w:w="2341" w:type="dxa"/>
            <w:vMerge w:val="restart"/>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Eric Bach</w:t>
            </w:r>
          </w:p>
          <w:p>
            <w:pPr>
              <w:pStyle w:val="TableContents"/>
              <w:bidi w:val="0"/>
              <w:spacing w:lineRule="atLeast" w:line="160" w:before="0" w:after="0"/>
              <w:jc w:val="left"/>
              <w:rPr>
                <w:rFonts w:ascii="Arial;sans-serif" w:hAnsi="Arial;sans-serif"/>
                <w:b w:val="false"/>
                <w:i/>
                <w:strike w:val="false"/>
                <w:dstrike w:val="false"/>
                <w:sz w:val="16"/>
                <w:u w:val="none"/>
                <w:effect w:val="none"/>
              </w:rPr>
            </w:pPr>
            <w:r>
              <w:rPr>
                <w:rFonts w:ascii="Arial;sans-serif" w:hAnsi="Arial;sans-serif"/>
                <w:b w:val="false"/>
                <w:i/>
                <w:strike w:val="false"/>
                <w:dstrike w:val="false"/>
                <w:sz w:val="16"/>
                <w:u w:val="none"/>
                <w:effect w:val="none"/>
              </w:rPr>
              <w:t xml:space="preserve">Former Senior Vice President, </w:t>
            </w:r>
          </w:p>
          <w:p>
            <w:pPr>
              <w:pStyle w:val="TableContents"/>
              <w:bidi w:val="0"/>
              <w:spacing w:lineRule="atLeast" w:line="160" w:before="0" w:after="0"/>
              <w:jc w:val="left"/>
              <w:rPr>
                <w:rFonts w:ascii="Arial;sans-serif" w:hAnsi="Arial;sans-serif"/>
                <w:b w:val="false"/>
                <w:i/>
                <w:strike w:val="false"/>
                <w:dstrike w:val="false"/>
                <w:sz w:val="16"/>
                <w:u w:val="none"/>
                <w:effect w:val="none"/>
              </w:rPr>
            </w:pPr>
            <w:r>
              <w:rPr>
                <w:rFonts w:ascii="Arial;sans-serif" w:hAnsi="Arial;sans-serif"/>
                <w:b w:val="false"/>
                <w:i/>
                <w:strike w:val="false"/>
                <w:dstrike w:val="false"/>
                <w:sz w:val="16"/>
                <w:u w:val="none"/>
                <w:effect w:val="none"/>
              </w:rPr>
              <w:t>Product and Chief Engineer</w:t>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2025</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577,930</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3,243,000</w:t>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2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3,016</w:t>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3,823,946</w:t>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2024</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598,077</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9,861,505</w:t>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591,236</w:t>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141,660</w:t>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11,192,478</w:t>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2023</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534,423</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1,000,000</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7,159,781</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1,548,832</w:t>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196,035</w:t>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872</w:t>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10,439,943</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vMerge w:val="restart"/>
            <w:tcBorders/>
            <w:vAlign w:val="center"/>
          </w:tcPr>
          <w:p>
            <w:pPr>
              <w:pStyle w:val="TableContents"/>
              <w:bidi w:val="0"/>
              <w:spacing w:before="0" w:after="283"/>
              <w:jc w:val="left"/>
              <w:rPr>
                <w:sz w:val="4"/>
                <w:szCs w:val="4"/>
              </w:rPr>
            </w:pPr>
            <w:r>
              <w:rPr>
                <w:sz w:val="4"/>
                <w:szCs w:val="4"/>
              </w:rPr>
            </w:r>
          </w:p>
        </w:tc>
        <w:tc>
          <w:tcPr>
            <w:tcW w:w="2341" w:type="dxa"/>
            <w:vMerge w:val="restart"/>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Peter Rawlinson</w:t>
            </w:r>
          </w:p>
          <w:p>
            <w:pPr>
              <w:pStyle w:val="TableContents"/>
              <w:bidi w:val="0"/>
              <w:spacing w:lineRule="atLeast" w:line="160" w:before="0" w:after="0"/>
              <w:jc w:val="left"/>
              <w:rPr>
                <w:rFonts w:ascii="Arial;sans-serif" w:hAnsi="Arial;sans-serif"/>
                <w:b w:val="false"/>
                <w:i/>
                <w:strike w:val="false"/>
                <w:dstrike w:val="false"/>
                <w:sz w:val="16"/>
                <w:u w:val="none"/>
                <w:effect w:val="none"/>
              </w:rPr>
            </w:pPr>
            <w:r>
              <w:rPr>
                <w:rFonts w:ascii="Arial;sans-serif" w:hAnsi="Arial;sans-serif"/>
                <w:b w:val="false"/>
                <w:i/>
                <w:strike w:val="false"/>
                <w:dstrike w:val="false"/>
                <w:sz w:val="16"/>
                <w:u w:val="none"/>
                <w:effect w:val="none"/>
              </w:rPr>
              <w:t xml:space="preserve">Former Chief Executive </w:t>
            </w:r>
          </w:p>
          <w:p>
            <w:pPr>
              <w:pStyle w:val="TableContents"/>
              <w:bidi w:val="0"/>
              <w:spacing w:lineRule="atLeast" w:line="160" w:before="0" w:after="0"/>
              <w:jc w:val="left"/>
              <w:rPr>
                <w:rFonts w:ascii="Arial;sans-serif" w:hAnsi="Arial;sans-serif"/>
                <w:b w:val="false"/>
                <w:i/>
                <w:strike w:val="false"/>
                <w:dstrike w:val="false"/>
                <w:sz w:val="16"/>
                <w:u w:val="none"/>
                <w:effect w:val="none"/>
              </w:rPr>
            </w:pPr>
            <w:r>
              <w:rPr>
                <w:rFonts w:ascii="Arial;sans-serif" w:hAnsi="Arial;sans-serif"/>
                <w:b w:val="false"/>
                <w:i/>
                <w:strike w:val="false"/>
                <w:dstrike w:val="false"/>
                <w:sz w:val="16"/>
                <w:u w:val="none"/>
                <w:effect w:val="none"/>
              </w:rPr>
              <w:t xml:space="preserve">Officer and Chief Technology </w:t>
            </w:r>
          </w:p>
          <w:p>
            <w:pPr>
              <w:pStyle w:val="TableContents"/>
              <w:bidi w:val="0"/>
              <w:spacing w:lineRule="atLeast" w:line="160" w:before="0" w:after="0"/>
              <w:jc w:val="left"/>
              <w:rPr>
                <w:rFonts w:ascii="Arial;sans-serif" w:hAnsi="Arial;sans-serif"/>
                <w:b w:val="false"/>
                <w:i/>
                <w:strike w:val="false"/>
                <w:dstrike w:val="false"/>
                <w:sz w:val="16"/>
                <w:u w:val="none"/>
                <w:effect w:val="none"/>
              </w:rPr>
            </w:pPr>
            <w:r>
              <w:rPr>
                <w:rFonts w:ascii="Arial;sans-serif" w:hAnsi="Arial;sans-serif"/>
                <w:b w:val="false"/>
                <w:i/>
                <w:strike w:val="false"/>
                <w:dstrike w:val="false"/>
                <w:sz w:val="16"/>
                <w:u w:val="none"/>
                <w:effect w:val="none"/>
              </w:rPr>
              <w:t>Officer</w:t>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2025</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1,383,293</w:t>
            </w:r>
          </w:p>
        </w:tc>
        <w:tc>
          <w:tcPr>
            <w:tcW w:w="2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(9)</w:t>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2,058,676</w:t>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2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31,100</w:t>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3,473,069</w:t>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2024</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625,000</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814,375</w:t>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51,115</w:t>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1,490,490</w:t>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2341" w:type="dxa"/>
            <w:vMerge w:val="continue"/>
            <w:tcBorders/>
            <w:vAlign w:val="center"/>
          </w:tcPr>
          <w:p>
            <w:pPr>
              <w:pStyle w:val="Normal"/>
              <w:bidi w:val="0"/>
              <w:jc w:val="left"/>
              <w:rPr/>
            </w:pPr>
            <w:r>
              <w:rPr/>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2023</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584,615</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6,000,000</w:t>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233,377</w:t>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19,223</w:t>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6,837,215</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The principal positions reported in this table reflect each NEO’s title as of December 31, 2025.</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trike w:val="false"/>
          <w:dstrike w:val="false"/>
          <w:sz w:val="12"/>
          <w:u w:val="none"/>
          <w:effect w:val="none"/>
        </w:rPr>
        <w:t xml:space="preserve">Amounts reflect the base salary earned during the applicable year. For additional information, see “Analysis of 2025 Compensation — Base Salary” above. The amounts include base </w:t>
      </w:r>
    </w:p>
    <w:p>
      <w:pPr>
        <w:pStyle w:val="TextBody"/>
        <w:bidi w:val="0"/>
        <w:spacing w:lineRule="atLeast" w:line="142" w:before="0" w:after="0"/>
        <w:jc w:val="left"/>
        <w:rPr>
          <w:sz w:val="24"/>
        </w:rPr>
      </w:pPr>
      <w:r>
        <w:rPr>
          <w:rFonts w:ascii="Arial;sans-serif" w:hAnsi="Arial;sans-serif"/>
          <w:b w:val="false"/>
          <w:i w:val="false"/>
          <w:caps w:val="false"/>
          <w:smallCaps w:val="false"/>
          <w:strike w:val="false"/>
          <w:dstrike w:val="false"/>
          <w:sz w:val="12"/>
          <w:u w:val="none"/>
          <w:effect w:val="none"/>
        </w:rPr>
        <w:t>salary increases in 2025 for</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2"/>
          <w:u w:val="none"/>
          <w:effect w:val="none"/>
        </w:rPr>
        <w:t>Mr. Winterhoff</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2"/>
          <w:u w:val="none"/>
          <w:effect w:val="none"/>
        </w:rPr>
        <w:t xml:space="preserve">(increase of $39,000), Mr. Dhingra (increase of $75,000) and Mr. Bach (increase of $21,000) effective in March 2025 for Messrs. Dhingra and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Bach and April 2025 for Mr. Winterhoff. </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(3)</w:t>
      </w:r>
      <w:r>
        <w:rPr>
          <w:rFonts w:ascii="Arial;sans-serif" w:hAnsi="Arial;sans-serif"/>
          <w:b w:val="false"/>
          <w:i w:val="false"/>
          <w:caps w:val="false"/>
          <w:smallCaps w:val="false"/>
          <w:strike w:val="false"/>
          <w:dstrike w:val="false"/>
          <w:sz w:val="12"/>
          <w:u w:val="none"/>
          <w:effect w:val="none"/>
        </w:rPr>
        <w:t xml:space="preserve">The “Stock Awards” column reflects the aggregate grant date fair value of RSUs and PSUs granted, and the “Option Awards” column reflects the aggregate grant date value of stock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options granted, in each case, computed in accordance with FASB ASC Topic 718. The assumptions used to calculate the awards are disclosed in Footnote 10 to the audited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consolidated financial statements included in the Company’s Annual Report on Form 10-K for the fiscal year ended December 31, 2025. PSU values in the Stock Awards column are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based on performance achieved at target levels for the PSUs, which was the probable outcome of performance conditions as of the grant date for the PSUs. The grant date fair value of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each NEO’s PSUs for fiscal year 2025 if earned at maximum levels was $3,255,000; $6,524,159; $3,266,393; and $2,929,500 for Messrs. Winterhoff, Boussaid, Dhingra, and Bach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respectively.</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(4)</w:t>
      </w:r>
      <w:r>
        <w:rPr>
          <w:rFonts w:ascii="Arial;sans-serif" w:hAnsi="Arial;sans-serif"/>
          <w:b w:val="false"/>
          <w:i w:val="false"/>
          <w:caps w:val="false"/>
          <w:smallCaps w:val="false"/>
          <w:strike w:val="false"/>
          <w:dstrike w:val="false"/>
          <w:sz w:val="12"/>
          <w:u w:val="none"/>
          <w:effect w:val="none"/>
        </w:rPr>
        <w:t xml:space="preserve">This column reflects amounts earned under our Annual Incentive Plan Program.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64</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(5)</w:t>
      </w:r>
      <w:r>
        <w:rPr>
          <w:rFonts w:ascii="Arial;sans-serif" w:hAnsi="Arial;sans-serif"/>
          <w:b w:val="false"/>
          <w:i w:val="false"/>
          <w:caps w:val="false"/>
          <w:smallCaps w:val="false"/>
          <w:strike w:val="false"/>
          <w:dstrike w:val="false"/>
          <w:sz w:val="12"/>
          <w:u w:val="none"/>
          <w:effect w:val="none"/>
        </w:rPr>
        <w:t>The value includes the following personal perquisites and other compensation:</w:t>
      </w:r>
    </w:p>
    <w:tbl>
      <w:tblPr>
        <w:tblW w:w="8036" w:type="dxa"/>
        <w:jc w:val="left"/>
        <w:tblInd w:w="0" w:type="dxa"/>
        <w:tblLayout w:type="fixed"/>
        <w:tblCellMar>
          <w:top w:w="28" w:type="dxa"/>
          <w:left w:w="28" w:type="dxa"/>
          <w:bottom w:w="28" w:type="dxa"/>
          <w:right w:w="28" w:type="dxa"/>
        </w:tblCellMar>
      </w:tblPr>
      <w:tblGrid>
        <w:gridCol w:w="124"/>
        <w:gridCol w:w="1756"/>
        <w:gridCol w:w="109"/>
        <w:gridCol w:w="611"/>
        <w:gridCol w:w="229"/>
        <w:gridCol w:w="109"/>
        <w:gridCol w:w="601"/>
        <w:gridCol w:w="226"/>
        <w:gridCol w:w="109"/>
        <w:gridCol w:w="826"/>
        <w:gridCol w:w="196"/>
        <w:gridCol w:w="109"/>
        <w:gridCol w:w="856"/>
        <w:gridCol w:w="109"/>
        <w:gridCol w:w="109"/>
        <w:gridCol w:w="886"/>
        <w:gridCol w:w="109"/>
        <w:gridCol w:w="691"/>
        <w:gridCol w:w="271"/>
      </w:tblGrid>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11" w:type="dxa"/>
            <w:tcBorders/>
            <w:shd w:fill="000000" w:val="clear"/>
            <w:vAlign w:val="center"/>
          </w:tcPr>
          <w:p>
            <w:pPr>
              <w:pStyle w:val="TableContents"/>
              <w:bidi w:val="0"/>
              <w:spacing w:before="0" w:after="283"/>
              <w:jc w:val="left"/>
              <w:rPr>
                <w:sz w:val="4"/>
                <w:szCs w:val="4"/>
              </w:rPr>
            </w:pPr>
            <w:r>
              <w:rPr>
                <w:sz w:val="4"/>
                <w:szCs w:val="4"/>
              </w:rPr>
            </w:r>
          </w:p>
        </w:tc>
        <w:tc>
          <w:tcPr>
            <w:tcW w:w="229"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01" w:type="dxa"/>
            <w:tcBorders/>
            <w:shd w:fill="000000" w:val="clear"/>
            <w:vAlign w:val="center"/>
          </w:tcPr>
          <w:p>
            <w:pPr>
              <w:pStyle w:val="TableContents"/>
              <w:bidi w:val="0"/>
              <w:spacing w:before="0" w:after="283"/>
              <w:jc w:val="left"/>
              <w:rPr>
                <w:sz w:val="4"/>
                <w:szCs w:val="4"/>
              </w:rPr>
            </w:pPr>
            <w:r>
              <w:rPr>
                <w:sz w:val="4"/>
                <w:szCs w:val="4"/>
              </w:rPr>
            </w:r>
          </w:p>
        </w:tc>
        <w:tc>
          <w:tcPr>
            <w:tcW w:w="22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19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91" w:type="dxa"/>
            <w:tcBorders/>
            <w:shd w:fill="000000" w:val="clear"/>
            <w:vAlign w:val="center"/>
          </w:tcPr>
          <w:p>
            <w:pPr>
              <w:pStyle w:val="TableContents"/>
              <w:bidi w:val="0"/>
              <w:spacing w:before="0" w:after="283"/>
              <w:jc w:val="left"/>
              <w:rPr>
                <w:sz w:val="4"/>
                <w:szCs w:val="4"/>
              </w:rPr>
            </w:pPr>
            <w:r>
              <w:rPr>
                <w:sz w:val="4"/>
                <w:szCs w:val="4"/>
              </w:rPr>
            </w:r>
          </w:p>
        </w:tc>
        <w:tc>
          <w:tcPr>
            <w:tcW w:w="27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Named Executive Officer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40" w:type="dxa"/>
            <w:gridSpan w:val="2"/>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Company-</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Provided</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Vehicle ($)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27" w:type="dxa"/>
            <w:gridSpan w:val="2"/>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Lease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Buyout ($)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Relocation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19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5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Executive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Security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All Other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Perquisites </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(h)</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62" w:type="dxa"/>
            <w:gridSpan w:val="2"/>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Other ($)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7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11" w:type="dxa"/>
            <w:tcBorders/>
            <w:shd w:fill="000000" w:val="clear"/>
            <w:vAlign w:val="center"/>
          </w:tcPr>
          <w:p>
            <w:pPr>
              <w:pStyle w:val="TableContents"/>
              <w:bidi w:val="0"/>
              <w:spacing w:before="0" w:after="283"/>
              <w:jc w:val="left"/>
              <w:rPr>
                <w:sz w:val="4"/>
                <w:szCs w:val="4"/>
              </w:rPr>
            </w:pPr>
            <w:r>
              <w:rPr>
                <w:sz w:val="4"/>
                <w:szCs w:val="4"/>
              </w:rPr>
            </w:r>
          </w:p>
        </w:tc>
        <w:tc>
          <w:tcPr>
            <w:tcW w:w="229"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01" w:type="dxa"/>
            <w:tcBorders/>
            <w:shd w:fill="000000" w:val="clear"/>
            <w:vAlign w:val="center"/>
          </w:tcPr>
          <w:p>
            <w:pPr>
              <w:pStyle w:val="TableContents"/>
              <w:bidi w:val="0"/>
              <w:spacing w:before="0" w:after="283"/>
              <w:jc w:val="left"/>
              <w:rPr>
                <w:sz w:val="4"/>
                <w:szCs w:val="4"/>
              </w:rPr>
            </w:pPr>
            <w:r>
              <w:rPr>
                <w:sz w:val="4"/>
                <w:szCs w:val="4"/>
              </w:rPr>
            </w:r>
          </w:p>
        </w:tc>
        <w:tc>
          <w:tcPr>
            <w:tcW w:w="22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19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91" w:type="dxa"/>
            <w:tcBorders/>
            <w:shd w:fill="000000" w:val="clear"/>
            <w:vAlign w:val="center"/>
          </w:tcPr>
          <w:p>
            <w:pPr>
              <w:pStyle w:val="TableContents"/>
              <w:bidi w:val="0"/>
              <w:spacing w:before="0" w:after="283"/>
              <w:jc w:val="left"/>
              <w:rPr>
                <w:sz w:val="4"/>
                <w:szCs w:val="4"/>
              </w:rPr>
            </w:pPr>
            <w:r>
              <w:rPr>
                <w:sz w:val="4"/>
                <w:szCs w:val="4"/>
              </w:rPr>
            </w:r>
          </w:p>
        </w:tc>
        <w:tc>
          <w:tcPr>
            <w:tcW w:w="27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Marc Winterhoff</w:t>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26,348</w:t>
            </w:r>
          </w:p>
        </w:tc>
        <w:tc>
          <w:tcPr>
            <w:tcW w:w="229"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(a)</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58,798</w:t>
            </w:r>
          </w:p>
        </w:tc>
        <w:tc>
          <w:tcPr>
            <w:tcW w:w="2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(b)</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385,118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1,030</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71"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Taoufiq Boussaid</w:t>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28,130</w:t>
            </w:r>
          </w:p>
        </w:tc>
        <w:tc>
          <w:tcPr>
            <w:tcW w:w="229"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(c)</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945,318</w:t>
            </w:r>
          </w:p>
        </w:tc>
        <w:tc>
          <w:tcPr>
            <w:tcW w:w="19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(f)</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34,786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1,030</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100,000</w:t>
            </w:r>
          </w:p>
        </w:tc>
        <w:tc>
          <w:tcPr>
            <w:tcW w:w="2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(g)</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Gagan Dhingra</w:t>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24,738</w:t>
            </w:r>
          </w:p>
        </w:tc>
        <w:tc>
          <w:tcPr>
            <w:tcW w:w="229"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(d)</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1,030</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71"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Eric Bach </w:t>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3,106</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71"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Peter Rawlinson</w:t>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5,658</w:t>
            </w:r>
          </w:p>
        </w:tc>
        <w:tc>
          <w:tcPr>
            <w:tcW w:w="229"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(e)</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18,292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7,150</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71"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(a)</w:t>
      </w:r>
      <w:r>
        <w:rPr>
          <w:rFonts w:ascii="Arial;sans-serif" w:hAnsi="Arial;sans-serif"/>
          <w:b w:val="false"/>
          <w:i w:val="false"/>
          <w:caps w:val="false"/>
          <w:smallCaps w:val="false"/>
          <w:strike w:val="false"/>
          <w:dstrike w:val="false"/>
          <w:sz w:val="12"/>
          <w:u w:val="none"/>
          <w:effect w:val="none"/>
        </w:rPr>
        <w:t>Income includes $12,969 for the Company-provided Lucid Air vehicle and $13,379 for the related tax gross-up.</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(b)</w:t>
      </w:r>
      <w:r>
        <w:rPr>
          <w:rFonts w:ascii="Arial;sans-serif" w:hAnsi="Arial;sans-serif"/>
          <w:b w:val="false"/>
          <w:i w:val="false"/>
          <w:caps w:val="false"/>
          <w:smallCaps w:val="false"/>
          <w:strike w:val="false"/>
          <w:dstrike w:val="false"/>
          <w:sz w:val="12"/>
          <w:u w:val="none"/>
          <w:effect w:val="none"/>
        </w:rPr>
        <w:t>Income includes $27,135 for the Company buyout of employee-leased Lucid Air vehicle and $31,663 for the related tax gross-up.</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(c)</w:t>
      </w:r>
      <w:r>
        <w:rPr>
          <w:rFonts w:ascii="Arial;sans-serif" w:hAnsi="Arial;sans-serif"/>
          <w:b w:val="false"/>
          <w:i w:val="false"/>
          <w:caps w:val="false"/>
          <w:smallCaps w:val="false"/>
          <w:strike w:val="false"/>
          <w:dstrike w:val="false"/>
          <w:sz w:val="12"/>
          <w:u w:val="none"/>
          <w:effect w:val="none"/>
        </w:rPr>
        <w:t>Income includes $13,846 for the Company-provided Lucid Air vehicle and $14,284 for the related tax gross-up.</w:t>
      </w:r>
    </w:p>
    <w:p>
      <w:pPr>
        <w:pStyle w:val="TextBody"/>
        <w:bidi w:val="0"/>
        <w:spacing w:lineRule="atLeast" w:line="142" w:before="0" w:after="0"/>
        <w:jc w:val="left"/>
        <w:rPr>
          <w:sz w:val="24"/>
        </w:rPr>
      </w:pPr>
      <w:r>
        <w:rPr>
          <w:rFonts w:ascii="Arial;sans-serif" w:hAnsi="Arial;sans-serif"/>
          <w:b w:val="false"/>
          <w:i w:val="false"/>
          <w:caps w:val="false"/>
          <w:smallCaps w:val="false"/>
          <w:strike w:val="false"/>
          <w:dstrike w:val="false"/>
          <w:sz w:val="8"/>
          <w:u w:val="none"/>
          <w:effect w:val="none"/>
        </w:rPr>
        <w:t>(d)</w:t>
      </w:r>
      <w:r>
        <w:rPr>
          <w:rFonts w:ascii="Arial;sans-serif" w:hAnsi="Arial;sans-serif"/>
          <w:b w:val="false"/>
          <w:i w:val="false"/>
          <w:caps w:val="false"/>
          <w:smallCaps w:val="false"/>
          <w:strike w:val="false"/>
          <w:dstrike w:val="false"/>
          <w:sz w:val="12"/>
          <w:u w:val="none"/>
          <w:effect w:val="none"/>
        </w:rPr>
        <w:t>Income includes $12,176 for the Company-provided Lucid Air vehicle and $12,562 for the related tax gross-up.</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(e)</w:t>
      </w:r>
      <w:r>
        <w:rPr>
          <w:rFonts w:ascii="Arial;sans-serif" w:hAnsi="Arial;sans-serif"/>
          <w:b w:val="false"/>
          <w:i w:val="false"/>
          <w:caps w:val="false"/>
          <w:smallCaps w:val="false"/>
          <w:strike w:val="false"/>
          <w:dstrike w:val="false"/>
          <w:sz w:val="12"/>
          <w:u w:val="none"/>
          <w:effect w:val="none"/>
        </w:rPr>
        <w:t>Income includes $2,785 for the Company-provided Lucid Air vehicle and $2,873 for the related tax gross-up.</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(f)</w:t>
      </w:r>
      <w:r>
        <w:rPr>
          <w:rFonts w:ascii="Arial;sans-serif" w:hAnsi="Arial;sans-serif"/>
          <w:b w:val="false"/>
          <w:i w:val="false"/>
          <w:caps w:val="false"/>
          <w:smallCaps w:val="false"/>
          <w:strike w:val="false"/>
          <w:dstrike w:val="false"/>
          <w:sz w:val="12"/>
          <w:u w:val="none"/>
          <w:effect w:val="none"/>
        </w:rPr>
        <w:t>Income includes $500,000 for relocation, $249,803 for the relocation managed move and housing reimbursement and $195,515 for the relocation managed move gross-up.</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(g)</w:t>
      </w:r>
      <w:r>
        <w:rPr>
          <w:rFonts w:ascii="Arial;sans-serif" w:hAnsi="Arial;sans-serif"/>
          <w:b w:val="false"/>
          <w:i w:val="false"/>
          <w:caps w:val="false"/>
          <w:smallCaps w:val="false"/>
          <w:strike w:val="false"/>
          <w:dstrike w:val="false"/>
          <w:sz w:val="12"/>
          <w:u w:val="none"/>
          <w:effect w:val="none"/>
        </w:rPr>
        <w:t xml:space="preserve">Income includes $100,000 annual stipend to defray Mr. Boussaid family’s costs to participate in the French retirement system, to retain necessary multinational taxation firms, and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other support needed for future repatriation to France. The annual stipend was increased to $200,000 in 2026 based on an updated assessment of Mr. Boussaid’s personal cost to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participate in the French retirement system.</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(h)</w:t>
      </w:r>
      <w:r>
        <w:rPr>
          <w:rFonts w:ascii="Arial;sans-serif" w:hAnsi="Arial;sans-serif"/>
          <w:b w:val="false"/>
          <w:i w:val="false"/>
          <w:caps w:val="false"/>
          <w:smallCaps w:val="false"/>
          <w:strike w:val="false"/>
          <w:dstrike w:val="false"/>
          <w:sz w:val="12"/>
          <w:u w:val="none"/>
          <w:effect w:val="none"/>
        </w:rPr>
        <w:t>Amount includes executive disability premiums for each NEO and the incremental cost of an executive physical benefit for Mr. Bach and COBRA paid for Mr. Rawlinson.</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(6)</w:t>
      </w:r>
      <w:r>
        <w:rPr>
          <w:rFonts w:ascii="Arial;sans-serif" w:hAnsi="Arial;sans-serif"/>
          <w:b w:val="false"/>
          <w:i w:val="false"/>
          <w:caps w:val="false"/>
          <w:smallCaps w:val="false"/>
          <w:strike w:val="false"/>
          <w:dstrike w:val="false"/>
          <w:sz w:val="12"/>
          <w:u w:val="none"/>
          <w:effect w:val="none"/>
        </w:rPr>
        <w:t>The amount includes the stipend of $20,000 per month for each month or partial month that Mr. Winterhoff serves as our Interim Chief Executive Officer.</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(7)</w:t>
      </w:r>
      <w:r>
        <w:rPr>
          <w:rFonts w:ascii="Arial;sans-serif" w:hAnsi="Arial;sans-serif"/>
          <w:b w:val="false"/>
          <w:i w:val="false"/>
          <w:caps w:val="false"/>
          <w:smallCaps w:val="false"/>
          <w:strike w:val="false"/>
          <w:dstrike w:val="false"/>
          <w:sz w:val="12"/>
          <w:u w:val="none"/>
          <w:effect w:val="none"/>
        </w:rPr>
        <w:t xml:space="preserve">The amount includes the prorated the stipend of $25,000 per month during his tenure as our Interim Chief Financial Officer in 2025. The final payment of Mr. Dhingra’s monthly stipend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was completed on March 28, 2025.</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(8)</w:t>
      </w:r>
      <w:r>
        <w:rPr>
          <w:rFonts w:ascii="Arial;sans-serif" w:hAnsi="Arial;sans-serif"/>
          <w:b w:val="false"/>
          <w:i w:val="false"/>
          <w:caps w:val="false"/>
          <w:smallCaps w:val="false"/>
          <w:strike w:val="false"/>
          <w:dstrike w:val="false"/>
          <w:sz w:val="12"/>
          <w:u w:val="none"/>
          <w:effect w:val="none"/>
        </w:rPr>
        <w:t xml:space="preserve">Mr. Dhingra received a discretionary bonus of $250,000 for his performance as our Interim Chief Financial Officer and a prorated quarterly bonus of $33,334 during his tenure as our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Interim Chief Financial Officer in 2025. The final payment of Mr. Dhingra’s quarterly bonus was completed on March 28, 2025.</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(9)</w:t>
      </w:r>
      <w:r>
        <w:rPr>
          <w:rFonts w:ascii="Arial;sans-serif" w:hAnsi="Arial;sans-serif"/>
          <w:b w:val="false"/>
          <w:i w:val="false"/>
          <w:caps w:val="false"/>
          <w:smallCaps w:val="false"/>
          <w:strike w:val="false"/>
          <w:dstrike w:val="false"/>
          <w:sz w:val="12"/>
          <w:u w:val="none"/>
          <w:effect w:val="none"/>
        </w:rPr>
        <w:t xml:space="preserve">Mr. Rawlinson was appointed as Strategic Technical Advisor to the Chairman of the Board on February 21, 2025. In connection with such transition, he began receiving a monthly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payment of $120,000 for services rendered during the 24</w:t>
        <w:noBreakHyphen/>
        <w:t>month consulting term starting in February 2025, which is included in the “Salary” column.</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(10)</w:t>
      </w:r>
      <w:r>
        <w:rPr>
          <w:rFonts w:ascii="Arial;sans-serif" w:hAnsi="Arial;sans-serif"/>
          <w:b w:val="false"/>
          <w:i w:val="false"/>
          <w:caps w:val="false"/>
          <w:smallCaps w:val="false"/>
          <w:strike w:val="false"/>
          <w:dstrike w:val="false"/>
          <w:sz w:val="12"/>
          <w:u w:val="none"/>
          <w:effect w:val="none"/>
        </w:rPr>
        <w:t xml:space="preserve">Pursuant to the terms of the offer letter in connection with Mr. Boussaid’s employment with the Company on January 29, 2025, for fiscal year 2025, Mr. Boussaid received an AIP payout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of 90% of his base salary, which the Compensation and Human Capital Committee rounded up to $518,000.</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65</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Grants of Plan-Based Awards</w:t>
      </w:r>
    </w:p>
    <w:tbl>
      <w:tblPr>
        <w:tblW w:w="9379" w:type="dxa"/>
        <w:jc w:val="left"/>
        <w:tblInd w:w="0" w:type="dxa"/>
        <w:tblLayout w:type="fixed"/>
        <w:tblCellMar>
          <w:top w:w="28" w:type="dxa"/>
          <w:left w:w="28" w:type="dxa"/>
          <w:bottom w:w="28" w:type="dxa"/>
          <w:right w:w="28" w:type="dxa"/>
        </w:tblCellMar>
      </w:tblPr>
      <w:tblGrid>
        <w:gridCol w:w="124"/>
        <w:gridCol w:w="1516"/>
        <w:gridCol w:w="841"/>
        <w:gridCol w:w="811"/>
        <w:gridCol w:w="811"/>
        <w:gridCol w:w="766"/>
        <w:gridCol w:w="346"/>
        <w:gridCol w:w="781"/>
        <w:gridCol w:w="766"/>
        <w:gridCol w:w="766"/>
        <w:gridCol w:w="109"/>
        <w:gridCol w:w="766"/>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516" w:type="dxa"/>
            <w:tcBorders/>
            <w:shd w:fill="000000" w:val="clear"/>
            <w:vAlign w:val="center"/>
          </w:tcPr>
          <w:p>
            <w:pPr>
              <w:pStyle w:val="TableContents"/>
              <w:bidi w:val="0"/>
              <w:spacing w:before="0" w:after="283"/>
              <w:jc w:val="left"/>
              <w:rPr>
                <w:sz w:val="4"/>
                <w:szCs w:val="4"/>
              </w:rPr>
            </w:pPr>
            <w:r>
              <w:rPr>
                <w:sz w:val="4"/>
                <w:szCs w:val="4"/>
              </w:rPr>
            </w:r>
          </w:p>
        </w:tc>
        <w:tc>
          <w:tcPr>
            <w:tcW w:w="841"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shd w:fill="000000" w:val="clear"/>
            <w:vAlign w:val="center"/>
          </w:tcPr>
          <w:p>
            <w:pPr>
              <w:pStyle w:val="TableContents"/>
              <w:bidi w:val="0"/>
              <w:spacing w:before="0" w:after="283"/>
              <w:jc w:val="left"/>
              <w:rPr>
                <w:sz w:val="4"/>
                <w:szCs w:val="4"/>
              </w:rPr>
            </w:pPr>
            <w:r>
              <w:rPr>
                <w:sz w:val="4"/>
                <w:szCs w:val="4"/>
              </w:rPr>
            </w:r>
          </w:p>
        </w:tc>
        <w:tc>
          <w:tcPr>
            <w:tcW w:w="766" w:type="dxa"/>
            <w:tcBorders/>
            <w:shd w:fill="000000" w:val="clear"/>
            <w:vAlign w:val="center"/>
          </w:tcPr>
          <w:p>
            <w:pPr>
              <w:pStyle w:val="TableContents"/>
              <w:bidi w:val="0"/>
              <w:spacing w:before="0" w:after="283"/>
              <w:jc w:val="left"/>
              <w:rPr>
                <w:sz w:val="4"/>
                <w:szCs w:val="4"/>
              </w:rPr>
            </w:pPr>
            <w:r>
              <w:rPr>
                <w:sz w:val="4"/>
                <w:szCs w:val="4"/>
              </w:rPr>
            </w:r>
          </w:p>
        </w:tc>
        <w:tc>
          <w:tcPr>
            <w:tcW w:w="346" w:type="dxa"/>
            <w:tcBorders/>
            <w:shd w:fill="000000" w:val="clear"/>
            <w:vAlign w:val="center"/>
          </w:tcPr>
          <w:p>
            <w:pPr>
              <w:pStyle w:val="TableContents"/>
              <w:bidi w:val="0"/>
              <w:spacing w:before="0" w:after="283"/>
              <w:jc w:val="left"/>
              <w:rPr>
                <w:sz w:val="4"/>
                <w:szCs w:val="4"/>
              </w:rPr>
            </w:pPr>
            <w:r>
              <w:rPr>
                <w:sz w:val="4"/>
                <w:szCs w:val="4"/>
              </w:rPr>
            </w:r>
          </w:p>
        </w:tc>
        <w:tc>
          <w:tcPr>
            <w:tcW w:w="781" w:type="dxa"/>
            <w:tcBorders/>
            <w:shd w:fill="000000" w:val="clear"/>
            <w:vAlign w:val="center"/>
          </w:tcPr>
          <w:p>
            <w:pPr>
              <w:pStyle w:val="TableContents"/>
              <w:bidi w:val="0"/>
              <w:spacing w:before="0" w:after="283"/>
              <w:jc w:val="left"/>
              <w:rPr>
                <w:sz w:val="4"/>
                <w:szCs w:val="4"/>
              </w:rPr>
            </w:pPr>
            <w:r>
              <w:rPr>
                <w:sz w:val="4"/>
                <w:szCs w:val="4"/>
              </w:rPr>
            </w:r>
          </w:p>
        </w:tc>
        <w:tc>
          <w:tcPr>
            <w:tcW w:w="766" w:type="dxa"/>
            <w:tcBorders/>
            <w:shd w:fill="000000" w:val="clear"/>
            <w:vAlign w:val="center"/>
          </w:tcPr>
          <w:p>
            <w:pPr>
              <w:pStyle w:val="TableContents"/>
              <w:bidi w:val="0"/>
              <w:spacing w:before="0" w:after="283"/>
              <w:jc w:val="left"/>
              <w:rPr>
                <w:sz w:val="4"/>
                <w:szCs w:val="4"/>
              </w:rPr>
            </w:pPr>
            <w:r>
              <w:rPr>
                <w:sz w:val="4"/>
                <w:szCs w:val="4"/>
              </w:rPr>
            </w:r>
          </w:p>
        </w:tc>
        <w:tc>
          <w:tcPr>
            <w:tcW w:w="76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66" w:type="dxa"/>
            <w:tcBorders/>
            <w:shd w:fill="000000" w:val="clear"/>
            <w:vAlign w:val="center"/>
          </w:tcPr>
          <w:p>
            <w:pPr>
              <w:pStyle w:val="TableContents"/>
              <w:bidi w:val="0"/>
              <w:spacing w:before="0" w:after="283"/>
              <w:jc w:val="left"/>
              <w:rPr>
                <w:sz w:val="4"/>
                <w:szCs w:val="4"/>
              </w:rPr>
            </w:pPr>
            <w:r>
              <w:rPr>
                <w:sz w:val="4"/>
                <w:szCs w:val="4"/>
              </w:rPr>
            </w:r>
          </w:p>
        </w:tc>
        <w:tc>
          <w:tcPr>
            <w:tcW w:w="976"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51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 </w:t>
            </w:r>
          </w:p>
        </w:tc>
        <w:tc>
          <w:tcPr>
            <w:tcW w:w="84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Grant Date </w:t>
            </w:r>
          </w:p>
        </w:tc>
        <w:tc>
          <w:tcPr>
            <w:tcW w:w="2388" w:type="dxa"/>
            <w:gridSpan w:val="3"/>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Estimated Possible Payouts Under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Non-Equity Incentive Plan Awards </w:t>
            </w:r>
          </w:p>
        </w:tc>
        <w:tc>
          <w:tcPr>
            <w:tcW w:w="346" w:type="dxa"/>
            <w:tcBorders/>
            <w:shd w:fill="000000" w:val="clear"/>
            <w:vAlign w:val="center"/>
          </w:tcPr>
          <w:p>
            <w:pPr>
              <w:pStyle w:val="TableContents"/>
              <w:bidi w:val="0"/>
              <w:spacing w:before="0" w:after="283"/>
              <w:jc w:val="left"/>
              <w:rPr>
                <w:sz w:val="4"/>
                <w:szCs w:val="4"/>
              </w:rPr>
            </w:pPr>
            <w:r>
              <w:rPr>
                <w:sz w:val="4"/>
                <w:szCs w:val="4"/>
              </w:rPr>
            </w:r>
          </w:p>
        </w:tc>
        <w:tc>
          <w:tcPr>
            <w:tcW w:w="2313" w:type="dxa"/>
            <w:gridSpan w:val="3"/>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Estimated Future Payouts Under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Equity Incentive Plan Awards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66" w:type="dxa"/>
            <w:vMerge w:val="restart"/>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All Other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Stock</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Awards: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Number of</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Shares of</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Stock or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Units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976" w:type="dxa"/>
            <w:vMerge w:val="restart"/>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Grant Date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Fair Value of</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Stock and</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Option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Awards</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(4)</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516" w:type="dxa"/>
            <w:tcBorders/>
            <w:shd w:fill="000000" w:val="clear"/>
            <w:vAlign w:val="center"/>
          </w:tcPr>
          <w:p>
            <w:pPr>
              <w:pStyle w:val="TableContents"/>
              <w:bidi w:val="0"/>
              <w:spacing w:before="0" w:after="283"/>
              <w:jc w:val="left"/>
              <w:rPr>
                <w:sz w:val="4"/>
                <w:szCs w:val="4"/>
              </w:rPr>
            </w:pPr>
            <w:r>
              <w:rPr>
                <w:sz w:val="4"/>
                <w:szCs w:val="4"/>
              </w:rPr>
            </w:r>
          </w:p>
        </w:tc>
        <w:tc>
          <w:tcPr>
            <w:tcW w:w="841"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000000"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66" w:type="dxa"/>
            <w:vMerge w:val="continue"/>
            <w:tcBorders/>
            <w:shd w:fill="000000" w:val="clear"/>
            <w:vAlign w:val="center"/>
          </w:tcPr>
          <w:p>
            <w:pPr>
              <w:pStyle w:val="Normal"/>
              <w:bidi w:val="0"/>
              <w:jc w:val="left"/>
              <w:rPr/>
            </w:pPr>
            <w:r>
              <w:rPr/>
            </w:r>
          </w:p>
        </w:tc>
        <w:tc>
          <w:tcPr>
            <w:tcW w:w="976" w:type="dxa"/>
            <w:vMerge w:val="continue"/>
            <w:tcBorders/>
            <w:shd w:fill="000000" w:val="clear"/>
            <w:vAlign w:val="center"/>
          </w:tcPr>
          <w:p>
            <w:pPr>
              <w:pStyle w:val="Normal"/>
              <w:bidi w:val="0"/>
              <w:jc w:val="left"/>
              <w:rPr/>
            </w:pPr>
            <w:r>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516" w:type="dxa"/>
            <w:tcBorders/>
            <w:shd w:fill="000000" w:val="clear"/>
            <w:vAlign w:val="center"/>
          </w:tcPr>
          <w:p>
            <w:pPr>
              <w:pStyle w:val="TableContents"/>
              <w:bidi w:val="0"/>
              <w:spacing w:before="0" w:after="283"/>
              <w:jc w:val="left"/>
              <w:rPr>
                <w:sz w:val="4"/>
                <w:szCs w:val="4"/>
              </w:rPr>
            </w:pPr>
            <w:r>
              <w:rPr>
                <w:sz w:val="4"/>
                <w:szCs w:val="4"/>
              </w:rPr>
            </w:r>
          </w:p>
        </w:tc>
        <w:tc>
          <w:tcPr>
            <w:tcW w:w="841"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000000"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66" w:type="dxa"/>
            <w:vMerge w:val="continue"/>
            <w:tcBorders/>
            <w:shd w:fill="000000" w:val="clear"/>
            <w:vAlign w:val="center"/>
          </w:tcPr>
          <w:p>
            <w:pPr>
              <w:pStyle w:val="Normal"/>
              <w:bidi w:val="0"/>
              <w:jc w:val="left"/>
              <w:rPr/>
            </w:pPr>
            <w:r>
              <w:rPr/>
            </w:r>
          </w:p>
        </w:tc>
        <w:tc>
          <w:tcPr>
            <w:tcW w:w="976" w:type="dxa"/>
            <w:vMerge w:val="continue"/>
            <w:tcBorders/>
            <w:shd w:fill="000000" w:val="clear"/>
            <w:vAlign w:val="center"/>
          </w:tcPr>
          <w:p>
            <w:pPr>
              <w:pStyle w:val="Normal"/>
              <w:bidi w:val="0"/>
              <w:jc w:val="left"/>
              <w:rPr/>
            </w:pPr>
            <w:r>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516" w:type="dxa"/>
            <w:tcBorders/>
            <w:shd w:fill="000000" w:val="clear"/>
            <w:vAlign w:val="center"/>
          </w:tcPr>
          <w:p>
            <w:pPr>
              <w:pStyle w:val="TableContents"/>
              <w:bidi w:val="0"/>
              <w:spacing w:before="0" w:after="283"/>
              <w:jc w:val="left"/>
              <w:rPr>
                <w:sz w:val="4"/>
                <w:szCs w:val="4"/>
              </w:rPr>
            </w:pPr>
            <w:r>
              <w:rPr>
                <w:sz w:val="4"/>
                <w:szCs w:val="4"/>
              </w:rPr>
            </w:r>
          </w:p>
        </w:tc>
        <w:tc>
          <w:tcPr>
            <w:tcW w:w="841"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Threshold </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(1)</w:t>
            </w:r>
          </w:p>
        </w:tc>
        <w:tc>
          <w:tcPr>
            <w:tcW w:w="81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Target ($) </w:t>
            </w:r>
          </w:p>
        </w:tc>
        <w:tc>
          <w:tcPr>
            <w:tcW w:w="76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Maximum </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(1)</w:t>
            </w:r>
          </w:p>
        </w:tc>
        <w:tc>
          <w:tcPr>
            <w:tcW w:w="346" w:type="dxa"/>
            <w:tcBorders/>
            <w:shd w:fill="000000" w:val="clear"/>
            <w:vAlign w:val="center"/>
          </w:tcPr>
          <w:p>
            <w:pPr>
              <w:pStyle w:val="TableContents"/>
              <w:bidi w:val="0"/>
              <w:spacing w:before="0" w:after="283"/>
              <w:jc w:val="left"/>
              <w:rPr>
                <w:sz w:val="4"/>
                <w:szCs w:val="4"/>
              </w:rPr>
            </w:pPr>
            <w:r>
              <w:rPr>
                <w:sz w:val="4"/>
                <w:szCs w:val="4"/>
              </w:rPr>
            </w:r>
          </w:p>
        </w:tc>
        <w:tc>
          <w:tcPr>
            <w:tcW w:w="78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Threshold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76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Target (#) </w:t>
            </w:r>
          </w:p>
        </w:tc>
        <w:tc>
          <w:tcPr>
            <w:tcW w:w="76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Maximum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66" w:type="dxa"/>
            <w:vMerge w:val="continue"/>
            <w:tcBorders/>
            <w:shd w:fill="000000" w:val="clear"/>
            <w:vAlign w:val="center"/>
          </w:tcPr>
          <w:p>
            <w:pPr>
              <w:pStyle w:val="Normal"/>
              <w:bidi w:val="0"/>
              <w:jc w:val="left"/>
              <w:rPr/>
            </w:pPr>
            <w:r>
              <w:rPr/>
            </w:r>
          </w:p>
        </w:tc>
        <w:tc>
          <w:tcPr>
            <w:tcW w:w="976" w:type="dxa"/>
            <w:vMerge w:val="continue"/>
            <w:tcBorders/>
            <w:shd w:fill="000000" w:val="cle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pPr>
            <w:r>
              <w:rPr>
                <w:rFonts w:ascii="Arial;sans-serif" w:hAnsi="Arial;sans-serif"/>
                <w:b/>
                <w:i w:val="false"/>
                <w:caps w:val="false"/>
                <w:smallCaps w:val="false"/>
                <w:strike w:val="false"/>
                <w:dstrike w:val="false"/>
                <w:sz w:val="16"/>
                <w:u w:val="none"/>
                <w:effect w:val="none"/>
              </w:rPr>
              <w:t>Marc Winterhoff</w:t>
            </w:r>
            <w:r>
              <w:rPr>
                <w:rFonts w:ascii="Arial;sans-serif" w:hAnsi="Arial;sans-serif"/>
                <w:b/>
                <w:i w:val="false"/>
                <w:caps w:val="false"/>
                <w:smallCaps w:val="false"/>
                <w:strike w:val="false"/>
                <w:dstrike w:val="false"/>
                <w:sz w:val="10"/>
                <w:u w:val="none"/>
                <w:effect w:val="none"/>
              </w:rPr>
              <w:t>(2)</w:t>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2025 Annual Cash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Incentive </w:t>
            </w:r>
          </w:p>
        </w:tc>
        <w:tc>
          <w:tcPr>
            <w:tcW w:w="8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786,600</w:t>
            </w:r>
            <w:r>
              <w:rPr>
                <w:rFonts w:ascii="Arial;sans-serif" w:hAnsi="Arial;sans-serif"/>
                <w:b w:val="false"/>
                <w:i w:val="false"/>
                <w:caps w:val="false"/>
                <w:smallCaps w:val="false"/>
                <w:strike w:val="false"/>
                <w:dstrike w:val="false"/>
                <w:sz w:val="10"/>
                <w:u w:val="none"/>
                <w:effect w:val="none"/>
              </w:rPr>
              <w:t>(8)</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RSU</w:t>
            </w:r>
            <w:r>
              <w:rPr>
                <w:rFonts w:ascii="Arial;sans-serif" w:hAnsi="Arial;sans-serif"/>
                <w:b w:val="false"/>
                <w:i w:val="false"/>
                <w:caps w:val="false"/>
                <w:smallCaps w:val="false"/>
                <w:strike w:val="false"/>
                <w:dstrike w:val="false"/>
                <w:sz w:val="10"/>
                <w:u w:val="none"/>
                <w:effect w:val="none"/>
              </w:rPr>
              <w:t>(3)</w:t>
            </w:r>
          </w:p>
        </w:tc>
        <w:tc>
          <w:tcPr>
            <w:tcW w:w="8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2/21/2025</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134,554</w:t>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4,117,352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RSU</w:t>
            </w:r>
          </w:p>
        </w:tc>
        <w:tc>
          <w:tcPr>
            <w:tcW w:w="8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6/17/2025</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66,667</w:t>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1,433,341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PSU</w:t>
            </w:r>
          </w:p>
        </w:tc>
        <w:tc>
          <w:tcPr>
            <w:tcW w:w="8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8/07/2025</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50,000</w:t>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100,000</w:t>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150,000</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2,170,000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Taoufiq Boussaid</w:t>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2025 Annual Cash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Incentive</w:t>
            </w:r>
          </w:p>
        </w:tc>
        <w:tc>
          <w:tcPr>
            <w:tcW w:w="8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517,500</w:t>
            </w:r>
            <w:r>
              <w:rPr>
                <w:rFonts w:ascii="Arial;sans-serif" w:hAnsi="Arial;sans-serif"/>
                <w:b w:val="false"/>
                <w:i w:val="false"/>
                <w:caps w:val="false"/>
                <w:smallCaps w:val="false"/>
                <w:strike w:val="false"/>
                <w:dstrike w:val="false"/>
                <w:sz w:val="10"/>
                <w:u w:val="none"/>
                <w:effect w:val="none"/>
              </w:rPr>
              <w:t>(7)</w:t>
            </w:r>
          </w:p>
        </w:tc>
        <w:tc>
          <w:tcPr>
            <w:tcW w:w="811"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517,500</w:t>
            </w:r>
            <w:r>
              <w:rPr>
                <w:rFonts w:ascii="Arial;sans-serif" w:hAnsi="Arial;sans-serif"/>
                <w:b w:val="false"/>
                <w:i w:val="false"/>
                <w:caps w:val="false"/>
                <w:smallCaps w:val="false"/>
                <w:strike w:val="false"/>
                <w:dstrike w:val="false"/>
                <w:sz w:val="10"/>
                <w:u w:val="none"/>
                <w:effect w:val="none"/>
              </w:rPr>
              <w:t>(7)</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RSU</w:t>
            </w:r>
            <w:r>
              <w:rPr>
                <w:rFonts w:ascii="Arial;sans-serif" w:hAnsi="Arial;sans-serif"/>
                <w:b w:val="false"/>
                <w:i w:val="false"/>
                <w:caps w:val="false"/>
                <w:smallCaps w:val="false"/>
                <w:strike w:val="false"/>
                <w:dstrike w:val="false"/>
                <w:sz w:val="10"/>
                <w:u w:val="none"/>
                <w:effect w:val="none"/>
              </w:rPr>
              <w:t>(5)</w:t>
            </w:r>
            <w:r>
              <w:rPr>
                <w:caps w:val="false"/>
                <w:smallCaps w:val="false"/>
                <w:strike w:val="false"/>
                <w:dstrike w:val="false"/>
                <w:u w:val="none"/>
                <w:effect w:val="none"/>
              </w:rPr>
              <w:t xml:space="preserve"> </w:t>
            </w:r>
          </w:p>
        </w:tc>
        <w:tc>
          <w:tcPr>
            <w:tcW w:w="8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1/29/2025</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133,623</w:t>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3,567,734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PSU</w:t>
            </w:r>
            <w:r>
              <w:rPr>
                <w:rFonts w:ascii="Arial;sans-serif" w:hAnsi="Arial;sans-serif"/>
                <w:b w:val="false"/>
                <w:i w:val="false"/>
                <w:caps w:val="false"/>
                <w:smallCaps w:val="false"/>
                <w:strike w:val="false"/>
                <w:dstrike w:val="false"/>
                <w:sz w:val="10"/>
                <w:u w:val="none"/>
                <w:effect w:val="none"/>
              </w:rPr>
              <w:t>(6)</w:t>
            </w:r>
            <w:r>
              <w:rPr>
                <w:caps w:val="false"/>
                <w:smallCaps w:val="false"/>
                <w:strike w:val="false"/>
                <w:dstrike w:val="false"/>
                <w:u w:val="none"/>
                <w:effect w:val="none"/>
              </w:rPr>
              <w:t xml:space="preserve"> </w:t>
            </w:r>
          </w:p>
        </w:tc>
        <w:tc>
          <w:tcPr>
            <w:tcW w:w="8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8/07/2025</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100,218</w:t>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200,435</w:t>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300,653</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4,349,440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pPr>
            <w:r>
              <w:rPr>
                <w:rFonts w:ascii="Arial;sans-serif" w:hAnsi="Arial;sans-serif"/>
                <w:b/>
                <w:i w:val="false"/>
                <w:caps w:val="false"/>
                <w:smallCaps w:val="false"/>
                <w:strike w:val="false"/>
                <w:dstrike w:val="false"/>
                <w:sz w:val="16"/>
                <w:u w:val="none"/>
                <w:effect w:val="none"/>
              </w:rPr>
              <w:t>Gagan Dhingra</w:t>
            </w:r>
            <w:r>
              <w:rPr>
                <w:rFonts w:ascii="Arial;sans-serif" w:hAnsi="Arial;sans-serif"/>
                <w:b/>
                <w:i w:val="false"/>
                <w:caps w:val="false"/>
                <w:smallCaps w:val="false"/>
                <w:strike w:val="false"/>
                <w:dstrike w:val="false"/>
                <w:sz w:val="10"/>
                <w:u w:val="none"/>
                <w:effect w:val="none"/>
              </w:rPr>
              <w:t>(2)</w:t>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2025 Annual Cash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Incentive </w:t>
            </w:r>
          </w:p>
        </w:tc>
        <w:tc>
          <w:tcPr>
            <w:tcW w:w="8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333,000</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RSU</w:t>
            </w:r>
            <w:r>
              <w:rPr>
                <w:rFonts w:ascii="Arial;sans-serif" w:hAnsi="Arial;sans-serif"/>
                <w:b w:val="false"/>
                <w:i w:val="false"/>
                <w:caps w:val="false"/>
                <w:smallCaps w:val="false"/>
                <w:strike w:val="false"/>
                <w:dstrike w:val="false"/>
                <w:sz w:val="10"/>
                <w:u w:val="none"/>
                <w:effect w:val="none"/>
              </w:rPr>
              <w:t>(9)</w:t>
            </w:r>
            <w:r>
              <w:rPr>
                <w:caps w:val="false"/>
                <w:smallCaps w:val="false"/>
                <w:strike w:val="false"/>
                <w:dstrike w:val="false"/>
                <w:u w:val="none"/>
                <w:effect w:val="none"/>
              </w:rPr>
              <w:t xml:space="preserve"> </w:t>
            </w:r>
          </w:p>
        </w:tc>
        <w:tc>
          <w:tcPr>
            <w:tcW w:w="8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2/25/2025</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13,567</w:t>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354,099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RSU</w:t>
            </w:r>
          </w:p>
        </w:tc>
        <w:tc>
          <w:tcPr>
            <w:tcW w:w="8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6/17/2025</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53,334</w:t>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1,146,681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PSU</w:t>
            </w:r>
            <w:r>
              <w:rPr>
                <w:rFonts w:ascii="Arial;sans-serif" w:hAnsi="Arial;sans-serif"/>
                <w:b w:val="false"/>
                <w:i w:val="false"/>
                <w:caps w:val="false"/>
                <w:smallCaps w:val="false"/>
                <w:strike w:val="false"/>
                <w:dstrike w:val="false"/>
                <w:sz w:val="10"/>
                <w:u w:val="none"/>
                <w:effect w:val="none"/>
              </w:rPr>
              <w:t>(10)</w:t>
            </w:r>
          </w:p>
        </w:tc>
        <w:tc>
          <w:tcPr>
            <w:tcW w:w="8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8/07/2025</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10,175</w:t>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20,350</w:t>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30,525</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441,595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PSU</w:t>
            </w:r>
          </w:p>
        </w:tc>
        <w:tc>
          <w:tcPr>
            <w:tcW w:w="8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8/07/2025</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40,000</w:t>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80,000</w:t>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120,000</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1,736,000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Eric Bach</w:t>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RSU </w:t>
            </w:r>
          </w:p>
        </w:tc>
        <w:tc>
          <w:tcPr>
            <w:tcW w:w="8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6/17/2025</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60,000</w:t>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1,290,000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PSU </w:t>
            </w:r>
          </w:p>
        </w:tc>
        <w:tc>
          <w:tcPr>
            <w:tcW w:w="8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8/07/2025</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45,000</w:t>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90,000</w:t>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135,000</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1,953,000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Peter Rawlinson</w:t>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RSU</w:t>
            </w:r>
          </w:p>
        </w:tc>
        <w:tc>
          <w:tcPr>
            <w:tcW w:w="8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2/21/2025</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67,277</w:t>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2,058,676</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 xml:space="preserve">Payouts under the AIP are subject to an individual performance modifier, and there is no minimum  or maximum, other than for Mr. Boussaid with respect to his 2025 and 2026 AIP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payouts pursuant to the terms of his offer letter. Please see footnote 7 with respect to the minimum threshold for Mr. Boussaid’s 2025 AIP amounts.</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trike w:val="false"/>
          <w:dstrike w:val="false"/>
          <w:sz w:val="12"/>
          <w:u w:val="none"/>
          <w:effect w:val="none"/>
        </w:rPr>
        <w:t>For Messrs. Winterhoff and Dhingra, the 2025 AIP amounts are adjusted to reflect base salary increases during 2025.</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(3)</w:t>
      </w:r>
      <w:r>
        <w:rPr>
          <w:rFonts w:ascii="Arial;sans-serif" w:hAnsi="Arial;sans-serif"/>
          <w:b w:val="false"/>
          <w:i w:val="false"/>
          <w:caps w:val="false"/>
          <w:smallCaps w:val="false"/>
          <w:strike w:val="false"/>
          <w:dstrike w:val="false"/>
          <w:sz w:val="12"/>
          <w:u w:val="none"/>
          <w:effect w:val="none"/>
        </w:rPr>
        <w:t xml:space="preserve">Pursuant to the terms of the offer letter in connection with Mr. Winterhoff’s appointment as Interim Chief Executive Officer on February 21, 2025, Mr. Winterhoff was granted a RSU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award with a target grant value of  $4,000,000 in 2025.</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(4)</w:t>
      </w:r>
      <w:r>
        <w:rPr>
          <w:rFonts w:ascii="Arial;sans-serif" w:hAnsi="Arial;sans-serif"/>
          <w:b w:val="false"/>
          <w:i w:val="false"/>
          <w:caps w:val="false"/>
          <w:smallCaps w:val="false"/>
          <w:strike w:val="false"/>
          <w:dstrike w:val="false"/>
          <w:sz w:val="12"/>
          <w:u w:val="none"/>
          <w:effect w:val="none"/>
        </w:rPr>
        <w:t xml:space="preserve">Represents the grant date fair value of RSUs and PSUs granted during 2025, calculated in accordance with FASB ASC Topic 718. PSU values in this column the Stock Awards column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of the 2025 Summary Compensation Table are based on performance achieved at target levels for the PSUs, which was the probable outcome of performance conditions as of the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grant date for the PSUs.</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(5)</w:t>
      </w:r>
      <w:r>
        <w:rPr>
          <w:rFonts w:ascii="Arial;sans-serif" w:hAnsi="Arial;sans-serif"/>
          <w:b w:val="false"/>
          <w:i w:val="false"/>
          <w:caps w:val="false"/>
          <w:smallCaps w:val="false"/>
          <w:strike w:val="false"/>
          <w:dstrike w:val="false"/>
          <w:sz w:val="12"/>
          <w:u w:val="none"/>
          <w:effect w:val="none"/>
        </w:rPr>
        <w:t xml:space="preserve">Pursuant to the terms of the offer letter in connection with Mr. Boussaid’s employment with the Company on January 29, 2025, Mr. Boussaid was granted a RSU award with a target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grant value of $4,000,000 in 2025.</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(6)</w:t>
      </w:r>
      <w:r>
        <w:rPr>
          <w:rFonts w:ascii="Arial;sans-serif" w:hAnsi="Arial;sans-serif"/>
          <w:b w:val="false"/>
          <w:i w:val="false"/>
          <w:caps w:val="false"/>
          <w:smallCaps w:val="false"/>
          <w:strike w:val="false"/>
          <w:dstrike w:val="false"/>
          <w:sz w:val="12"/>
          <w:u w:val="none"/>
          <w:effect w:val="none"/>
        </w:rPr>
        <w:t xml:space="preserve">Pursuant to the terms of the offer letter in connection with Mr. Boussaid’s employment with the Company on January 29, 2025, Mr. Boussaid was granted a PSU award with a target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grant value of $6,000,000 in 2025.</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66</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(7)</w:t>
      </w:r>
      <w:r>
        <w:rPr>
          <w:rFonts w:ascii="Arial;sans-serif" w:hAnsi="Arial;sans-serif"/>
          <w:b w:val="false"/>
          <w:i w:val="false"/>
          <w:caps w:val="false"/>
          <w:smallCaps w:val="false"/>
          <w:strike w:val="false"/>
          <w:dstrike w:val="false"/>
          <w:sz w:val="12"/>
          <w:u w:val="none"/>
          <w:effect w:val="none"/>
        </w:rPr>
        <w:t xml:space="preserve">Pursuant to the terms of the offer letter in connection with Mr. Boussaid’s employment with the Company on January 29, 2025, for the AIP payout for fiscal year 2025, Mr. Boussaid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would receive a minimum of 90% of his base salary or $517,500. The Compensation and Human Capital Committee ultimately approved his payout to be rounded up to $518,000.</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(8)</w:t>
      </w:r>
      <w:r>
        <w:rPr>
          <w:rFonts w:ascii="Arial;sans-serif" w:hAnsi="Arial;sans-serif"/>
          <w:b w:val="false"/>
          <w:i w:val="false"/>
          <w:caps w:val="false"/>
          <w:smallCaps w:val="false"/>
          <w:strike w:val="false"/>
          <w:dstrike w:val="false"/>
          <w:sz w:val="12"/>
          <w:u w:val="none"/>
          <w:effect w:val="none"/>
        </w:rPr>
        <w:t xml:space="preserve">Target AIP amount includes Mr. Winterhoff’s stipend of $20,000 per month for any month or partial month he serves as interim CEO. </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(9)</w:t>
      </w:r>
      <w:r>
        <w:rPr>
          <w:rFonts w:ascii="Arial;sans-serif" w:hAnsi="Arial;sans-serif"/>
          <w:b w:val="false"/>
          <w:i w:val="false"/>
          <w:caps w:val="false"/>
          <w:smallCaps w:val="false"/>
          <w:strike w:val="false"/>
          <w:dstrike w:val="false"/>
          <w:sz w:val="12"/>
          <w:u w:val="none"/>
          <w:effect w:val="none"/>
        </w:rPr>
        <w:t xml:space="preserve">Pursuant to the terms of the offer letter in connection with Mr. Dhingra’s promotion to Senior Vice President on February 25, 2025, Mr. Dhingra was granted a RSU award with a target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grant value of  $400,000 in 2025.</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(10)</w:t>
      </w:r>
      <w:r>
        <w:rPr>
          <w:rFonts w:ascii="Arial;sans-serif" w:hAnsi="Arial;sans-serif"/>
          <w:b w:val="false"/>
          <w:i w:val="false"/>
          <w:caps w:val="false"/>
          <w:smallCaps w:val="false"/>
          <w:strike w:val="false"/>
          <w:dstrike w:val="false"/>
          <w:sz w:val="12"/>
          <w:u w:val="none"/>
          <w:effect w:val="none"/>
        </w:rPr>
        <w:t xml:space="preserve">Pursuant to the terms of the offer letter in connection with Mr. Dhingra’s promotion to Senior Vice President on February 25, 2025, Mr. Dhingra was granted a PSU award with a target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value of $600,000 in 2025.</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67</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Outstanding Equity Awards at Fiscal Year-End</w:t>
      </w:r>
    </w:p>
    <w:tbl>
      <w:tblPr>
        <w:tblW w:w="9189" w:type="dxa"/>
        <w:jc w:val="left"/>
        <w:tblInd w:w="0" w:type="dxa"/>
        <w:tblLayout w:type="fixed"/>
        <w:tblCellMar>
          <w:top w:w="28" w:type="dxa"/>
          <w:left w:w="28" w:type="dxa"/>
          <w:bottom w:w="28" w:type="dxa"/>
          <w:right w:w="28" w:type="dxa"/>
        </w:tblCellMar>
      </w:tblPr>
      <w:tblGrid>
        <w:gridCol w:w="124"/>
        <w:gridCol w:w="1366"/>
        <w:gridCol w:w="901"/>
        <w:gridCol w:w="716"/>
        <w:gridCol w:w="305"/>
        <w:gridCol w:w="676"/>
        <w:gridCol w:w="916"/>
        <w:gridCol w:w="109"/>
        <w:gridCol w:w="691"/>
        <w:gridCol w:w="286"/>
        <w:gridCol w:w="826"/>
        <w:gridCol w:w="226"/>
        <w:gridCol w:w="691"/>
        <w:gridCol w:w="286"/>
        <w:gridCol w:w="91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366" w:type="dxa"/>
            <w:tcBorders/>
            <w:shd w:fill="000000" w:val="clear"/>
            <w:vAlign w:val="center"/>
          </w:tcPr>
          <w:p>
            <w:pPr>
              <w:pStyle w:val="TableContents"/>
              <w:bidi w:val="0"/>
              <w:spacing w:before="0" w:after="283"/>
              <w:jc w:val="left"/>
              <w:rPr>
                <w:sz w:val="4"/>
                <w:szCs w:val="4"/>
              </w:rPr>
            </w:pPr>
            <w:r>
              <w:rPr>
                <w:sz w:val="4"/>
                <w:szCs w:val="4"/>
              </w:rPr>
            </w:r>
          </w:p>
        </w:tc>
        <w:tc>
          <w:tcPr>
            <w:tcW w:w="901" w:type="dxa"/>
            <w:tcBorders/>
            <w:shd w:fill="000000" w:val="clear"/>
            <w:vAlign w:val="center"/>
          </w:tcPr>
          <w:p>
            <w:pPr>
              <w:pStyle w:val="TableContents"/>
              <w:bidi w:val="0"/>
              <w:spacing w:before="0" w:after="283"/>
              <w:jc w:val="left"/>
              <w:rPr>
                <w:sz w:val="4"/>
                <w:szCs w:val="4"/>
              </w:rPr>
            </w:pPr>
            <w:r>
              <w:rPr>
                <w:sz w:val="4"/>
                <w:szCs w:val="4"/>
              </w:rPr>
            </w:r>
          </w:p>
        </w:tc>
        <w:tc>
          <w:tcPr>
            <w:tcW w:w="716" w:type="dxa"/>
            <w:tcBorders/>
            <w:shd w:fill="000000" w:val="clear"/>
            <w:vAlign w:val="center"/>
          </w:tcPr>
          <w:p>
            <w:pPr>
              <w:pStyle w:val="TableContents"/>
              <w:bidi w:val="0"/>
              <w:spacing w:before="0" w:after="283"/>
              <w:jc w:val="left"/>
              <w:rPr>
                <w:sz w:val="4"/>
                <w:szCs w:val="4"/>
              </w:rPr>
            </w:pPr>
            <w:r>
              <w:rPr>
                <w:sz w:val="4"/>
                <w:szCs w:val="4"/>
              </w:rPr>
            </w:r>
          </w:p>
        </w:tc>
        <w:tc>
          <w:tcPr>
            <w:tcW w:w="305" w:type="dxa"/>
            <w:tcBorders/>
            <w:shd w:fill="000000" w:val="clear"/>
            <w:vAlign w:val="center"/>
          </w:tcPr>
          <w:p>
            <w:pPr>
              <w:pStyle w:val="TableContents"/>
              <w:bidi w:val="0"/>
              <w:spacing w:before="0" w:after="283"/>
              <w:jc w:val="left"/>
              <w:rPr>
                <w:sz w:val="4"/>
                <w:szCs w:val="4"/>
              </w:rPr>
            </w:pPr>
            <w:r>
              <w:rPr>
                <w:sz w:val="4"/>
                <w:szCs w:val="4"/>
              </w:rPr>
            </w:r>
          </w:p>
        </w:tc>
        <w:tc>
          <w:tcPr>
            <w:tcW w:w="676"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91" w:type="dxa"/>
            <w:tcBorders/>
            <w:shd w:fill="000000" w:val="clear"/>
            <w:vAlign w:val="center"/>
          </w:tcPr>
          <w:p>
            <w:pPr>
              <w:pStyle w:val="TableContents"/>
              <w:bidi w:val="0"/>
              <w:spacing w:before="0" w:after="283"/>
              <w:jc w:val="left"/>
              <w:rPr>
                <w:sz w:val="4"/>
                <w:szCs w:val="4"/>
              </w:rPr>
            </w:pPr>
            <w:r>
              <w:rPr>
                <w:sz w:val="4"/>
                <w:szCs w:val="4"/>
              </w:rPr>
            </w:r>
          </w:p>
        </w:tc>
        <w:tc>
          <w:tcPr>
            <w:tcW w:w="286"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226" w:type="dxa"/>
            <w:tcBorders/>
            <w:shd w:fill="000000" w:val="clear"/>
            <w:vAlign w:val="center"/>
          </w:tcPr>
          <w:p>
            <w:pPr>
              <w:pStyle w:val="TableContents"/>
              <w:bidi w:val="0"/>
              <w:spacing w:before="0" w:after="283"/>
              <w:jc w:val="left"/>
              <w:rPr>
                <w:sz w:val="4"/>
                <w:szCs w:val="4"/>
              </w:rPr>
            </w:pPr>
            <w:r>
              <w:rPr>
                <w:sz w:val="4"/>
                <w:szCs w:val="4"/>
              </w:rPr>
            </w:r>
          </w:p>
        </w:tc>
        <w:tc>
          <w:tcPr>
            <w:tcW w:w="691" w:type="dxa"/>
            <w:tcBorders/>
            <w:shd w:fill="000000" w:val="clear"/>
            <w:vAlign w:val="center"/>
          </w:tcPr>
          <w:p>
            <w:pPr>
              <w:pStyle w:val="TableContents"/>
              <w:bidi w:val="0"/>
              <w:spacing w:before="0" w:after="283"/>
              <w:jc w:val="left"/>
              <w:rPr>
                <w:sz w:val="4"/>
                <w:szCs w:val="4"/>
              </w:rPr>
            </w:pPr>
            <w:r>
              <w:rPr>
                <w:sz w:val="4"/>
                <w:szCs w:val="4"/>
              </w:rPr>
            </w:r>
          </w:p>
        </w:tc>
        <w:tc>
          <w:tcPr>
            <w:tcW w:w="286"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366" w:type="dxa"/>
            <w:tcBorders/>
            <w:shd w:fill="000000" w:val="clear"/>
            <w:vAlign w:val="center"/>
          </w:tcPr>
          <w:p>
            <w:pPr>
              <w:pStyle w:val="TableContents"/>
              <w:bidi w:val="0"/>
              <w:spacing w:before="0" w:after="283"/>
              <w:jc w:val="left"/>
              <w:rPr>
                <w:sz w:val="4"/>
                <w:szCs w:val="4"/>
              </w:rPr>
            </w:pPr>
            <w:r>
              <w:rPr>
                <w:sz w:val="4"/>
                <w:szCs w:val="4"/>
              </w:rPr>
            </w:r>
          </w:p>
        </w:tc>
        <w:tc>
          <w:tcPr>
            <w:tcW w:w="3514" w:type="dxa"/>
            <w:gridSpan w:val="5"/>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Option Awards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3922" w:type="dxa"/>
            <w:gridSpan w:val="7"/>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Stock Awards </w:t>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366" w:type="dxa"/>
            <w:tcBorders/>
            <w:shd w:fill="000000"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366" w:type="dxa"/>
            <w:tcBorders/>
            <w:shd w:fill="000000"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36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 </w:t>
            </w:r>
          </w:p>
        </w:tc>
        <w:tc>
          <w:tcPr>
            <w:tcW w:w="90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Number of</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Securities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Underlying</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Unexercised</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Options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Exercisable</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(1)</w:t>
            </w:r>
          </w:p>
        </w:tc>
        <w:tc>
          <w:tcPr>
            <w:tcW w:w="1021" w:type="dxa"/>
            <w:gridSpan w:val="2"/>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Number of</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Securities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Underlying</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Unexercised</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Options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Unexercisable</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(1)</w:t>
            </w:r>
          </w:p>
        </w:tc>
        <w:tc>
          <w:tcPr>
            <w:tcW w:w="67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Option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Exercise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Price</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(1)</w:t>
            </w:r>
          </w:p>
        </w:tc>
        <w:tc>
          <w:tcPr>
            <w:tcW w:w="91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Option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Expiration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Date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77" w:type="dxa"/>
            <w:gridSpan w:val="2"/>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Number of</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Shares or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Units of</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Stock</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That Have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Not Vested</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(1)</w:t>
            </w:r>
          </w:p>
        </w:tc>
        <w:tc>
          <w:tcPr>
            <w:tcW w:w="1052" w:type="dxa"/>
            <w:gridSpan w:val="2"/>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Market Value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of Shares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or Units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of Stock That</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Have Not</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Vested</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(20)</w:t>
            </w:r>
          </w:p>
        </w:tc>
        <w:tc>
          <w:tcPr>
            <w:tcW w:w="977" w:type="dxa"/>
            <w:gridSpan w:val="2"/>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Equity</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Incentive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Plan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Awards: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Number of</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Unearned</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Shares,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Units or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Other Rights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That Have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Not Vested</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(1)</w:t>
            </w:r>
          </w:p>
        </w:tc>
        <w:tc>
          <w:tcPr>
            <w:tcW w:w="91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Equity</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Incentive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Plan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Awards: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Market or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Payout</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Value of</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Unearned</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Shares,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Units or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Other Rights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That</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Have Not</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Vested</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(20)</w:t>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366" w:type="dxa"/>
            <w:tcBorders/>
            <w:shd w:fill="000000" w:val="clear"/>
            <w:vAlign w:val="center"/>
          </w:tcPr>
          <w:p>
            <w:pPr>
              <w:pStyle w:val="TableContents"/>
              <w:bidi w:val="0"/>
              <w:spacing w:before="0" w:after="283"/>
              <w:jc w:val="left"/>
              <w:rPr>
                <w:sz w:val="4"/>
                <w:szCs w:val="4"/>
              </w:rPr>
            </w:pPr>
            <w:r>
              <w:rPr>
                <w:sz w:val="4"/>
                <w:szCs w:val="4"/>
              </w:rPr>
            </w:r>
          </w:p>
        </w:tc>
        <w:tc>
          <w:tcPr>
            <w:tcW w:w="901" w:type="dxa"/>
            <w:tcBorders/>
            <w:shd w:fill="000000" w:val="clear"/>
            <w:vAlign w:val="center"/>
          </w:tcPr>
          <w:p>
            <w:pPr>
              <w:pStyle w:val="TableContents"/>
              <w:bidi w:val="0"/>
              <w:spacing w:before="0" w:after="283"/>
              <w:jc w:val="left"/>
              <w:rPr>
                <w:sz w:val="4"/>
                <w:szCs w:val="4"/>
              </w:rPr>
            </w:pPr>
            <w:r>
              <w:rPr>
                <w:sz w:val="4"/>
                <w:szCs w:val="4"/>
              </w:rPr>
            </w:r>
          </w:p>
        </w:tc>
        <w:tc>
          <w:tcPr>
            <w:tcW w:w="716" w:type="dxa"/>
            <w:tcBorders/>
            <w:shd w:fill="000000" w:val="clear"/>
            <w:vAlign w:val="center"/>
          </w:tcPr>
          <w:p>
            <w:pPr>
              <w:pStyle w:val="TableContents"/>
              <w:bidi w:val="0"/>
              <w:spacing w:before="0" w:after="283"/>
              <w:jc w:val="left"/>
              <w:rPr>
                <w:sz w:val="4"/>
                <w:szCs w:val="4"/>
              </w:rPr>
            </w:pPr>
            <w:r>
              <w:rPr>
                <w:sz w:val="4"/>
                <w:szCs w:val="4"/>
              </w:rPr>
            </w:r>
          </w:p>
        </w:tc>
        <w:tc>
          <w:tcPr>
            <w:tcW w:w="305" w:type="dxa"/>
            <w:tcBorders/>
            <w:shd w:fill="000000" w:val="clear"/>
            <w:vAlign w:val="center"/>
          </w:tcPr>
          <w:p>
            <w:pPr>
              <w:pStyle w:val="TableContents"/>
              <w:bidi w:val="0"/>
              <w:spacing w:before="0" w:after="283"/>
              <w:jc w:val="left"/>
              <w:rPr>
                <w:sz w:val="4"/>
                <w:szCs w:val="4"/>
              </w:rPr>
            </w:pPr>
            <w:r>
              <w:rPr>
                <w:sz w:val="4"/>
                <w:szCs w:val="4"/>
              </w:rPr>
            </w:r>
          </w:p>
        </w:tc>
        <w:tc>
          <w:tcPr>
            <w:tcW w:w="676"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91" w:type="dxa"/>
            <w:tcBorders/>
            <w:shd w:fill="000000" w:val="clear"/>
            <w:vAlign w:val="center"/>
          </w:tcPr>
          <w:p>
            <w:pPr>
              <w:pStyle w:val="TableContents"/>
              <w:bidi w:val="0"/>
              <w:spacing w:before="0" w:after="283"/>
              <w:jc w:val="left"/>
              <w:rPr>
                <w:sz w:val="4"/>
                <w:szCs w:val="4"/>
              </w:rPr>
            </w:pPr>
            <w:r>
              <w:rPr>
                <w:sz w:val="4"/>
                <w:szCs w:val="4"/>
              </w:rPr>
            </w:r>
          </w:p>
        </w:tc>
        <w:tc>
          <w:tcPr>
            <w:tcW w:w="286"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226" w:type="dxa"/>
            <w:tcBorders/>
            <w:shd w:fill="000000" w:val="clear"/>
            <w:vAlign w:val="center"/>
          </w:tcPr>
          <w:p>
            <w:pPr>
              <w:pStyle w:val="TableContents"/>
              <w:bidi w:val="0"/>
              <w:spacing w:before="0" w:after="283"/>
              <w:jc w:val="left"/>
              <w:rPr>
                <w:sz w:val="4"/>
                <w:szCs w:val="4"/>
              </w:rPr>
            </w:pPr>
            <w:r>
              <w:rPr>
                <w:sz w:val="4"/>
                <w:szCs w:val="4"/>
              </w:rPr>
            </w:r>
          </w:p>
        </w:tc>
        <w:tc>
          <w:tcPr>
            <w:tcW w:w="691" w:type="dxa"/>
            <w:tcBorders/>
            <w:shd w:fill="000000" w:val="clear"/>
            <w:vAlign w:val="center"/>
          </w:tcPr>
          <w:p>
            <w:pPr>
              <w:pStyle w:val="TableContents"/>
              <w:bidi w:val="0"/>
              <w:spacing w:before="0" w:after="283"/>
              <w:jc w:val="left"/>
              <w:rPr>
                <w:sz w:val="4"/>
                <w:szCs w:val="4"/>
              </w:rPr>
            </w:pPr>
            <w:r>
              <w:rPr>
                <w:sz w:val="4"/>
                <w:szCs w:val="4"/>
              </w:rPr>
            </w:r>
          </w:p>
        </w:tc>
        <w:tc>
          <w:tcPr>
            <w:tcW w:w="286"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vMerge w:val="restart"/>
            <w:tcBorders/>
            <w:vAlign w:val="center"/>
          </w:tcPr>
          <w:p>
            <w:pPr>
              <w:pStyle w:val="TableContents"/>
              <w:bidi w:val="0"/>
              <w:spacing w:before="0" w:after="283"/>
              <w:jc w:val="left"/>
              <w:rPr>
                <w:sz w:val="4"/>
                <w:szCs w:val="4"/>
              </w:rPr>
            </w:pPr>
            <w:r>
              <w:rPr>
                <w:sz w:val="4"/>
                <w:szCs w:val="4"/>
              </w:rPr>
            </w:r>
          </w:p>
        </w:tc>
        <w:tc>
          <w:tcPr>
            <w:tcW w:w="1366" w:type="dxa"/>
            <w:vMerge w:val="restart"/>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Marc Winterhoff</w:t>
            </w:r>
          </w:p>
        </w:tc>
        <w:tc>
          <w:tcPr>
            <w:tcW w:w="9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35,703</w:t>
            </w:r>
          </w:p>
        </w:tc>
        <w:tc>
          <w:tcPr>
            <w:tcW w:w="7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35,688</w:t>
            </w:r>
          </w:p>
        </w:tc>
        <w:tc>
          <w:tcPr>
            <w:tcW w:w="30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(12)</w:t>
            </w:r>
          </w:p>
        </w:tc>
        <w:tc>
          <w:tcPr>
            <w:tcW w:w="6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52.50</w:t>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12/04/2030</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35,696</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(13)</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377,307</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17,333</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(15)</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183,210</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61,214</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(16)</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647,032</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100,914</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(2)</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1,066,661</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54,166</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(3)</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572,535</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28,751</w:t>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28,751</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(17)</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303,898</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50,000</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(18)</w:t>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528,500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vMerge w:val="restart"/>
            <w:tcBorders/>
            <w:vAlign w:val="center"/>
          </w:tcPr>
          <w:p>
            <w:pPr>
              <w:pStyle w:val="TableContents"/>
              <w:bidi w:val="0"/>
              <w:spacing w:before="0" w:after="283"/>
              <w:jc w:val="left"/>
              <w:rPr>
                <w:sz w:val="4"/>
                <w:szCs w:val="4"/>
              </w:rPr>
            </w:pPr>
            <w:r>
              <w:rPr>
                <w:sz w:val="4"/>
                <w:szCs w:val="4"/>
              </w:rPr>
            </w:r>
          </w:p>
        </w:tc>
        <w:tc>
          <w:tcPr>
            <w:tcW w:w="1366" w:type="dxa"/>
            <w:vMerge w:val="restart"/>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Taoufiq Boussaid</w:t>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50,107</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(14)</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529,631</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57,627</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(17)</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609,117</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100,216</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(18)</w:t>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1,059,283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vMerge w:val="restart"/>
            <w:tcBorders/>
            <w:vAlign w:val="center"/>
          </w:tcPr>
          <w:p>
            <w:pPr>
              <w:pStyle w:val="TableContents"/>
              <w:bidi w:val="0"/>
              <w:spacing w:before="0" w:after="283"/>
              <w:jc w:val="left"/>
              <w:rPr>
                <w:sz w:val="4"/>
                <w:szCs w:val="4"/>
              </w:rPr>
            </w:pPr>
            <w:r>
              <w:rPr>
                <w:sz w:val="4"/>
                <w:szCs w:val="4"/>
              </w:rPr>
            </w:r>
          </w:p>
        </w:tc>
        <w:tc>
          <w:tcPr>
            <w:tcW w:w="1366" w:type="dxa"/>
            <w:vMerge w:val="restart"/>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Gagan Dhingra</w:t>
            </w:r>
          </w:p>
        </w:tc>
        <w:tc>
          <w:tcPr>
            <w:tcW w:w="9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7,339</w:t>
            </w:r>
          </w:p>
        </w:tc>
        <w:tc>
          <w:tcPr>
            <w:tcW w:w="7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4,011</w:t>
            </w:r>
          </w:p>
        </w:tc>
        <w:tc>
          <w:tcPr>
            <w:tcW w:w="30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(11)</w:t>
            </w:r>
          </w:p>
        </w:tc>
        <w:tc>
          <w:tcPr>
            <w:tcW w:w="6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82.60</w:t>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09/10/2030</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300</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(6)</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3,171</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3,230</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257</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(7)</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2,716</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44,561</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3,545</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(8)</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37,471</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7,982</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635</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(9)</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6,712</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294,930</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23,463</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(10)</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248,004</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304,684</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3,384</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(15)</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35,769</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127,900</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11,950</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(16)</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126,312</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544,696</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10,175</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(2)</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107,550</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43,333</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(3)</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458,030</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73,522</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5,849</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(17)</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61,824</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10,175</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(18)</w:t>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107,550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289,110</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23,000</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(17)</w:t>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243,110</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40,000</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(18)</w:t>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422,800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restart"/>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Eric Bach </w:t>
            </w:r>
          </w:p>
        </w:tc>
        <w:tc>
          <w:tcPr>
            <w:tcW w:w="9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87,969</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8.30</w:t>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04/21/2029</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vMerge w:val="restart"/>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185,079</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9.30</w:t>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07/15/2030</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24,698</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82.60</w:t>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09/10/2030</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restart"/>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Peter Rawlinson</w:t>
            </w:r>
          </w:p>
        </w:tc>
        <w:tc>
          <w:tcPr>
            <w:tcW w:w="9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756,980</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8.30</w:t>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04/21/2029</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209,014</w:t>
            </w:r>
          </w:p>
        </w:tc>
        <w:tc>
          <w:tcPr>
            <w:tcW w:w="2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(5)</w:t>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2,209,278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vMerge w:val="continue"/>
            <w:tcBorders/>
            <w:vAlign w:val="center"/>
          </w:tcPr>
          <w:p>
            <w:pPr>
              <w:pStyle w:val="Normal"/>
              <w:bidi w:val="0"/>
              <w:jc w:val="left"/>
              <w:rPr/>
            </w:pPr>
            <w:r>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67,277</w:t>
            </w:r>
          </w:p>
        </w:tc>
        <w:tc>
          <w:tcPr>
            <w:tcW w:w="2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711,118</w:t>
            </w:r>
          </w:p>
        </w:tc>
        <w:tc>
          <w:tcPr>
            <w:tcW w:w="2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(4)</w:t>
            </w:r>
          </w:p>
        </w:tc>
        <w:tc>
          <w:tcPr>
            <w:tcW w:w="6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68</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 xml:space="preserve">Pursuant to </w:t>
      </w:r>
      <w:r>
        <w:rPr>
          <w:rFonts w:ascii="Arial;sans-serif" w:hAnsi="Arial;sans-serif"/>
          <w:b w:val="false"/>
          <w:i w:val="false"/>
          <w:caps w:val="false"/>
          <w:smallCaps w:val="false"/>
          <w:sz w:val="12"/>
        </w:rPr>
        <w:t xml:space="preserve">provisions in the Company’s stock plans, the number of shares subject to these awards, including the exercise prices for the option awards, were equitably adjusted in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 xml:space="preserve">connection with the one-for-ten Reverse Stock Split that occurred on August 29, 2025. Accordingly, the share totals and exercise prices shown in the table above and in the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corresponding footnotes reflect our NEOs’ post-Reverse Stock Split holdings.</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z w:val="12"/>
        </w:rPr>
        <w:t xml:space="preserve">1/16 of the RSUs vested on March 15, 2025 and 1/16 of the RSUs vest each quarter beginning June 5, 2025 and ending December 5, 2028, subject to the NEO’s continued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employment as of each applicable vesting date.</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(3)</w:t>
      </w:r>
      <w:r>
        <w:rPr>
          <w:rFonts w:ascii="Arial;sans-serif" w:hAnsi="Arial;sans-serif"/>
          <w:b w:val="false"/>
          <w:i w:val="false"/>
          <w:caps w:val="false"/>
          <w:smallCaps w:val="false"/>
          <w:strike w:val="false"/>
          <w:dstrike w:val="false"/>
          <w:sz w:val="12"/>
          <w:u w:val="none"/>
          <w:effect w:val="none"/>
        </w:rPr>
        <w:t>1</w:t>
      </w:r>
      <w:r>
        <w:rPr>
          <w:rFonts w:ascii="Arial;sans-serif" w:hAnsi="Arial;sans-serif"/>
          <w:b w:val="false"/>
          <w:i w:val="false"/>
          <w:caps w:val="false"/>
          <w:smallCaps w:val="false"/>
          <w:sz w:val="12"/>
        </w:rPr>
        <w:t xml:space="preserve">/8 of the RSUs vested on September 5, 2025 and 1/16 of the RSUs vest each quarter beginning on December 5, 2025, and ending on March 5, 2029, subject to the NEOs’ continued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employment as of each applicable vesting date.</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(4)</w:t>
      </w:r>
      <w:r>
        <w:rPr>
          <w:rFonts w:ascii="Arial;sans-serif" w:hAnsi="Arial;sans-serif"/>
          <w:b w:val="false"/>
          <w:i w:val="false"/>
          <w:caps w:val="false"/>
          <w:smallCaps w:val="false"/>
          <w:strike w:val="false"/>
          <w:dstrike w:val="false"/>
          <w:sz w:val="12"/>
          <w:u w:val="none"/>
          <w:effect w:val="none"/>
        </w:rPr>
        <w:t xml:space="preserve">The </w:t>
      </w:r>
      <w:r>
        <w:rPr>
          <w:rFonts w:ascii="Arial;sans-serif" w:hAnsi="Arial;sans-serif"/>
          <w:b w:val="false"/>
          <w:i w:val="false"/>
          <w:caps w:val="false"/>
          <w:smallCaps w:val="false"/>
          <w:sz w:val="12"/>
        </w:rPr>
        <w:t xml:space="preserve">RSUs vest in three equal installments over a 24-month period on the following dates: (A) February 21, 2026, (B) August 21, 2026, and (C) February 21, 2027, subject to Mr.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Rawlinson’s continued service with the Company as of each applicable vesting date.</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(5)</w:t>
      </w:r>
      <w:r>
        <w:rPr>
          <w:rFonts w:ascii="Arial;sans-serif" w:hAnsi="Arial;sans-serif"/>
          <w:b w:val="false"/>
          <w:i w:val="false"/>
          <w:caps w:val="false"/>
          <w:smallCaps w:val="false"/>
          <w:strike w:val="false"/>
          <w:dstrike w:val="false"/>
          <w:sz w:val="12"/>
          <w:u w:val="none"/>
          <w:effect w:val="none"/>
        </w:rPr>
        <w:t xml:space="preserve">The </w:t>
      </w:r>
      <w:r>
        <w:rPr>
          <w:rFonts w:ascii="Arial;sans-serif" w:hAnsi="Arial;sans-serif"/>
          <w:b w:val="false"/>
          <w:i w:val="false"/>
          <w:caps w:val="false"/>
          <w:smallCaps w:val="false"/>
          <w:sz w:val="12"/>
        </w:rPr>
        <w:t xml:space="preserve">CEO Performance RSUs vest in five tranches based on the achievement of market capitalization goals applicable to each tranche over any six-month period, subject to Mr.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 xml:space="preserve">Rawlinson’s continued employment through the applicable vesting date. 1,393,428 CEO Performance RSUs (on a Reverse Stock Split-adjusted basis) relating to Tranche 1, Tranche 2,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 xml:space="preserve">Tranche 3, and Tranche 4 vested on March 5, 2022 and were settled on March 7, 2022. The amount reported is the number of CEO Performance RSUs relating to Tranche 5, which </w:t>
      </w:r>
    </w:p>
    <w:p>
      <w:pPr>
        <w:pStyle w:val="TextBody"/>
        <w:bidi w:val="0"/>
        <w:spacing w:lineRule="atLeast" w:line="142" w:before="0" w:after="0"/>
        <w:jc w:val="left"/>
        <w:rPr/>
      </w:pPr>
      <w:r>
        <w:rPr>
          <w:rFonts w:ascii="Arial;sans-serif" w:hAnsi="Arial;sans-serif"/>
          <w:b w:val="false"/>
          <w:i w:val="false"/>
          <w:caps w:val="false"/>
          <w:smallCaps w:val="false"/>
          <w:sz w:val="12"/>
        </w:rPr>
        <w:t>was not vested as of December 31, 2025. Amounts can be earned until July 23, 2026, subject to continued service as of each applicable vesting date</w:t>
      </w:r>
      <w:r>
        <w:rPr>
          <w:rFonts w:ascii="Arial;sans-serif" w:hAnsi="Arial;sans-serif"/>
          <w:b w:val="false"/>
          <w:i w:val="false"/>
          <w:caps w:val="false"/>
          <w:smallCaps w:val="false"/>
          <w:strike w:val="false"/>
          <w:dstrike w:val="false"/>
          <w:sz w:val="12"/>
          <w:u w:val="none"/>
          <w:effect w:val="none"/>
        </w:rPr>
        <w:t>.</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(6)</w:t>
      </w:r>
      <w:r>
        <w:rPr>
          <w:rFonts w:ascii="Arial;sans-serif" w:hAnsi="Arial;sans-serif"/>
          <w:b w:val="false"/>
          <w:i w:val="false"/>
          <w:caps w:val="false"/>
          <w:smallCaps w:val="false"/>
          <w:sz w:val="12"/>
        </w:rPr>
        <w:t xml:space="preserve">25% of the RSUs vested on March 5, 2023 and 1/16 of the RSUs vest each quarter beginning June 5, 2023 and ending March 5, 2026, subject to the NEO’s continued employment as </w:t>
      </w:r>
    </w:p>
    <w:p>
      <w:pPr>
        <w:pStyle w:val="TextBody"/>
        <w:bidi w:val="0"/>
        <w:spacing w:lineRule="atLeast" w:line="142" w:before="0" w:after="0"/>
        <w:jc w:val="left"/>
        <w:rPr/>
      </w:pPr>
      <w:r>
        <w:rPr>
          <w:rFonts w:ascii="Arial;sans-serif" w:hAnsi="Arial;sans-serif"/>
          <w:b w:val="false"/>
          <w:i w:val="false"/>
          <w:caps w:val="false"/>
          <w:smallCaps w:val="false"/>
          <w:sz w:val="12"/>
        </w:rPr>
        <w:t>of each applicable vesting date</w:t>
      </w:r>
      <w:r>
        <w:rPr>
          <w:rFonts w:ascii="Arial;sans-serif" w:hAnsi="Arial;sans-serif"/>
          <w:b w:val="false"/>
          <w:i w:val="false"/>
          <w:caps w:val="false"/>
          <w:smallCaps w:val="false"/>
          <w:strike w:val="false"/>
          <w:dstrike w:val="false"/>
          <w:sz w:val="12"/>
          <w:u w:val="none"/>
          <w:effect w:val="none"/>
        </w:rPr>
        <w:t>.</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(7)</w:t>
      </w:r>
      <w:r>
        <w:rPr>
          <w:rFonts w:ascii="Arial;sans-serif" w:hAnsi="Arial;sans-serif"/>
          <w:b w:val="false"/>
          <w:i w:val="false"/>
          <w:caps w:val="false"/>
          <w:smallCaps w:val="false"/>
          <w:sz w:val="12"/>
        </w:rPr>
        <w:t xml:space="preserve">1/8 of the RSUs vested on September 5, 2022 and 1/16 of the RSUs vest each quarter beginning December 5, 2022 and ending March 5, 2026, subject to the NEO’s continued </w:t>
      </w:r>
    </w:p>
    <w:p>
      <w:pPr>
        <w:pStyle w:val="TextBody"/>
        <w:bidi w:val="0"/>
        <w:spacing w:lineRule="atLeast" w:line="142" w:before="0" w:after="0"/>
        <w:jc w:val="left"/>
        <w:rPr/>
      </w:pPr>
      <w:r>
        <w:rPr>
          <w:rFonts w:ascii="Arial;sans-serif" w:hAnsi="Arial;sans-serif"/>
          <w:b w:val="false"/>
          <w:i w:val="false"/>
          <w:caps w:val="false"/>
          <w:smallCaps w:val="false"/>
          <w:sz w:val="12"/>
        </w:rPr>
        <w:t>employment as of each applicable vesting date</w:t>
      </w:r>
      <w:r>
        <w:rPr>
          <w:rFonts w:ascii="Arial;sans-serif" w:hAnsi="Arial;sans-serif"/>
          <w:b w:val="false"/>
          <w:i w:val="false"/>
          <w:caps w:val="false"/>
          <w:smallCaps w:val="false"/>
          <w:strike w:val="false"/>
          <w:dstrike w:val="false"/>
          <w:sz w:val="12"/>
          <w:u w:val="none"/>
          <w:effect w:val="none"/>
        </w:rPr>
        <w:t>.</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(8)</w:t>
      </w:r>
      <w:r>
        <w:rPr>
          <w:rFonts w:ascii="Arial;sans-serif" w:hAnsi="Arial;sans-serif"/>
          <w:b w:val="false"/>
          <w:i w:val="false"/>
          <w:caps w:val="false"/>
          <w:smallCaps w:val="false"/>
          <w:sz w:val="12"/>
        </w:rPr>
        <w:t xml:space="preserve">1/8 of the RSUs vested on September 10, 2023 and 1/16 of the RSUs vest each quarter beginning December 5, 2023 and ending March 5, 2027, subject to the NEO’s continued </w:t>
      </w:r>
    </w:p>
    <w:p>
      <w:pPr>
        <w:pStyle w:val="TextBody"/>
        <w:bidi w:val="0"/>
        <w:spacing w:lineRule="atLeast" w:line="142" w:before="0" w:after="0"/>
        <w:jc w:val="left"/>
        <w:rPr/>
      </w:pPr>
      <w:r>
        <w:rPr>
          <w:rFonts w:ascii="Arial;sans-serif" w:hAnsi="Arial;sans-serif"/>
          <w:b w:val="false"/>
          <w:i w:val="false"/>
          <w:caps w:val="false"/>
          <w:smallCaps w:val="false"/>
          <w:sz w:val="12"/>
        </w:rPr>
        <w:t>employment as of each applicable vesting date</w:t>
      </w:r>
      <w:r>
        <w:rPr>
          <w:rFonts w:ascii="Arial;sans-serif" w:hAnsi="Arial;sans-serif"/>
          <w:b w:val="false"/>
          <w:i w:val="false"/>
          <w:caps w:val="false"/>
          <w:smallCaps w:val="false"/>
          <w:strike w:val="false"/>
          <w:dstrike w:val="false"/>
          <w:sz w:val="12"/>
          <w:u w:val="none"/>
          <w:effect w:val="none"/>
        </w:rPr>
        <w:t>.</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(9)</w:t>
      </w:r>
      <w:r>
        <w:rPr>
          <w:rFonts w:ascii="Arial;sans-serif" w:hAnsi="Arial;sans-serif"/>
          <w:b w:val="false"/>
          <w:i w:val="false"/>
          <w:caps w:val="false"/>
          <w:smallCaps w:val="false"/>
          <w:sz w:val="12"/>
        </w:rPr>
        <w:t xml:space="preserve">Represents the number of unvested shares subject to the 2023 PSU award as of December 31, 2025 at the actual performance level. Such earned PSUs determined in April 2024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 xml:space="preserve">include: 7,631 shares for Mr. Dhingra and 34,336 shares for Mr. Bach (in each case, on a Reverse Stock Split-adjusted basis). 1/3 of the earned PSUs vested on April 9, 2024, the date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 xml:space="preserve">the Board certified the achievement of the performance metrics, and 1/12 of the earned PSUs vest each quarter beginning June 5, 2024 and ending March 5, 2026, subject to the </w:t>
      </w:r>
    </w:p>
    <w:p>
      <w:pPr>
        <w:pStyle w:val="TextBody"/>
        <w:bidi w:val="0"/>
        <w:spacing w:lineRule="atLeast" w:line="142" w:before="0" w:after="0"/>
        <w:jc w:val="left"/>
        <w:rPr/>
      </w:pPr>
      <w:r>
        <w:rPr>
          <w:rFonts w:ascii="Arial;sans-serif" w:hAnsi="Arial;sans-serif"/>
          <w:b w:val="false"/>
          <w:i w:val="false"/>
          <w:caps w:val="false"/>
          <w:smallCaps w:val="false"/>
          <w:sz w:val="12"/>
        </w:rPr>
        <w:t>NEO’s continued employment as of each applicable vesting date</w:t>
      </w:r>
      <w:r>
        <w:rPr>
          <w:rFonts w:ascii="Arial;sans-serif" w:hAnsi="Arial;sans-serif"/>
          <w:b w:val="false"/>
          <w:i w:val="false"/>
          <w:caps w:val="false"/>
          <w:smallCaps w:val="false"/>
          <w:strike w:val="false"/>
          <w:dstrike w:val="false"/>
          <w:sz w:val="12"/>
          <w:u w:val="none"/>
          <w:effect w:val="none"/>
        </w:rPr>
        <w:t>.</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(10)</w:t>
      </w:r>
      <w:r>
        <w:rPr>
          <w:rFonts w:ascii="Arial;sans-serif" w:hAnsi="Arial;sans-serif"/>
          <w:b w:val="false"/>
          <w:i w:val="false"/>
          <w:caps w:val="false"/>
          <w:smallCaps w:val="false"/>
          <w:sz w:val="12"/>
        </w:rPr>
        <w:t xml:space="preserve">1/8 of the RSUs vested on September 15, 2024 and 1/16 of the RSUs vest each quarter beginning December 5, 2024 and ending March 5, 2028, subject to the NEO’s continued </w:t>
      </w:r>
    </w:p>
    <w:p>
      <w:pPr>
        <w:pStyle w:val="TextBody"/>
        <w:bidi w:val="0"/>
        <w:spacing w:lineRule="atLeast" w:line="142" w:before="0" w:after="0"/>
        <w:jc w:val="left"/>
        <w:rPr/>
      </w:pPr>
      <w:r>
        <w:rPr>
          <w:rFonts w:ascii="Arial;sans-serif" w:hAnsi="Arial;sans-serif"/>
          <w:b w:val="false"/>
          <w:i w:val="false"/>
          <w:caps w:val="false"/>
          <w:smallCaps w:val="false"/>
          <w:sz w:val="12"/>
        </w:rPr>
        <w:t>employment as of each applicable vesting date</w:t>
      </w:r>
      <w:r>
        <w:rPr>
          <w:rFonts w:ascii="Arial;sans-serif" w:hAnsi="Arial;sans-serif"/>
          <w:b w:val="false"/>
          <w:i w:val="false"/>
          <w:caps w:val="false"/>
          <w:smallCaps w:val="false"/>
          <w:strike w:val="false"/>
          <w:dstrike w:val="false"/>
          <w:sz w:val="12"/>
          <w:u w:val="none"/>
          <w:effect w:val="none"/>
        </w:rPr>
        <w:t>.</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(11)</w:t>
      </w:r>
      <w:r>
        <w:rPr>
          <w:rFonts w:ascii="Arial;sans-serif" w:hAnsi="Arial;sans-serif"/>
          <w:b w:val="false"/>
          <w:i w:val="false"/>
          <w:caps w:val="false"/>
          <w:smallCaps w:val="false"/>
          <w:sz w:val="12"/>
        </w:rPr>
        <w:t xml:space="preserve">The options to vest over four years, with 5/48 vested on the first monthly anniversary of September 10, 2023 and 1/48 of the options vest each monthly anniversary thereafter, subject </w:t>
      </w:r>
    </w:p>
    <w:p>
      <w:pPr>
        <w:pStyle w:val="TextBody"/>
        <w:bidi w:val="0"/>
        <w:spacing w:lineRule="atLeast" w:line="142" w:before="0" w:after="0"/>
        <w:jc w:val="left"/>
        <w:rPr/>
      </w:pPr>
      <w:r>
        <w:rPr>
          <w:rFonts w:ascii="Arial;sans-serif" w:hAnsi="Arial;sans-serif"/>
          <w:b w:val="false"/>
          <w:i w:val="false"/>
          <w:caps w:val="false"/>
          <w:smallCaps w:val="false"/>
          <w:sz w:val="12"/>
        </w:rPr>
        <w:t>to the NEO’s continued employment as of each applicable vesting date</w:t>
      </w:r>
      <w:r>
        <w:rPr>
          <w:rFonts w:ascii="Arial;sans-serif" w:hAnsi="Arial;sans-serif"/>
          <w:b w:val="false"/>
          <w:i w:val="false"/>
          <w:caps w:val="false"/>
          <w:smallCaps w:val="false"/>
          <w:strike w:val="false"/>
          <w:dstrike w:val="false"/>
          <w:sz w:val="12"/>
          <w:u w:val="none"/>
          <w:effect w:val="none"/>
        </w:rPr>
        <w:t>.</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(12)</w:t>
      </w:r>
      <w:r>
        <w:rPr>
          <w:rFonts w:ascii="Arial;sans-serif" w:hAnsi="Arial;sans-serif"/>
          <w:b w:val="false"/>
          <w:i w:val="false"/>
          <w:caps w:val="false"/>
          <w:smallCaps w:val="false"/>
          <w:sz w:val="12"/>
        </w:rPr>
        <w:t xml:space="preserve">The options vested 25% on December 4, 2024 and 1/48 of the options vest each monthly anniversary thereafter, subject to the NEO’s continued employment as of each applicable </w:t>
      </w:r>
    </w:p>
    <w:p>
      <w:pPr>
        <w:pStyle w:val="TextBody"/>
        <w:bidi w:val="0"/>
        <w:spacing w:lineRule="atLeast" w:line="142" w:before="0" w:after="0"/>
        <w:jc w:val="left"/>
        <w:rPr/>
      </w:pPr>
      <w:r>
        <w:rPr>
          <w:rFonts w:ascii="Arial;sans-serif" w:hAnsi="Arial;sans-serif"/>
          <w:b w:val="false"/>
          <w:i w:val="false"/>
          <w:caps w:val="false"/>
          <w:smallCaps w:val="false"/>
          <w:sz w:val="12"/>
        </w:rPr>
        <w:t>vesting date</w:t>
      </w:r>
      <w:r>
        <w:rPr>
          <w:rFonts w:ascii="Arial;sans-serif" w:hAnsi="Arial;sans-serif"/>
          <w:b w:val="false"/>
          <w:i w:val="false"/>
          <w:caps w:val="false"/>
          <w:smallCaps w:val="false"/>
          <w:strike w:val="false"/>
          <w:dstrike w:val="false"/>
          <w:sz w:val="12"/>
          <w:u w:val="none"/>
          <w:effect w:val="none"/>
        </w:rPr>
        <w:t>.</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(13)</w:t>
      </w:r>
      <w:r>
        <w:rPr>
          <w:rFonts w:ascii="Arial;sans-serif" w:hAnsi="Arial;sans-serif"/>
          <w:b w:val="false"/>
          <w:i w:val="false"/>
          <w:caps w:val="false"/>
          <w:smallCaps w:val="false"/>
          <w:sz w:val="12"/>
        </w:rPr>
        <w:t xml:space="preserve">25% of the RSUs vested on December 5, 2024 and 1/16 of the RSUs vest each quarter over 12 quarters beginning March 5, 2025 and ending December 5, 2027, subject to the NEO’s </w:t>
      </w:r>
    </w:p>
    <w:p>
      <w:pPr>
        <w:pStyle w:val="TextBody"/>
        <w:bidi w:val="0"/>
        <w:spacing w:lineRule="atLeast" w:line="142" w:before="0" w:after="0"/>
        <w:jc w:val="left"/>
        <w:rPr/>
      </w:pPr>
      <w:r>
        <w:rPr>
          <w:rFonts w:ascii="Arial;sans-serif" w:hAnsi="Arial;sans-serif"/>
          <w:b w:val="false"/>
          <w:i w:val="false"/>
          <w:caps w:val="false"/>
          <w:smallCaps w:val="false"/>
          <w:sz w:val="12"/>
        </w:rPr>
        <w:t>continued employment as of each applicable vesting date</w:t>
      </w:r>
      <w:r>
        <w:rPr>
          <w:rFonts w:ascii="Arial;sans-serif" w:hAnsi="Arial;sans-serif"/>
          <w:b w:val="false"/>
          <w:i w:val="false"/>
          <w:caps w:val="false"/>
          <w:smallCaps w:val="false"/>
          <w:strike w:val="false"/>
          <w:dstrike w:val="false"/>
          <w:sz w:val="12"/>
          <w:u w:val="none"/>
          <w:effect w:val="none"/>
        </w:rPr>
        <w:t>.</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(14)</w:t>
      </w:r>
      <w:r>
        <w:rPr>
          <w:rFonts w:ascii="Arial;sans-serif" w:hAnsi="Arial;sans-serif"/>
          <w:b w:val="false"/>
          <w:i w:val="false"/>
          <w:caps w:val="false"/>
          <w:smallCaps w:val="false"/>
          <w:sz w:val="12"/>
        </w:rPr>
        <w:t xml:space="preserve">25% of the RSUs vested on March 5, 2025; 25% vested on June 5, 2025; and thereafter 1/16 will vest quarterly thereafter, subject to Mr. Boussaid’s continued employment through </w:t>
      </w:r>
    </w:p>
    <w:p>
      <w:pPr>
        <w:pStyle w:val="TextBody"/>
        <w:bidi w:val="0"/>
        <w:spacing w:lineRule="atLeast" w:line="142" w:before="0" w:after="0"/>
        <w:jc w:val="left"/>
        <w:rPr/>
      </w:pPr>
      <w:r>
        <w:rPr>
          <w:rFonts w:ascii="Arial;sans-serif" w:hAnsi="Arial;sans-serif"/>
          <w:b w:val="false"/>
          <w:i w:val="false"/>
          <w:caps w:val="false"/>
          <w:smallCaps w:val="false"/>
          <w:sz w:val="12"/>
        </w:rPr>
        <w:t>each vesting date</w:t>
      </w:r>
      <w:r>
        <w:rPr>
          <w:rFonts w:ascii="Arial;sans-serif" w:hAnsi="Arial;sans-serif"/>
          <w:b w:val="false"/>
          <w:i w:val="false"/>
          <w:caps w:val="false"/>
          <w:smallCaps w:val="false"/>
          <w:strike w:val="false"/>
          <w:dstrike w:val="false"/>
          <w:sz w:val="12"/>
          <w:u w:val="none"/>
          <w:effect w:val="none"/>
        </w:rPr>
        <w:t>.</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(15)</w:t>
      </w:r>
      <w:r>
        <w:rPr>
          <w:rFonts w:ascii="Arial;sans-serif" w:hAnsi="Arial;sans-serif"/>
          <w:b w:val="false"/>
          <w:i w:val="false"/>
          <w:caps w:val="false"/>
          <w:smallCaps w:val="false"/>
          <w:sz w:val="12"/>
        </w:rPr>
        <w:t xml:space="preserve">The numbers shown in the table that correspond to this footnote represent the 2024 tranche of the 2024 PSU awards that were unvested as of December 31, 2025. 1/2 of the earned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 xml:space="preserve">PSUs vested on March 5, 2025, and 1/8 of the earned RSUs vest each quarter beginning June 5, 2025 and ending March 5, 2026, subject to the NEO’s continued employment as of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each applicable vesting date.</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(16)</w:t>
      </w:r>
      <w:r>
        <w:rPr>
          <w:rFonts w:ascii="Arial;sans-serif" w:hAnsi="Arial;sans-serif"/>
          <w:b w:val="false"/>
          <w:i w:val="false"/>
          <w:caps w:val="false"/>
          <w:smallCaps w:val="false"/>
          <w:sz w:val="12"/>
        </w:rPr>
        <w:t xml:space="preserve">Represents PSUs at 57.3% of target level of performance, as adjusted by the achieved PSU Payout Factor for the 2025 tranche of the 2024 PSU awards. The earned PSUs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 xml:space="preserve">determined in March 2026 include: 61,214 for Mr. Winterhoff and 11,950 for Mr. Dhingra. Mr. Bach was not eligible for a payout with respect to the 2025 tranche of his 2024 annual </w:t>
      </w:r>
    </w:p>
    <w:p>
      <w:pPr>
        <w:pStyle w:val="TextBody"/>
        <w:bidi w:val="0"/>
        <w:spacing w:lineRule="atLeast" w:line="142" w:before="0" w:after="0"/>
        <w:jc w:val="left"/>
        <w:rPr/>
      </w:pPr>
      <w:r>
        <w:rPr>
          <w:rFonts w:ascii="Arial;sans-serif" w:hAnsi="Arial;sans-serif"/>
          <w:b w:val="false"/>
          <w:i w:val="false"/>
          <w:caps w:val="false"/>
          <w:smallCaps w:val="false"/>
          <w:sz w:val="12"/>
        </w:rPr>
        <w:t>PSU grant due to his separation</w:t>
      </w:r>
      <w:r>
        <w:rPr>
          <w:rFonts w:ascii="Arial;sans-serif" w:hAnsi="Arial;sans-serif"/>
          <w:b w:val="false"/>
          <w:i w:val="false"/>
          <w:caps w:val="false"/>
          <w:smallCaps w:val="false"/>
          <w:strike w:val="false"/>
          <w:dstrike w:val="false"/>
          <w:sz w:val="12"/>
          <w:u w:val="none"/>
          <w:effect w:val="none"/>
        </w:rPr>
        <w:t xml:space="preserve">. </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(17)</w:t>
      </w:r>
      <w:r>
        <w:rPr>
          <w:rFonts w:ascii="Arial;sans-serif" w:hAnsi="Arial;sans-serif"/>
          <w:b w:val="false"/>
          <w:i w:val="false"/>
          <w:caps w:val="false"/>
          <w:smallCaps w:val="false"/>
          <w:sz w:val="12"/>
        </w:rPr>
        <w:t xml:space="preserve">Represents PSUs at 57.5% of target level of performance, as adjusted by the achieved PSU Payout Factor for the 2025 tranche of the 2025 PSU awards. The earned PSUs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 xml:space="preserve">determined in March 2026 include: 28,751 for Mr. Winterhoff, 57,627 for Mr. Boussaid, and 28,849 collectively for both Mr. Dhingra's 2025 PSU awards together. 1/2 of the earned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 xml:space="preserve">PSUs vested on March 5, 2026, and the remaining 1/2 of earned shares for the 2025 tranche vest in equal quarterly installments over the following four quarters, subject to the NEO’s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continued service through the applicable vesting dates.</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(18)</w:t>
      </w:r>
      <w:r>
        <w:rPr>
          <w:rFonts w:ascii="Arial;sans-serif" w:hAnsi="Arial;sans-serif"/>
          <w:b w:val="false"/>
          <w:i w:val="false"/>
          <w:caps w:val="false"/>
          <w:smallCaps w:val="false"/>
          <w:sz w:val="12"/>
        </w:rPr>
        <w:t xml:space="preserve">Represents unearned PSUs at target level of performance pursuant to the 2025 PSU awards for the 2026 Tranche. For the 2026 Tranche: 50% of earned shares vest upon the later of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 xml:space="preserve">March 5, 2027 or the certification of achievement which is expected to occur in the first quarter 2027. The remaining 50% of earned shares vest in equal quarterly installments over the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following four quarters, subject to the NEO’s continued service through the applicable vesting dates.</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(19)</w:t>
      </w:r>
      <w:r>
        <w:rPr>
          <w:rFonts w:ascii="Arial;sans-serif" w:hAnsi="Arial;sans-serif"/>
          <w:b w:val="false"/>
          <w:i w:val="false"/>
          <w:caps w:val="false"/>
          <w:smallCaps w:val="false"/>
          <w:sz w:val="12"/>
        </w:rPr>
        <w:t xml:space="preserve">Mr. Bach separated from service effective November 5, 2025. On the date of his separation, Mr. Bach’s equity awards were (i) previously vested and exercisable as scheduled, or (ii)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 xml:space="preserve">forfeited. None of Mr. Bach’s unvested RSUs were accelerated under the Executive Severance Plan and his participation agreement thereunder. Mr. Bach’s vested stock options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remained exercisable for 90 days following his separation date.</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(20)</w:t>
      </w:r>
      <w:r>
        <w:rPr>
          <w:rFonts w:ascii="Arial;sans-serif" w:hAnsi="Arial;sans-serif"/>
          <w:b w:val="false"/>
          <w:i w:val="false"/>
          <w:caps w:val="false"/>
          <w:smallCaps w:val="false"/>
          <w:sz w:val="12"/>
        </w:rPr>
        <w:t xml:space="preserve">Market value is calculated based on $10.57 per share, the closing price of our common stock on December 31, 2025.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69</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Option Exercises and Stock Vested</w:t>
      </w:r>
    </w:p>
    <w:tbl>
      <w:tblPr>
        <w:tblW w:w="7064" w:type="dxa"/>
        <w:jc w:val="left"/>
        <w:tblInd w:w="0" w:type="dxa"/>
        <w:tblLayout w:type="fixed"/>
        <w:tblCellMar>
          <w:top w:w="28" w:type="dxa"/>
          <w:left w:w="28" w:type="dxa"/>
          <w:bottom w:w="28" w:type="dxa"/>
          <w:right w:w="28" w:type="dxa"/>
        </w:tblCellMar>
      </w:tblPr>
      <w:tblGrid>
        <w:gridCol w:w="124"/>
        <w:gridCol w:w="1366"/>
        <w:gridCol w:w="109"/>
        <w:gridCol w:w="1591"/>
        <w:gridCol w:w="109"/>
        <w:gridCol w:w="1066"/>
        <w:gridCol w:w="109"/>
        <w:gridCol w:w="1261"/>
        <w:gridCol w:w="109"/>
        <w:gridCol w:w="10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36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59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6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6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66"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36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766" w:type="dxa"/>
            <w:gridSpan w:val="3"/>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Option Awards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436" w:type="dxa"/>
            <w:gridSpan w:val="3"/>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Stock Awards </w:t>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36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36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36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59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Number of Shares</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Acquired on Exercise</w:t>
            </w:r>
            <w:r>
              <w:rPr>
                <w:rFonts w:ascii="Arial;sans-serif" w:hAnsi="Arial;sans-serif"/>
                <w:b/>
                <w:i w:val="false"/>
                <w:caps w:val="false"/>
                <w:smallCaps w:val="false"/>
                <w:strike w:val="false"/>
                <w:dstrike w:val="false"/>
                <w:color w:val="FEFEFE"/>
                <w:sz w:val="9"/>
                <w:u w:val="none"/>
                <w:effect w:val="none"/>
              </w:rPr>
              <w:t>(1)</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6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Value Realized</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on Exercise</w:t>
            </w:r>
            <w:r>
              <w:rPr>
                <w:rFonts w:ascii="Arial;sans-serif" w:hAnsi="Arial;sans-serif"/>
                <w:b/>
                <w:i w:val="false"/>
                <w:caps w:val="false"/>
                <w:smallCaps w:val="false"/>
                <w:strike w:val="false"/>
                <w:dstrike w:val="false"/>
                <w:color w:val="FEFEFE"/>
                <w:sz w:val="9"/>
                <w:u w:val="none"/>
                <w:effect w:val="none"/>
              </w:rPr>
              <w:t>(2)</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6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Number of Shares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Acquired on</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Vesting</w:t>
            </w:r>
            <w:r>
              <w:rPr>
                <w:rFonts w:ascii="Arial;sans-serif" w:hAnsi="Arial;sans-serif"/>
                <w:b/>
                <w:i w:val="false"/>
                <w:caps w:val="false"/>
                <w:smallCaps w:val="false"/>
                <w:strike w:val="false"/>
                <w:dstrike w:val="false"/>
                <w:color w:val="FEFEFE"/>
                <w:sz w:val="9"/>
                <w:u w:val="none"/>
                <w:effect w:val="none"/>
              </w:rPr>
              <w:t>(3)</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6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Value Realized</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on Vesting</w:t>
            </w:r>
            <w:r>
              <w:rPr>
                <w:rFonts w:ascii="Arial;sans-serif" w:hAnsi="Arial;sans-serif"/>
                <w:b/>
                <w:i w:val="false"/>
                <w:caps w:val="false"/>
                <w:smallCaps w:val="false"/>
                <w:strike w:val="false"/>
                <w:dstrike w:val="false"/>
                <w:color w:val="FEFEFE"/>
                <w:sz w:val="9"/>
                <w:u w:val="none"/>
                <w:effect w:val="none"/>
              </w:rPr>
              <w:t>(4)</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36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59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6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6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66"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Marc Winterhoff</w:t>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185,329</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3,509,160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Taoufiq Boussaid</w:t>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83,516</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1,699,623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Gagan Dhingra</w:t>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55,129</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1,011,716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Eric Bach </w:t>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124,894</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2,495,897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Peter Rawlinson</w:t>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337,984</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7,030,067</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259,402</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5,141,344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Represents the number of shares of common stock underlying stock options exercised during fiscal 2025.</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trike w:val="false"/>
          <w:dstrike w:val="false"/>
          <w:sz w:val="12"/>
          <w:u w:val="none"/>
          <w:effect w:val="none"/>
        </w:rPr>
        <w:t xml:space="preserve">Computed as the aggregate dollar amount realized upon the exercise of options, determined by multiplying the number of shares of common stock underlying stock options exercised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and the difference between the closing price of the underlying shares on the date of exercise and the exercise price of the options.</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(3)</w:t>
      </w:r>
      <w:r>
        <w:rPr>
          <w:rFonts w:ascii="Arial;sans-serif" w:hAnsi="Arial;sans-serif"/>
          <w:b w:val="false"/>
          <w:i w:val="false"/>
          <w:caps w:val="false"/>
          <w:smallCaps w:val="false"/>
          <w:strike w:val="false"/>
          <w:dstrike w:val="false"/>
          <w:sz w:val="12"/>
          <w:u w:val="none"/>
          <w:effect w:val="none"/>
        </w:rPr>
        <w:t>Represents the number of shares of common stock acquired on vesting of the underlying RSUs and PSUs during fiscal 2025.</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(4)</w:t>
      </w:r>
      <w:r>
        <w:rPr>
          <w:rFonts w:ascii="Arial;sans-serif" w:hAnsi="Arial;sans-serif"/>
          <w:b w:val="false"/>
          <w:i w:val="false"/>
          <w:caps w:val="false"/>
          <w:smallCaps w:val="false"/>
          <w:strike w:val="false"/>
          <w:dstrike w:val="false"/>
          <w:sz w:val="12"/>
          <w:u w:val="none"/>
          <w:effect w:val="none"/>
        </w:rPr>
        <w:t xml:space="preserve">Computed as the aggregate dollar amount realized upon the vesting of RSUs or PSUs, determined by multiplying the number of units vesting as of the applicable vesting date by the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closing price of our Common Stock on the trading day prior to the applicable vesting date.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70</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Potential Payments Upon Termination or Change in Control</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table below sets forth the payments and benefits that each NEO would have been entitled to receive upon a qualifying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termination of employment with the Company with or without the occurrence of a change in control, assuming the relevant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termination event (or termination and change in control events) occurred on December 31, 2025. With respect to Mr. </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Rawlinson, who transitioned to the role of Strategic Technical Advisor in February 2025, please also see “</w:t>
      </w:r>
      <w:r>
        <w:rPr>
          <w:rFonts w:ascii="Arial;sans-serif" w:hAnsi="Arial;sans-serif"/>
          <w:b w:val="false"/>
          <w:i/>
          <w:strike w:val="false"/>
          <w:dstrike w:val="false"/>
          <w:sz w:val="18"/>
          <w:u w:val="none"/>
          <w:effect w:val="none"/>
        </w:rPr>
        <w:t xml:space="preserve">Mr. Rawlinson </w:t>
      </w:r>
    </w:p>
    <w:p>
      <w:pPr>
        <w:pStyle w:val="TextBody"/>
        <w:bidi w:val="0"/>
        <w:spacing w:lineRule="atLeast" w:line="180" w:before="0" w:after="0"/>
        <w:jc w:val="left"/>
        <w:rPr/>
      </w:pPr>
      <w:r>
        <w:rPr>
          <w:rFonts w:ascii="Arial;sans-serif" w:hAnsi="Arial;sans-serif"/>
          <w:b w:val="false"/>
          <w:i/>
          <w:strike w:val="false"/>
          <w:dstrike w:val="false"/>
          <w:sz w:val="18"/>
          <w:u w:val="none"/>
          <w:effect w:val="none"/>
        </w:rPr>
        <w:t>Transition Agreement</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for a description of severance amounts he is actually entitled to. </w:t>
      </w:r>
    </w:p>
    <w:tbl>
      <w:tblPr>
        <w:tblW w:w="8468" w:type="dxa"/>
        <w:jc w:val="left"/>
        <w:tblInd w:w="0" w:type="dxa"/>
        <w:tblLayout w:type="fixed"/>
        <w:tblCellMar>
          <w:top w:w="28" w:type="dxa"/>
          <w:left w:w="28" w:type="dxa"/>
          <w:bottom w:w="28" w:type="dxa"/>
          <w:right w:w="28" w:type="dxa"/>
        </w:tblCellMar>
      </w:tblPr>
      <w:tblGrid>
        <w:gridCol w:w="124"/>
        <w:gridCol w:w="1366"/>
        <w:gridCol w:w="109"/>
        <w:gridCol w:w="2941"/>
        <w:gridCol w:w="109"/>
        <w:gridCol w:w="1083"/>
        <w:gridCol w:w="267"/>
        <w:gridCol w:w="109"/>
        <w:gridCol w:w="1035"/>
        <w:gridCol w:w="255"/>
        <w:gridCol w:w="109"/>
        <w:gridCol w:w="961"/>
      </w:tblGrid>
      <w:tr>
        <w:trPr/>
        <w:tc>
          <w:tcPr>
            <w:tcW w:w="12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36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94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83" w:type="dxa"/>
            <w:tcBorders/>
            <w:shd w:fill="000000" w:val="clear"/>
            <w:vAlign w:val="center"/>
          </w:tcPr>
          <w:p>
            <w:pPr>
              <w:pStyle w:val="TableContents"/>
              <w:bidi w:val="0"/>
              <w:spacing w:before="0" w:after="283"/>
              <w:jc w:val="left"/>
              <w:rPr>
                <w:sz w:val="4"/>
                <w:szCs w:val="4"/>
              </w:rPr>
            </w:pPr>
            <w:r>
              <w:rPr>
                <w:sz w:val="4"/>
                <w:szCs w:val="4"/>
              </w:rPr>
            </w:r>
          </w:p>
        </w:tc>
        <w:tc>
          <w:tcPr>
            <w:tcW w:w="267"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5" w:type="dxa"/>
            <w:tcBorders/>
            <w:shd w:fill="000000" w:val="clear"/>
            <w:vAlign w:val="center"/>
          </w:tcPr>
          <w:p>
            <w:pPr>
              <w:pStyle w:val="TableContents"/>
              <w:bidi w:val="0"/>
              <w:spacing w:before="0" w:after="283"/>
              <w:jc w:val="left"/>
              <w:rPr>
                <w:sz w:val="4"/>
                <w:szCs w:val="4"/>
              </w:rPr>
            </w:pPr>
            <w:r>
              <w:rPr>
                <w:sz w:val="4"/>
                <w:szCs w:val="4"/>
              </w:rPr>
            </w:r>
          </w:p>
        </w:tc>
        <w:tc>
          <w:tcPr>
            <w:tcW w:w="255"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6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36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94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Benefit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350" w:type="dxa"/>
            <w:gridSpan w:val="2"/>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Termination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Without Cause or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Resignation for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Good Reason Other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than Change in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Control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290" w:type="dxa"/>
            <w:gridSpan w:val="2"/>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Termination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Without Cause or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Resignation for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Good Reason in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Connection with a</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Change in Control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6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Death or</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Disability</w:t>
            </w:r>
            <w:r>
              <w:rPr>
                <w:rFonts w:ascii="Arial;sans-serif" w:hAnsi="Arial;sans-serif"/>
                <w:b/>
                <w:i w:val="false"/>
                <w:caps w:val="false"/>
                <w:smallCaps w:val="false"/>
                <w:strike w:val="false"/>
                <w:dstrike w:val="false"/>
                <w:color w:val="FEFEFE"/>
                <w:sz w:val="9"/>
                <w:u w:val="none"/>
                <w:effect w:val="none"/>
              </w:rPr>
              <w:t>(1)</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36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94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83" w:type="dxa"/>
            <w:tcBorders/>
            <w:shd w:fill="000000" w:val="clear"/>
            <w:vAlign w:val="center"/>
          </w:tcPr>
          <w:p>
            <w:pPr>
              <w:pStyle w:val="TableContents"/>
              <w:bidi w:val="0"/>
              <w:spacing w:before="0" w:after="283"/>
              <w:jc w:val="left"/>
              <w:rPr>
                <w:sz w:val="4"/>
                <w:szCs w:val="4"/>
              </w:rPr>
            </w:pPr>
            <w:r>
              <w:rPr>
                <w:sz w:val="4"/>
                <w:szCs w:val="4"/>
              </w:rPr>
            </w:r>
          </w:p>
        </w:tc>
        <w:tc>
          <w:tcPr>
            <w:tcW w:w="267"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5" w:type="dxa"/>
            <w:tcBorders/>
            <w:shd w:fill="000000" w:val="clear"/>
            <w:vAlign w:val="center"/>
          </w:tcPr>
          <w:p>
            <w:pPr>
              <w:pStyle w:val="TableContents"/>
              <w:bidi w:val="0"/>
              <w:spacing w:before="0" w:after="283"/>
              <w:jc w:val="left"/>
              <w:rPr>
                <w:sz w:val="4"/>
                <w:szCs w:val="4"/>
              </w:rPr>
            </w:pPr>
            <w:r>
              <w:rPr>
                <w:sz w:val="4"/>
                <w:szCs w:val="4"/>
              </w:rPr>
            </w:r>
          </w:p>
        </w:tc>
        <w:tc>
          <w:tcPr>
            <w:tcW w:w="255"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6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restart"/>
            <w:tcBorders/>
            <w:vAlign w:val="center"/>
          </w:tcPr>
          <w:p>
            <w:pPr>
              <w:pStyle w:val="TableContents"/>
              <w:bidi w:val="0"/>
              <w:spacing w:before="0" w:after="283"/>
              <w:jc w:val="left"/>
              <w:rPr>
                <w:sz w:val="4"/>
                <w:szCs w:val="4"/>
              </w:rPr>
            </w:pPr>
            <w:r>
              <w:rPr>
                <w:sz w:val="4"/>
                <w:szCs w:val="4"/>
              </w:rPr>
            </w:r>
          </w:p>
        </w:tc>
        <w:tc>
          <w:tcPr>
            <w:tcW w:w="1366" w:type="dxa"/>
            <w:vMerge w:val="restart"/>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Marc Winterhoff</w:t>
            </w:r>
          </w:p>
        </w:tc>
        <w:tc>
          <w:tcPr>
            <w:tcW w:w="109" w:type="dxa"/>
            <w:vMerge w:val="restart"/>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Cash severance </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1,309,000</w:t>
            </w:r>
          </w:p>
        </w:tc>
        <w:tc>
          <w:tcPr>
            <w:tcW w:w="267"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1,309,000</w:t>
            </w:r>
          </w:p>
        </w:tc>
        <w:tc>
          <w:tcPr>
            <w:tcW w:w="25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Accelerated Vesting of Equity Awards* </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1,207,549</w:t>
            </w:r>
          </w:p>
        </w:tc>
        <w:tc>
          <w:tcPr>
            <w:tcW w:w="267"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(3)</w:t>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3,679,142</w:t>
            </w:r>
          </w:p>
        </w:tc>
        <w:tc>
          <w:tcPr>
            <w:tcW w:w="25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(4)</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3,679,142</w:t>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Health Benefits </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22,214</w:t>
            </w:r>
          </w:p>
        </w:tc>
        <w:tc>
          <w:tcPr>
            <w:tcW w:w="267"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(5)</w:t>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22,214</w:t>
            </w:r>
          </w:p>
        </w:tc>
        <w:tc>
          <w:tcPr>
            <w:tcW w:w="25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(5)</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$2,538,763</w:t>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$5,010,356</w:t>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$3,679,142</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vMerge w:val="restart"/>
            <w:tcBorders/>
            <w:vAlign w:val="center"/>
          </w:tcPr>
          <w:p>
            <w:pPr>
              <w:pStyle w:val="TableContents"/>
              <w:bidi w:val="0"/>
              <w:spacing w:before="0" w:after="283"/>
              <w:jc w:val="left"/>
              <w:rPr>
                <w:sz w:val="4"/>
                <w:szCs w:val="4"/>
              </w:rPr>
            </w:pPr>
            <w:r>
              <w:rPr>
                <w:sz w:val="4"/>
                <w:szCs w:val="4"/>
              </w:rPr>
            </w:r>
          </w:p>
        </w:tc>
        <w:tc>
          <w:tcPr>
            <w:tcW w:w="1366" w:type="dxa"/>
            <w:vMerge w:val="restart"/>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Taoufiq Boussaid</w:t>
            </w:r>
          </w:p>
        </w:tc>
        <w:tc>
          <w:tcPr>
            <w:tcW w:w="109" w:type="dxa"/>
            <w:vMerge w:val="restart"/>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Cash Severance </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431,250</w:t>
            </w:r>
          </w:p>
        </w:tc>
        <w:tc>
          <w:tcPr>
            <w:tcW w:w="267"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1,093,000</w:t>
            </w:r>
          </w:p>
        </w:tc>
        <w:tc>
          <w:tcPr>
            <w:tcW w:w="25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Accelerated Vesting of Equity Awards* </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67"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(3)</w:t>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2,198,032</w:t>
            </w:r>
          </w:p>
        </w:tc>
        <w:tc>
          <w:tcPr>
            <w:tcW w:w="25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(4)</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2,198,032</w:t>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Health Benefits </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20,619</w:t>
            </w:r>
          </w:p>
        </w:tc>
        <w:tc>
          <w:tcPr>
            <w:tcW w:w="267"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(5)</w:t>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27,492</w:t>
            </w:r>
          </w:p>
        </w:tc>
        <w:tc>
          <w:tcPr>
            <w:tcW w:w="25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(5)</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Repatriation and Global Tax Expenses</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275,000</w:t>
            </w:r>
          </w:p>
        </w:tc>
        <w:tc>
          <w:tcPr>
            <w:tcW w:w="267"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(6)</w:t>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275,000</w:t>
            </w:r>
          </w:p>
        </w:tc>
        <w:tc>
          <w:tcPr>
            <w:tcW w:w="25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(6)</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$726,869</w:t>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$3,593,524</w:t>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$2,198,032</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vMerge w:val="restart"/>
            <w:tcBorders/>
            <w:vAlign w:val="center"/>
          </w:tcPr>
          <w:p>
            <w:pPr>
              <w:pStyle w:val="TableContents"/>
              <w:bidi w:val="0"/>
              <w:spacing w:before="0" w:after="283"/>
              <w:jc w:val="left"/>
              <w:rPr>
                <w:sz w:val="4"/>
                <w:szCs w:val="4"/>
              </w:rPr>
            </w:pPr>
            <w:r>
              <w:rPr>
                <w:sz w:val="4"/>
                <w:szCs w:val="4"/>
              </w:rPr>
            </w:r>
          </w:p>
        </w:tc>
        <w:tc>
          <w:tcPr>
            <w:tcW w:w="1366" w:type="dxa"/>
            <w:vMerge w:val="restart"/>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Gagan Dhingra</w:t>
            </w:r>
          </w:p>
        </w:tc>
        <w:tc>
          <w:tcPr>
            <w:tcW w:w="109" w:type="dxa"/>
            <w:vMerge w:val="restart"/>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Cash Severance </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356,250</w:t>
            </w:r>
          </w:p>
        </w:tc>
        <w:tc>
          <w:tcPr>
            <w:tcW w:w="267"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831,250</w:t>
            </w:r>
          </w:p>
        </w:tc>
        <w:tc>
          <w:tcPr>
            <w:tcW w:w="25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Accelerated Vesting of Equity Awards* </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67"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(3)</w:t>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1,861,018</w:t>
            </w:r>
          </w:p>
        </w:tc>
        <w:tc>
          <w:tcPr>
            <w:tcW w:w="25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(4)</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1,861,018</w:t>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Health Benefits </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16,661</w:t>
            </w:r>
          </w:p>
        </w:tc>
        <w:tc>
          <w:tcPr>
            <w:tcW w:w="267"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(5)</w:t>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22,214</w:t>
            </w:r>
          </w:p>
        </w:tc>
        <w:tc>
          <w:tcPr>
            <w:tcW w:w="25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0"/>
                <w:u w:val="none"/>
                <w:effect w:val="none"/>
              </w:rPr>
            </w:pPr>
            <w:r>
              <w:rPr>
                <w:rFonts w:ascii="Arial;sans-serif" w:hAnsi="Arial;sans-serif"/>
                <w:b w:val="false"/>
                <w:i w:val="false"/>
                <w:caps w:val="false"/>
                <w:smallCaps w:val="false"/>
                <w:strike w:val="false"/>
                <w:dstrike w:val="false"/>
                <w:sz w:val="10"/>
                <w:u w:val="none"/>
                <w:effect w:val="none"/>
              </w:rPr>
              <w:t>(5)</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$372,911</w:t>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$2,714,482</w:t>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$1,861,018</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vMerge w:val="restart"/>
            <w:tcBorders/>
            <w:vAlign w:val="center"/>
          </w:tcPr>
          <w:p>
            <w:pPr>
              <w:pStyle w:val="TableContents"/>
              <w:bidi w:val="0"/>
              <w:spacing w:before="0" w:after="283"/>
              <w:jc w:val="left"/>
              <w:rPr>
                <w:sz w:val="4"/>
                <w:szCs w:val="4"/>
              </w:rPr>
            </w:pPr>
            <w:r>
              <w:rPr>
                <w:sz w:val="4"/>
                <w:szCs w:val="4"/>
              </w:rPr>
            </w:r>
          </w:p>
        </w:tc>
        <w:tc>
          <w:tcPr>
            <w:tcW w:w="1366" w:type="dxa"/>
            <w:vMerge w:val="restart"/>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Peter Rawlinson</w:t>
            </w:r>
          </w:p>
        </w:tc>
        <w:tc>
          <w:tcPr>
            <w:tcW w:w="109" w:type="dxa"/>
            <w:vMerge w:val="restart"/>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Cash Severance </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Accelerated Vesting of Equity Awards* </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Health Benefits </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941"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*Equity awards are valued at $10.57 per share, the closing price of a share of our Common Stock on December 31, 2025, the last trading day of fiscal year 2025.</w:t>
      </w:r>
    </w:p>
    <w:p>
      <w:pPr>
        <w:pStyle w:val="TextBody"/>
        <w:bidi w:val="0"/>
        <w:spacing w:lineRule="atLeast" w:line="142" w:before="0" w:after="0"/>
        <w:jc w:val="left"/>
        <w:rPr>
          <w:sz w:val="24"/>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 xml:space="preserve">Death or Disability Accelerated Vesting. Under the Acceleration Policy, except in the case of the CEO Performance RSUs, upon the death or disability of a NEO on December 31, 2025,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all of such NEO’s outstanding equity awards would have vested.</w:t>
      </w:r>
    </w:p>
    <w:p>
      <w:pPr>
        <w:pStyle w:val="TextBody"/>
        <w:bidi w:val="0"/>
        <w:spacing w:lineRule="atLeast" w:line="142" w:before="0" w:after="0"/>
        <w:jc w:val="left"/>
        <w:rPr>
          <w:sz w:val="24"/>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trike w:val="false"/>
          <w:dstrike w:val="false"/>
          <w:sz w:val="12"/>
          <w:u w:val="none"/>
          <w:effect w:val="none"/>
        </w:rPr>
        <w:t xml:space="preserve">Cash Severance. Under the Executive Severance Plan, the amount includes (i) for a qualifying non-Change in Control Termination, base salary continuation for the number of months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set forth in the NEO’s participation agreement (12 months for Mr. Winterhoff and nine months for Messrs. Boussaid and Dhingra); and (ii) for a qualifying Change in Control Termination,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a lump-sum payment equal to the sum of the NEO’s annual base salary and target annual cash incentive divided by 12, and multiplied by the number of months set forth in the NEO’s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participation agreement (12 months for Messrs. Winterhoff, Boussaid, and Dhingra). Pursuant to the terms of Mr. Winterhoff’s offer letter, he is eligible to receive a prorated bonus upon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a qualified termination.</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(3)</w:t>
      </w:r>
      <w:r>
        <w:rPr>
          <w:rFonts w:ascii="Arial;sans-serif" w:hAnsi="Arial;sans-serif"/>
          <w:b w:val="false"/>
          <w:i w:val="false"/>
          <w:caps w:val="false"/>
          <w:smallCaps w:val="false"/>
          <w:strike w:val="false"/>
          <w:dstrike w:val="false"/>
          <w:sz w:val="12"/>
          <w:u w:val="none"/>
          <w:effect w:val="none"/>
        </w:rPr>
        <w:t xml:space="preserve">Qualified Non-Change in Control Termination. In general, under the Executive Severance Plan, unvested equity awards are forfeited upon the NEO’s termination for any reason that is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not in connection with a change in control. However, vesting for equity awards granted prior to the July 23, 2021 effective date of the Executive Severance Plan (the “Effective Date”)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accelerate by a percentage equal to 25% plus 5% for each year of service, up to a maximum of 50% (the “Applicable Percentage”). Messrs. Winterhoff, Boussaid, and Dhingra do not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have any equity awards that were granted prior to the Effective Date. Pursuant to Mr. Winterhoff’s offer letter, his unvested equity awards in the form of 35,696 RSUs and 35,688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Premium-Priced Options with an exercise price of  $52.50 fully accelerate upon his qualifying termination. The amount for Mr. Winterhoff includes (i) the unvested sign on RSUs valued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at $10.57 per share; (ii) unvested sign on stock options valued by the product of (a) the difference between $10.57 (the closing price of a share of our Common Stock on December 31,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2025, the last trading day of fiscal year 2025) and $52.50 (the exercise price per share for each option) by (b) the number of unvested shares subject to the option, unless such product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results in a negative value; (iii) and the unvested portion of his sign on PSUs with a grant value of  $6,000,000, subject to applicable performance-vesting conditions.</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(4)</w:t>
      </w:r>
      <w:r>
        <w:rPr>
          <w:rFonts w:ascii="Arial;sans-serif" w:hAnsi="Arial;sans-serif"/>
          <w:b w:val="false"/>
          <w:i w:val="false"/>
          <w:caps w:val="false"/>
          <w:smallCaps w:val="false"/>
          <w:strike w:val="false"/>
          <w:dstrike w:val="false"/>
          <w:sz w:val="12"/>
          <w:u w:val="none"/>
          <w:effect w:val="none"/>
        </w:rPr>
        <w:t xml:space="preserve">Qualified Change in Control Termination. Under the Executive Severance Plan, unvested equity awards vest, and, as applicable, become exercisable, effective as of immediately prior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to the Change in Control Termination, as to 100% of unvested shares per equity award. Amount includes the value of unvested options computed by multiplying (i) the difference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between (a) $10.57 and (b) the exercise price per share for each option (but not below zero) by (ii) the number of unvested shares subject to the option. Amount also includes unvested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RSUs and PSUs valued at $10.57 per share based on target performance with respect to PSUs. Pursuant to Mr. Winterhoff’s offer letter, the amount for Mr. Winterhoff includes (i) the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71</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unvested RSUs valued at $10.57 per share; (ii) unvested stock options valued by the product of  (a) the difference between $10.57 (the closing price of a share of our Common Stock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on December 31, 2025, the last trading day of fiscal year 2025) and $52.50 (the exercise price per share for each option) by (b) the number of unvested shares subject to the option,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unless such product results in a negative value; (iii) and the unvested portion of his sign on PSUs with a grant value of  $6,000,000, subject to applicable performance-vesting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conditions.</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(5)</w:t>
      </w:r>
      <w:r>
        <w:rPr>
          <w:rFonts w:ascii="Arial;sans-serif" w:hAnsi="Arial;sans-serif"/>
          <w:b w:val="false"/>
          <w:i w:val="false"/>
          <w:caps w:val="false"/>
          <w:smallCaps w:val="false"/>
          <w:strike w:val="false"/>
          <w:dstrike w:val="false"/>
          <w:sz w:val="12"/>
          <w:u w:val="none"/>
          <w:effect w:val="none"/>
        </w:rPr>
        <w:t xml:space="preserve">COBRA. Amount includes Company-paid COBRA premiums for medical, dental, and vision coverage continuation for the number of months set for the NEO’s participation agreement.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For a qualifying non-Change in Control Termination: 12 months for Mr. Winterhoff and nine months for Messrs. Boussaid and Dhingra. For a qualifying Change in Control Termination: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12 months for Messrs. Winterhoff, Boussaid, and Dhingra. In addition to the amount shown, the NEO would be entitled to receive a gross-up for applicable taxes on the Company-paid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COBRA premiums. </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(6)</w:t>
      </w:r>
      <w:r>
        <w:rPr>
          <w:rFonts w:ascii="Arial;sans-serif" w:hAnsi="Arial;sans-serif"/>
          <w:b w:val="false"/>
          <w:i w:val="false"/>
          <w:caps w:val="false"/>
          <w:smallCaps w:val="false"/>
          <w:strike w:val="false"/>
          <w:dstrike w:val="false"/>
          <w:sz w:val="12"/>
          <w:u w:val="none"/>
          <w:effect w:val="none"/>
        </w:rPr>
        <w:t xml:space="preserve">Repatriation and Global Tax Preparation Expenses. </w:t>
      </w:r>
      <w:r>
        <w:rPr>
          <w:rFonts w:ascii="Arial;sans-serif" w:hAnsi="Arial;sans-serif"/>
          <w:b w:val="false"/>
          <w:i w:val="false"/>
          <w:caps w:val="false"/>
          <w:smallCaps w:val="false"/>
          <w:sz w:val="12"/>
        </w:rPr>
        <w:t xml:space="preserve">Amount includes documented repatriation expenses for 12 months following involuntary termination without cause (as defined in the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 xml:space="preserve">Executive Severance Plan) for Mr. Boussaid and his family, including airfare, moving expenses, temporary housing for three months following such termination, and certain tuition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 xml:space="preserve">coverage, and during the 24 months following such termination, documented expenses incurred for personal global tax preparation or planning services and personal immigration </w:t>
      </w:r>
    </w:p>
    <w:p>
      <w:pPr>
        <w:pStyle w:val="TextBody"/>
        <w:bidi w:val="0"/>
        <w:spacing w:lineRule="atLeast" w:line="142" w:before="0" w:after="0"/>
        <w:jc w:val="left"/>
        <w:rPr/>
      </w:pPr>
      <w:r>
        <w:rPr>
          <w:rFonts w:ascii="Arial;sans-serif" w:hAnsi="Arial;sans-serif"/>
          <w:b w:val="false"/>
          <w:i w:val="false"/>
          <w:caps w:val="false"/>
          <w:smallCaps w:val="false"/>
          <w:sz w:val="12"/>
        </w:rPr>
        <w:t>counsel from a professional advisor.</w:t>
      </w:r>
      <w:r>
        <w:rPr>
          <w:caps w:val="false"/>
          <w:smallCaps w:val="false"/>
          <w:strike w:val="false"/>
          <w:dstrike w:val="false"/>
          <w:u w:val="none"/>
          <w:effect w:val="none"/>
        </w:rPr>
        <w:t xml:space="preserve">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72</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Director Compensation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Currently, our director compensation program permits our non-employee directors to receive the following annual retainers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annual equity compensation grants: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i w:val="false"/>
          <w:caps w:val="false"/>
          <w:smallCaps w:val="false"/>
          <w:strike w:val="false"/>
          <w:dstrike w:val="false"/>
          <w:sz w:val="18"/>
          <w:u w:val="none"/>
          <w:effect w:val="none"/>
        </w:rPr>
        <w:t>Board Member:</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$300,000, of which $30,000 is an annual cash retainer paid in quarterly installments and $270,000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which is an annual equity retainer in the form of RSUs vesting in full on the earlier of the one-year anniversary of the grant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date or the date of the next annual meeting following the grant, subject to the director’s continued service as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applicable vesting date. For new directors, the initial equity retainer is $375,000 in RSUs which vest in three equal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installments each year for a period of three years on the earlier of the first, second and third anniversary date of the grant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the date of the first, second and third annual meetings following the grant, respectively, subject to the director’s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continued service as of each of the applicable vesting dates.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i w:val="false"/>
          <w:caps w:val="false"/>
          <w:smallCaps w:val="false"/>
          <w:strike w:val="false"/>
          <w:dstrike w:val="false"/>
          <w:sz w:val="18"/>
          <w:u w:val="none"/>
          <w:effect w:val="none"/>
        </w:rPr>
        <w:t>Independent Chairman:</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An additional $30,000 is paid for service as an independent Chairman of the Board, as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annual cash retainer.</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i w:val="false"/>
          <w:caps w:val="false"/>
          <w:smallCaps w:val="false"/>
          <w:strike w:val="false"/>
          <w:dstrike w:val="false"/>
          <w:sz w:val="18"/>
          <w:u w:val="none"/>
          <w:effect w:val="none"/>
        </w:rPr>
        <w:t>Committee Chairs:</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Chairs of the audit, compensation and human capital, nominating and corporate governance,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executive committees receive an additional $20,000, $15,000, $10,000, and $20,000, respectively, as an annual cash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retainer.</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i w:val="false"/>
          <w:caps w:val="false"/>
          <w:smallCaps w:val="false"/>
          <w:strike w:val="false"/>
          <w:dstrike w:val="false"/>
          <w:sz w:val="18"/>
          <w:u w:val="none"/>
          <w:effect w:val="none"/>
        </w:rPr>
        <w:t>Committee Members:</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Members of the audit, compensation and human capital, nominating and corporate governance,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executive committees receive an additional $10,000, $7,500, $5,000, and $10,000, respectively, as an annual cash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retainer. We also reimburse all of our directors for (i) up to $10,000 annually for director educational programs and (ii) their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reasonable travel and other expenses incurred in attending meetings of the Board or committees and training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educational conferences.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do not pay directors meeting fees for attending Board or standing committee (audit, compensation and human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nominating and corporate governance, and executive committee) meetings; however, certain non-employee directors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providing ad hoc committee services may receive a grant of fully vested RSUs on the date of the Annual Meeting with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target grant date value equal to $2,000 times the number of special committee meetings such non-employee director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attended since the previous annual meeting date (“Special Committee Fees”), subject to a $20,000 cap. However, if a non-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employee director separates from service with us prior to the date of the Annual Meeting when their Special Committee Fees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would otherwise be granted in the form of fully vested RSUs, their Special Committee fees will instead be paid in cash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date of their separation or shortly thereafter. Based on non-employee director special committee service from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previous annual meeting until the Record Date, the target grant date value of Special Committee Fees awarded to non-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employee directors on the date of the Annual Meeting are estimated to be as follows: $8,000, $14,000, $14,000 and $14,000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 Mr. Alnowaiser, Ms. Lambert, Mr. Liveris and Ms. Wong, respectively. Actual equity award grants made to non-employee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directors in fiscal year 2026, including applicable Special Committee Fees, will be reported in the Director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Table in our proxy statement filed in 2027.</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Pursuant to our Amended and Restated 2021 Stock Incentive Plan, we permit directors to elect to defer settlement (beyond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vesting) of initial and annual RSUs granted following the conclusion of each regular annual meeting of stockholders,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commencing with the 2022 annual meeting of stockholders. Such an election generally only applies to initial and annual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RSU awards granted after the year the election is made and will continue to apply to future annual RSU awards unless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director revokes the election with respect to annual RSU awards granted after the year of revocation. Deferred RSUs,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together with any additional RSUs credited by reason of a dividend paid by us, are settled upon the earlier of  (i) termination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service and (ii) a change in control.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73</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following table reflects information with respect to the compensation of all non-employee directors of the Company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2025.</w:t>
      </w:r>
    </w:p>
    <w:tbl>
      <w:tblPr>
        <w:tblW w:w="7695" w:type="dxa"/>
        <w:jc w:val="left"/>
        <w:tblInd w:w="0" w:type="dxa"/>
        <w:tblLayout w:type="fixed"/>
        <w:tblCellMar>
          <w:top w:w="28" w:type="dxa"/>
          <w:left w:w="28" w:type="dxa"/>
          <w:bottom w:w="28" w:type="dxa"/>
          <w:right w:w="28" w:type="dxa"/>
        </w:tblCellMar>
      </w:tblPr>
      <w:tblGrid>
        <w:gridCol w:w="124"/>
        <w:gridCol w:w="1846"/>
        <w:gridCol w:w="109"/>
        <w:gridCol w:w="1081"/>
        <w:gridCol w:w="109"/>
        <w:gridCol w:w="991"/>
        <w:gridCol w:w="109"/>
        <w:gridCol w:w="1051"/>
        <w:gridCol w:w="109"/>
        <w:gridCol w:w="1006"/>
        <w:gridCol w:w="109"/>
        <w:gridCol w:w="1051"/>
      </w:tblGrid>
      <w:tr>
        <w:trPr/>
        <w:tc>
          <w:tcPr>
            <w:tcW w:w="12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84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8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9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5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5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84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8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Fees Earned or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Paid in Cash</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9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Stock Awards</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(1)(4)</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5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Option Awards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All Other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Compensation</w:t>
            </w:r>
          </w:p>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w:t>
            </w:r>
            <w:r>
              <w:rPr>
                <w:rFonts w:ascii="Arial;sans-serif" w:hAnsi="Arial;sans-serif"/>
                <w:b/>
                <w:i w:val="false"/>
                <w:caps w:val="false"/>
                <w:smallCaps w:val="false"/>
                <w:strike w:val="false"/>
                <w:dstrike w:val="false"/>
                <w:color w:val="FEFEFE"/>
                <w:sz w:val="9"/>
                <w:u w:val="none"/>
                <w:effect w:val="none"/>
              </w:rPr>
              <w:t>(2)</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5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Total</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Compensation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84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8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9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5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5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Turqi Alnowaiser </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90,000</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245,312</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335,312</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Douglas Grimm</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22,857</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321,609</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3,015</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347,481</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Lisa M. Lambert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40,000</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248,741</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20,298</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309,039</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Andrew Liveris</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55,000</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241,883</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19,220</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316,103</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Nichelle Maynard-Elliott </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52,500</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231,574</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19,220</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303,294</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Chabi Nouri </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36,194</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231,574</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267,768</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Ori Winitzer </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46,306</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231,574</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17,317</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295,197</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Janet S. Wong </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50,000</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248,741</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27,631</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326,372</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Sherif Marakby</w:t>
            </w:r>
            <w:r>
              <w:rPr>
                <w:rFonts w:ascii="Arial;sans-serif" w:hAnsi="Arial;sans-serif"/>
                <w:b w:val="false"/>
                <w:i w:val="false"/>
                <w:caps w:val="false"/>
                <w:smallCaps w:val="false"/>
                <w:strike w:val="false"/>
                <w:dstrike w:val="false"/>
                <w:sz w:val="10"/>
                <w:u w:val="none"/>
                <w:effect w:val="none"/>
              </w:rPr>
              <w:t>(3)</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17,143</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8,583</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25,726</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 xml:space="preserve">The amounts in this column reflect the grant date fair values of the RSUs granted to our non-employee directors during 2025, calculated in accordance with FASB ASC Topic 718.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Messrs. Liveris and Ms. Maynard-Elliott have elected to defer settlement of the RSUs.</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trike w:val="false"/>
          <w:dstrike w:val="false"/>
          <w:sz w:val="12"/>
          <w:u w:val="none"/>
          <w:effect w:val="none"/>
        </w:rPr>
        <w:t>Represents the value of the personal usage of Company-owned Lucid Air vehicles and the related tax reimbursement attributable to this perquisite.</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(3)</w:t>
      </w:r>
      <w:r>
        <w:rPr>
          <w:rFonts w:ascii="Arial;sans-serif" w:hAnsi="Arial;sans-serif"/>
          <w:b w:val="false"/>
          <w:i w:val="false"/>
          <w:caps w:val="false"/>
          <w:smallCaps w:val="false"/>
          <w:strike w:val="false"/>
          <w:dstrike w:val="false"/>
          <w:sz w:val="12"/>
          <w:u w:val="none"/>
          <w:effect w:val="none"/>
        </w:rPr>
        <w:t xml:space="preserve">Mr. Marakby did not stand for reelection at the 2025 Annual Meeting and completed his service on June 5, 2025. </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(4)</w:t>
      </w:r>
      <w:r>
        <w:rPr>
          <w:rFonts w:ascii="Arial;sans-serif" w:hAnsi="Arial;sans-serif"/>
          <w:b w:val="false"/>
          <w:i w:val="false"/>
          <w:caps w:val="false"/>
          <w:smallCaps w:val="false"/>
          <w:strike w:val="false"/>
          <w:dstrike w:val="false"/>
          <w:sz w:val="12"/>
          <w:u w:val="none"/>
          <w:effect w:val="none"/>
        </w:rPr>
        <w:t xml:space="preserve">The following table provides information on the number of shares of unvested RSUs and the number of shares of vested RSUs for which payment has been deferred as of December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31, 2025.</w:t>
      </w:r>
    </w:p>
    <w:tbl>
      <w:tblPr>
        <w:tblW w:w="3370" w:type="dxa"/>
        <w:jc w:val="left"/>
        <w:tblInd w:w="0" w:type="dxa"/>
        <w:tblLayout w:type="fixed"/>
        <w:tblCellMar>
          <w:top w:w="28" w:type="dxa"/>
          <w:left w:w="28" w:type="dxa"/>
          <w:bottom w:w="28" w:type="dxa"/>
          <w:right w:w="28" w:type="dxa"/>
        </w:tblCellMar>
      </w:tblPr>
      <w:tblGrid>
        <w:gridCol w:w="124"/>
        <w:gridCol w:w="2386"/>
        <w:gridCol w:w="109"/>
        <w:gridCol w:w="751"/>
      </w:tblGrid>
      <w:tr>
        <w:trPr/>
        <w:tc>
          <w:tcPr>
            <w:tcW w:w="124"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3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5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38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Name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5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RSUs (#)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23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75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Turqi Alnowaiser</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10,872</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Douglas Grimm</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15,099</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Lisa M. Lambert</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19,837</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Andrew Liveris</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24,764</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Nichelle Maynard-Elliott</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24,764</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Chabi Nouri</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12,485</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Ori Winitzer</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12,485</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Janet S. Wong</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10,872</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Sherif Marakby, former director</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74</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CEO Pay Ratio</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accordance with the requirements of Section 953(b) of the Dodd-Frank Act and Item 402(u) of Regulation S-K (which we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collectively refer to as the “Pay Ratio Rule”), we are providing the following estimated information for 2025:</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the Annual Total Compensation of Mr. Winterhoff, our interim CEO, was $9,768,725;</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the Annual Total Compensation of our median employee was $147,069; and</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the ratio of these two amounts was 66 to 1. We believe that this ratio is a reasonable estimate calculated in a manner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consistent with the requirements of the Pay Ratio Rule.</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Annual Total Compensation” of our CEO and median employee for purposes of the Pay Ratio Rule was calculated using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same methodology we used for purposes of determining the annual total compensation for our NEOs for 2025 (as set forth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the Summary Compensation Table), adjusted to include the cost to the Company in 2025 of group medical, dental,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vision coverage, which are provided to all employees on a non-discriminatory basis. Compensation for both our interim CEO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our median employee has been annualized. For our interim CEO, annualization was based on the effective date of his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appointment as interim CEO (such that his interim CEO monthly stipend was annualized) and for our median employee,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annualization was based on the date of hire. SEC rules for identifying the median employee and calculating the pay ratio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allow companies to apply various methodologies and apply various assumptions and, as result, the pay ratio reported by us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may not be comparable to the pay ratio reported by other companies.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used December 31, 2025, as the date for determining the employees to be considered in computing the pay ratio. As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December 31, 2025, our employee population consisted of approximately 9,000 individuals excluding the CEO (of which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approximately 88% were located in the United States and approximately 12% were located in jurisdictions outside the United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States). Our employee population consisted of our global workforce of full-time, part-time, seasonal, and temporary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employees.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identify our median employee from our total employee population (excluding our CEO), we used “base pay” for the full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2025 calendar year as our consistently applied compensation measure, which was determined using base salary or base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hourly wage as reflected in our payroll records. Based on our consistently applied compensation measure, there were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number of employees at the median compensation level. From this group, we selected the employee with the median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tenure, which resulted in two employees. We then compared these two employees and selected the employee with lower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total benefits as our median employee, as this employee was more representative of our overall workforce. Using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methodologies described above, our median employee was a full-time employee located in the United States with Annual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Total Compensation of $147,069.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75</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Pay Versus Performance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following table sets forth the compensation for our former CEO and interim CEO (also referred to as “PEO”) and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average compensation for our other NEOs, both as reported in the Summary Compensation Table and with certain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adjustments to reflect the “compensation actually paid” to such individuals, as defined under SEC rules, for each of 2025,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2024, 2023, 2022 and 2021. The table also provides information on our cumulative total shareholder return (“TSR”),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cumulative TSR of our peer group, Net Income and Free Cash Flow.</w:t>
      </w:r>
    </w:p>
    <w:tbl>
      <w:tblPr>
        <w:tblW w:w="10484" w:type="dxa"/>
        <w:jc w:val="left"/>
        <w:tblInd w:w="0" w:type="dxa"/>
        <w:tblLayout w:type="fixed"/>
        <w:tblCellMar>
          <w:top w:w="28" w:type="dxa"/>
          <w:left w:w="28" w:type="dxa"/>
          <w:bottom w:w="28" w:type="dxa"/>
          <w:right w:w="28" w:type="dxa"/>
        </w:tblCellMar>
      </w:tblPr>
      <w:tblGrid>
        <w:gridCol w:w="124"/>
        <w:gridCol w:w="466"/>
        <w:gridCol w:w="109"/>
        <w:gridCol w:w="1006"/>
        <w:gridCol w:w="109"/>
        <w:gridCol w:w="1141"/>
        <w:gridCol w:w="109"/>
        <w:gridCol w:w="826"/>
        <w:gridCol w:w="109"/>
        <w:gridCol w:w="811"/>
        <w:gridCol w:w="109"/>
        <w:gridCol w:w="916"/>
        <w:gridCol w:w="109"/>
        <w:gridCol w:w="976"/>
        <w:gridCol w:w="109"/>
        <w:gridCol w:w="601"/>
        <w:gridCol w:w="109"/>
        <w:gridCol w:w="601"/>
        <w:gridCol w:w="109"/>
        <w:gridCol w:w="886"/>
        <w:gridCol w:w="109"/>
        <w:gridCol w:w="88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46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14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7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0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0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0206" w:type="dxa"/>
            <w:gridSpan w:val="21"/>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Pay Versus Performance</w:t>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46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46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46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14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7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311" w:type="dxa"/>
            <w:gridSpan w:val="3"/>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Value of Initial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Fixed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$100 Investment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Based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On: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46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14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7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0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46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14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7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46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Year</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0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Summary</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Compensati</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Table Total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for Prior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PEO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(Rawlinson)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($)(1)</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14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Compensation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Actually Paid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to Prior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PEO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(Rawlinson)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($)(1)(4)</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2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Summary</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Compensat</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Table Total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for Current</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PEO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(Winterhoff)</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($)(1)</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1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Compensat</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Actually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Paid to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Current</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PEO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(Winterhoff)</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($)(1)(4)</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1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Average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Summary</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Compensa</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Table Total</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for Non-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PEO</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Named</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Executive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Officers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($)(1)</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7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Average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Compensati</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Actually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Paid to</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Non-PEO</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Named</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Executive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Officers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($)(1)(4)</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0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Total</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Share</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holder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Retur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60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Peer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Group</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Total</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Shareh</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older</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Return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($)(2)</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Net Income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(in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Thousands)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88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Free Cash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Flow (in</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Thousands)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($)(3)</w:t>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3,473,069</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(399,922)</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9,708,987</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(278,597)</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6,895,268</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972,013</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4.36</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237.09</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(2,698,051)</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(3,800,070)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1,490,490</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(6,467,228)</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5,869,874</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3,898,596</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12.45</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224.42</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(2,713,942)</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(2,903,515)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2023</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6,837,213</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(13,293,519)</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8,544,858</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3,677,588</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17.36</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162.40</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(2,828,420)</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(3,400,397)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2022</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596,430</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(643,851,664)</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5,756,135</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(29,632,802)</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28.16</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79.05</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(1,304,460)</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(3,301,110)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2021</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565,591,512</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1,148,791,229</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21,230,163</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55,097,849</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156.91</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109.93</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(2,579,761)</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(1,479,353)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sz w:val="24"/>
        </w:rPr>
      </w:pPr>
      <w:r>
        <w:rPr>
          <w:rFonts w:ascii="Arial;sans-serif" w:hAnsi="Arial;sans-serif"/>
          <w:b w:val="false"/>
          <w:i w:val="false"/>
          <w:caps w:val="false"/>
          <w:smallCaps w:val="false"/>
          <w:strike w:val="false"/>
          <w:dstrike w:val="false"/>
          <w:sz w:val="8"/>
          <w:u w:val="none"/>
          <w:effect w:val="none"/>
        </w:rPr>
        <w:t xml:space="preserve">(1)  </w:t>
      </w:r>
      <w:r>
        <w:rPr>
          <w:rFonts w:ascii="Arial;sans-serif" w:hAnsi="Arial;sans-serif"/>
          <w:b w:val="false"/>
          <w:i w:val="false"/>
          <w:caps w:val="false"/>
          <w:smallCaps w:val="false"/>
          <w:strike w:val="false"/>
          <w:dstrike w:val="false"/>
          <w:sz w:val="12"/>
          <w:u w:val="none"/>
          <w:effect w:val="none"/>
        </w:rPr>
        <w:t>Mr. Rawlinson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2"/>
          <w:u w:val="none"/>
          <w:effect w:val="none"/>
        </w:rPr>
        <w:t>served as our PEO from fiscal year 2021 to February 2025, and Mr. Winterhoff</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2"/>
          <w:u w:val="none"/>
          <w:effect w:val="none"/>
        </w:rPr>
        <w:t xml:space="preserve">served as our PEO beginning in February 2025. For 2025, our non-PEO NEOs included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Messrs. Boussaid, Dhingra, and Bach. For 2024, our non-PEO NEOs included Messrs. Dhingra, Winterhoff, Bach and Bell. For 2023, our non-PEO NEOs included Messrs. Dhingra,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Winterhoff, Bach and Bell and Sherry House and for 2022 and 2021, our non-PEO NEOs included Messrs. Bach and Bell and Ms. House.</w:t>
      </w:r>
    </w:p>
    <w:p>
      <w:pPr>
        <w:pStyle w:val="TextBody"/>
        <w:bidi w:val="0"/>
        <w:spacing w:lineRule="atLeast" w:line="142" w:before="0" w:after="0"/>
        <w:jc w:val="left"/>
        <w:rPr>
          <w:sz w:val="24"/>
        </w:rPr>
      </w:pPr>
      <w:r>
        <w:rPr>
          <w:rFonts w:ascii="Arial;sans-serif" w:hAnsi="Arial;sans-serif"/>
          <w:b w:val="false"/>
          <w:i w:val="false"/>
          <w:caps w:val="false"/>
          <w:smallCaps w:val="false"/>
          <w:strike w:val="false"/>
          <w:dstrike w:val="false"/>
          <w:sz w:val="8"/>
          <w:u w:val="none"/>
          <w:effect w:val="none"/>
        </w:rPr>
        <w:t xml:space="preserve">(2)  </w:t>
      </w:r>
      <w:r>
        <w:rPr>
          <w:rFonts w:ascii="Arial;sans-serif" w:hAnsi="Arial;sans-serif"/>
          <w:b w:val="false"/>
          <w:i w:val="false"/>
          <w:caps w:val="false"/>
          <w:smallCaps w:val="false"/>
          <w:strike w:val="false"/>
          <w:dstrike w:val="false"/>
          <w:sz w:val="12"/>
          <w:u w:val="none"/>
          <w:effect w:val="none"/>
        </w:rPr>
        <w:t xml:space="preserve">The Peer Group TSR set forth in this table utilizes the 20 largest public companies sharing the same SIC code as us, which is SIC code 3711, “Motor Vehicles and Passenger Car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Bodies” (“Motor Vehicles and Passenger Car Bodies Public Company Group”), which we also utilize in the stock performance graph required by Item 201(e) of Regulation S-K included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in our Annual Report for the year ended December 31, 2025. The comparison assumes $100 was invested for the period starting July 23, 2021, through the end of the listed year in the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Company and in the Motor Vehicles and Passenger Car Bodies Public Company Group, respectively. Historical stock performance is not necessarily indicative of future stock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performance.</w:t>
      </w:r>
    </w:p>
    <w:p>
      <w:pPr>
        <w:pStyle w:val="TextBody"/>
        <w:bidi w:val="0"/>
        <w:spacing w:lineRule="atLeast" w:line="142" w:before="0" w:after="0"/>
        <w:jc w:val="left"/>
        <w:rPr>
          <w:sz w:val="24"/>
        </w:rPr>
      </w:pPr>
      <w:r>
        <w:rPr>
          <w:rFonts w:ascii="Arial;sans-serif" w:hAnsi="Arial;sans-serif"/>
          <w:b w:val="false"/>
          <w:i w:val="false"/>
          <w:caps w:val="false"/>
          <w:smallCaps w:val="false"/>
          <w:strike w:val="false"/>
          <w:dstrike w:val="false"/>
          <w:sz w:val="8"/>
          <w:u w:val="none"/>
          <w:effect w:val="none"/>
        </w:rPr>
        <w:t xml:space="preserve">(3)  </w:t>
      </w:r>
      <w:r>
        <w:rPr>
          <w:rFonts w:ascii="Arial;sans-serif" w:hAnsi="Arial;sans-serif"/>
          <w:b w:val="false"/>
          <w:i w:val="false"/>
          <w:caps w:val="false"/>
          <w:smallCaps w:val="false"/>
          <w:strike w:val="false"/>
          <w:dstrike w:val="false"/>
          <w:sz w:val="12"/>
          <w:u w:val="none"/>
          <w:effect w:val="none"/>
        </w:rPr>
        <w:t>Free Cash Flow</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2"/>
          <w:u w:val="none"/>
          <w:effect w:val="none"/>
        </w:rPr>
        <w:t xml:space="preserve">is not a financial measure prepared in accordance with GAAP. For information on how we compute these non-GAAP financial measures and a reconciliation to the most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directly comparable financial measures prepared in accordance with GAAP, please refer to “Annex B: Reconciliation of Non-GAAP Financial Measures” in this Proxy Statement. </w:t>
      </w:r>
    </w:p>
    <w:p>
      <w:pPr>
        <w:pStyle w:val="TextBody"/>
        <w:bidi w:val="0"/>
        <w:spacing w:lineRule="atLeast" w:line="142" w:before="0" w:after="0"/>
        <w:jc w:val="left"/>
        <w:rPr>
          <w:sz w:val="24"/>
        </w:rPr>
      </w:pPr>
      <w:r>
        <w:rPr>
          <w:rFonts w:ascii="Arial;sans-serif" w:hAnsi="Arial;sans-serif"/>
          <w:b w:val="false"/>
          <w:i w:val="false"/>
          <w:caps w:val="false"/>
          <w:smallCaps w:val="false"/>
          <w:strike w:val="false"/>
          <w:dstrike w:val="false"/>
          <w:sz w:val="8"/>
          <w:u w:val="none"/>
          <w:effect w:val="none"/>
        </w:rPr>
        <w:t xml:space="preserve">(4)  </w:t>
      </w:r>
      <w:r>
        <w:rPr>
          <w:rFonts w:ascii="Arial;sans-serif" w:hAnsi="Arial;sans-serif"/>
          <w:b w:val="false"/>
          <w:i w:val="false"/>
          <w:caps w:val="false"/>
          <w:smallCaps w:val="false"/>
          <w:strike w:val="false"/>
          <w:dstrike w:val="false"/>
          <w:sz w:val="12"/>
          <w:u w:val="none"/>
          <w:effect w:val="none"/>
        </w:rPr>
        <w:t xml:space="preserve">The following table shows the adjustments from the Summary Compensation Table total compensation to calculate the “compensation actually paid” to our PEO and Non-PEO NEOs in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accordance with the Pay Versus Performance Rules in 2025: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76</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6856"/>
        <w:gridCol w:w="109"/>
        <w:gridCol w:w="945"/>
        <w:gridCol w:w="109"/>
        <w:gridCol w:w="960"/>
        <w:gridCol w:w="109"/>
        <w:gridCol w:w="993"/>
      </w:tblGrid>
      <w:tr>
        <w:trPr/>
        <w:tc>
          <w:tcPr>
            <w:tcW w:w="124"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68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45"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60"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93"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68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45"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Prior PEO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2025</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60"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Current PEO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2025</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93"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Non-PEOs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2025</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685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45"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60"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93"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Summary Compensation Total</w:t>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3,473,069</w:t>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9,708,987</w:t>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6,895,268</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Less Stock Award Value Reported in Summary Compensation Table for the Covered Year </w:t>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2,058,676</w:t>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7,720,693</w:t>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4,946,183</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Plus Fiscal Year-End Fair Value for Awards Granted in the Covered Year and Outstanding at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Fiscal Year-End </w:t>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711,118</w:t>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2,444,587</w:t>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1,172,594</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Plus Fair Value as of the Vesting Date for Awards Granted in the Covered Year and Vested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in the Covered Year </w:t>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838,670</w:t>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690,438</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Change in Fiscal Year-End Fair Values of Outstanding Unvested Awards Granted from Prior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Years </w:t>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(1,455)</w:t>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(3,979,025)</w:t>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(382,932)</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Change in Fair Value as of Vesting Date of Awards Granted from Prior Years that Vested in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the Covered Year </w:t>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(2,523,978)</w:t>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(1,571,123)</w:t>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(540,461)</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Less Fair Value of Awards Forfeited during the Covered Year </w:t>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(1,916,711)</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Plus Fair Value of Incremental Dividends or Earnings Paid on Stock Awards </w:t>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Less Aggregate Change in Actuarial Present Value of Benefit Accumulated Benefit Under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Pension Plans </w:t>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Plus Aggregate Service Cost and Prior Service Cost for Pension Plans </w:t>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Compensation Actually Paid</w:t>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(399,922)</w:t>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(278,597)</w:t>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972,013</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Tabular List of the Most Important Financial Performance Measures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 used only the two financial performance measures set forth below to link Compensation Actually Paid to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NEOs for fiscal 2025 to Company performance.</w:t>
      </w:r>
    </w:p>
    <w:tbl>
      <w:tblPr>
        <w:tblW w:w="1805" w:type="dxa"/>
        <w:jc w:val="left"/>
        <w:tblInd w:w="0" w:type="dxa"/>
        <w:tblLayout w:type="fixed"/>
        <w:tblCellMar>
          <w:top w:w="28" w:type="dxa"/>
          <w:left w:w="28" w:type="dxa"/>
          <w:bottom w:w="28" w:type="dxa"/>
          <w:right w:w="28" w:type="dxa"/>
        </w:tblCellMar>
      </w:tblPr>
      <w:tblGrid>
        <w:gridCol w:w="124"/>
        <w:gridCol w:w="1681"/>
      </w:tblGrid>
      <w:tr>
        <w:trPr/>
        <w:tc>
          <w:tcPr>
            <w:tcW w:w="12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68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681"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Performance Measures </w:t>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1681"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Free Cash Flow</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Gross Margin</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following are graphical descriptions of the relationships between compensation actually paid to our NEOs versus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cumulative TSR, Net Income, and Free Cash Flow, and between our cumulative TSR and our peer group’s cumulative TSR,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for the periods covered in the Pay Versus Performance table.</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77</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before="0" w:after="0"/>
        <w:jc w:val="left"/>
        <w:rPr/>
      </w:pPr>
      <w:r>
        <w:rPr/>
        <w:drawing>
          <wp:inline distT="0" distB="0" distL="0" distR="0">
            <wp:extent cx="6286500" cy="816102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6286500" cy="8161020"/>
                    </a:xfrm>
                    <a:prstGeom prst="rect">
                      <a:avLst/>
                    </a:prstGeom>
                  </pic:spPr>
                </pic:pic>
              </a:graphicData>
            </a:graphic>
          </wp:inline>
        </w:drawing>
      </w:r>
      <w:bookmarkStart w:id="60" w:name="i-59"/>
      <w:bookmarkEnd w:id="60"/>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78</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before="0" w:after="0"/>
        <w:jc w:val="left"/>
        <w:rPr/>
      </w:pPr>
      <w:r>
        <w:rPr/>
        <w:drawing>
          <wp:inline distT="0" distB="0" distL="0" distR="0">
            <wp:extent cx="6286500" cy="807339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6286500" cy="8073390"/>
                    </a:xfrm>
                    <a:prstGeom prst="rect">
                      <a:avLst/>
                    </a:prstGeom>
                  </pic:spPr>
                </pic:pic>
              </a:graphicData>
            </a:graphic>
          </wp:inline>
        </w:drawing>
      </w:r>
      <w:bookmarkStart w:id="61" w:name="i-60"/>
      <w:bookmarkEnd w:id="61"/>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79</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Security Ownership of Certain Beneficial Owners and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Management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following table sets forth certain information known to us regarding the beneficial ownership of our Common Stock as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March 15, 2026 by:</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each person who we know to own beneficially more than 5% of any class of our voting securities;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each of our named executive officers and directors individually; and</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all of our current executive officers and directors as a group.</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Beneficial ownership is determined according to the rules of the SEC, which generally provide that a person has beneficial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ownership of a security if he, she, or it possesses sole or shared voting or investment power over that security, including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options, warrants or shares of Convertible Preferred Stock that are currently exercisable or convertible, or exercisable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convertible within 60 days of March 15, 2026. Shares issuable pursuant to such options, warrants or shares of Convertible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Preferred Stock are deemed outstanding for computing the beneficial ownership of the person holding such options but are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not outstanding for computing the beneficial ownership of any other person. Except as described in the footnotes below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subject to applicable community property laws and similar laws, we believe that each person listed below has sole voting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investment power with respect to such shares. The beneficial ownership of our Common Stock and Convertible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Preferred Stock in the table is based on, as of March 15, 2026, 330,143,771 shares of our Common Stock issued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outstanding and 175,000 shares of Convertible Preferred Stock issued and outstanding, which is convertible into 52,858,296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of Common Stock. Stockholders of shares of Common Stock are entitled to one vote per share of Common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Stockholders of shares of convertible Preferred Stock are entitled to a number of votes equal to the number of shares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Common Stock into which the Preferred Stock is convertible, subject to certain adjustments.</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80</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3705"/>
        <w:gridCol w:w="109"/>
        <w:gridCol w:w="1386"/>
        <w:gridCol w:w="109"/>
        <w:gridCol w:w="1032"/>
        <w:gridCol w:w="109"/>
        <w:gridCol w:w="1383"/>
        <w:gridCol w:w="109"/>
        <w:gridCol w:w="988"/>
        <w:gridCol w:w="109"/>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3705"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3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2"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383"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88"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42"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vMerge w:val="restart"/>
            <w:tcBorders/>
            <w:shd w:fill="000000" w:val="clear"/>
            <w:vAlign w:val="center"/>
          </w:tcPr>
          <w:p>
            <w:pPr>
              <w:pStyle w:val="TableContents"/>
              <w:bidi w:val="0"/>
              <w:spacing w:before="0" w:after="283"/>
              <w:jc w:val="left"/>
              <w:rPr>
                <w:sz w:val="4"/>
                <w:szCs w:val="4"/>
              </w:rPr>
            </w:pPr>
            <w:r>
              <w:rPr>
                <w:sz w:val="4"/>
                <w:szCs w:val="4"/>
              </w:rPr>
            </w:r>
          </w:p>
        </w:tc>
        <w:tc>
          <w:tcPr>
            <w:tcW w:w="3705" w:type="dxa"/>
            <w:vMerge w:val="restart"/>
            <w:tcBorders/>
            <w:shd w:fill="000000" w:val="clear"/>
            <w:vAlign w:val="center"/>
          </w:tcPr>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FEFEFE"/>
                <w:sz w:val="14"/>
                <w:u w:val="none"/>
                <w:effect w:val="none"/>
              </w:rPr>
              <w:t>Name of Beneficial Owner</w:t>
            </w:r>
            <w:r>
              <w:rPr>
                <w:rFonts w:ascii="Arial;sans-serif" w:hAnsi="Arial;sans-serif"/>
                <w:b/>
                <w:i w:val="false"/>
                <w:caps w:val="false"/>
                <w:smallCaps w:val="false"/>
                <w:strike w:val="false"/>
                <w:dstrike w:val="false"/>
                <w:color w:val="FEFEFE"/>
                <w:sz w:val="9"/>
                <w:u w:val="none"/>
                <w:effect w:val="none"/>
              </w:rPr>
              <w:t>(1)</w:t>
            </w:r>
          </w:p>
        </w:tc>
        <w:tc>
          <w:tcPr>
            <w:tcW w:w="109" w:type="dxa"/>
            <w:vMerge w:val="restart"/>
            <w:tcBorders/>
            <w:shd w:fill="000000" w:val="clear"/>
            <w:vAlign w:val="center"/>
          </w:tcPr>
          <w:p>
            <w:pPr>
              <w:pStyle w:val="TableContents"/>
              <w:bidi w:val="0"/>
              <w:spacing w:before="0" w:after="283"/>
              <w:jc w:val="left"/>
              <w:rPr>
                <w:sz w:val="4"/>
                <w:szCs w:val="4"/>
              </w:rPr>
            </w:pPr>
            <w:r>
              <w:rPr>
                <w:sz w:val="4"/>
                <w:szCs w:val="4"/>
              </w:rPr>
            </w:r>
          </w:p>
        </w:tc>
        <w:tc>
          <w:tcPr>
            <w:tcW w:w="2527" w:type="dxa"/>
            <w:gridSpan w:val="3"/>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Common Stock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2480" w:type="dxa"/>
            <w:gridSpan w:val="3"/>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Preferred Stock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42" w:type="dxa"/>
            <w:vMerge w:val="restart"/>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Voting Power </w:t>
            </w:r>
          </w:p>
        </w:tc>
      </w:tr>
      <w:tr>
        <w:trPr/>
        <w:tc>
          <w:tcPr>
            <w:tcW w:w="124" w:type="dxa"/>
            <w:vMerge w:val="continue"/>
            <w:tcBorders/>
            <w:shd w:fill="000000" w:val="clear"/>
            <w:vAlign w:val="center"/>
          </w:tcPr>
          <w:p>
            <w:pPr>
              <w:pStyle w:val="Normal"/>
              <w:bidi w:val="0"/>
              <w:jc w:val="left"/>
              <w:rPr/>
            </w:pPr>
            <w:r>
              <w:rPr/>
            </w:r>
          </w:p>
        </w:tc>
        <w:tc>
          <w:tcPr>
            <w:tcW w:w="3705"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38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383"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42" w:type="dxa"/>
            <w:vMerge w:val="continue"/>
            <w:tcBorders/>
            <w:shd w:fill="000000" w:val="clear"/>
            <w:vAlign w:val="center"/>
          </w:tcPr>
          <w:p>
            <w:pPr>
              <w:pStyle w:val="Normal"/>
              <w:bidi w:val="0"/>
              <w:jc w:val="left"/>
              <w:rPr/>
            </w:pPr>
            <w:r>
              <w:rPr/>
            </w:r>
          </w:p>
        </w:tc>
      </w:tr>
      <w:tr>
        <w:trPr/>
        <w:tc>
          <w:tcPr>
            <w:tcW w:w="124" w:type="dxa"/>
            <w:vMerge w:val="continue"/>
            <w:tcBorders/>
            <w:shd w:fill="000000" w:val="clear"/>
            <w:vAlign w:val="center"/>
          </w:tcPr>
          <w:p>
            <w:pPr>
              <w:pStyle w:val="Normal"/>
              <w:bidi w:val="0"/>
              <w:jc w:val="left"/>
              <w:rPr/>
            </w:pPr>
            <w:r>
              <w:rPr/>
            </w:r>
          </w:p>
        </w:tc>
        <w:tc>
          <w:tcPr>
            <w:tcW w:w="3705"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38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383"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42" w:type="dxa"/>
            <w:vMerge w:val="continue"/>
            <w:tcBorders/>
            <w:shd w:fill="000000" w:val="clear"/>
            <w:vAlign w:val="center"/>
          </w:tcPr>
          <w:p>
            <w:pPr>
              <w:pStyle w:val="Normal"/>
              <w:bidi w:val="0"/>
              <w:jc w:val="left"/>
              <w:rPr/>
            </w:pPr>
            <w:r>
              <w:rPr/>
            </w:r>
          </w:p>
        </w:tc>
      </w:tr>
      <w:tr>
        <w:trPr/>
        <w:tc>
          <w:tcPr>
            <w:tcW w:w="124" w:type="dxa"/>
            <w:vMerge w:val="continue"/>
            <w:tcBorders/>
            <w:shd w:fill="000000" w:val="clear"/>
            <w:vAlign w:val="center"/>
          </w:tcPr>
          <w:p>
            <w:pPr>
              <w:pStyle w:val="Normal"/>
              <w:bidi w:val="0"/>
              <w:jc w:val="left"/>
              <w:rPr/>
            </w:pPr>
            <w:r>
              <w:rPr/>
            </w:r>
          </w:p>
        </w:tc>
        <w:tc>
          <w:tcPr>
            <w:tcW w:w="3705"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38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Number of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Shares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Beneficially Owned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2"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Percentage of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Shares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Outstanding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383"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Number of </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Shares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Beneficially Owned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88"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Percentage of</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Shares</w:t>
            </w:r>
          </w:p>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 xml:space="preserve">Outstanding </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42" w:type="dxa"/>
            <w:vMerge w:val="continue"/>
            <w:tcBorders/>
            <w:shd w:fill="000000" w:val="clear"/>
            <w:vAlign w:val="center"/>
          </w:tcPr>
          <w:p>
            <w:pPr>
              <w:pStyle w:val="Normal"/>
              <w:bidi w:val="0"/>
              <w:jc w:val="left"/>
              <w:rPr/>
            </w:pPr>
            <w:r>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3705"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38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2"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383"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988"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42"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pPr>
            <w:r>
              <w:rPr>
                <w:rFonts w:ascii="Arial;sans-serif" w:hAnsi="Arial;sans-serif"/>
                <w:b/>
                <w:i/>
                <w:strike w:val="false"/>
                <w:dstrike w:val="false"/>
                <w:sz w:val="16"/>
                <w:u w:val="none"/>
                <w:effect w:val="none"/>
              </w:rPr>
              <w:t>5% Stockholders</w:t>
            </w:r>
            <w:r>
              <w:rPr>
                <w:rFonts w:ascii="Arial;sans-serif" w:hAnsi="Arial;sans-serif"/>
                <w:b w:val="false"/>
                <w:i w:val="false"/>
                <w:caps w:val="false"/>
                <w:smallCaps w:val="false"/>
                <w:strike w:val="false"/>
                <w:dstrike w:val="false"/>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The Public Investment Fund</w:t>
            </w:r>
            <w:r>
              <w:rPr>
                <w:rFonts w:ascii="Arial;sans-serif" w:hAnsi="Arial;sans-serif"/>
                <w:b w:val="false"/>
                <w:i w:val="false"/>
                <w:caps w:val="false"/>
                <w:smallCaps w:val="false"/>
                <w:strike w:val="false"/>
                <w:dstrike w:val="false"/>
                <w:sz w:val="10"/>
                <w:u w:val="none"/>
                <w:effect w:val="none"/>
              </w:rPr>
              <w:t>(3)</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229,947,163</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175,000</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rFonts w:ascii="Arial;sans-serif" w:hAnsi="Arial;sans-serif"/>
                <w:b/>
                <w:i/>
                <w:strike w:val="false"/>
                <w:dstrike w:val="false"/>
                <w:color w:val="000000"/>
                <w:sz w:val="16"/>
                <w:u w:val="none"/>
                <w:effect w:val="none"/>
              </w:rPr>
            </w:pPr>
            <w:r>
              <w:rPr>
                <w:rFonts w:ascii="Arial;sans-serif" w:hAnsi="Arial;sans-serif"/>
                <w:b/>
                <w:i/>
                <w:strike w:val="false"/>
                <w:dstrike w:val="false"/>
                <w:color w:val="000000"/>
                <w:sz w:val="16"/>
                <w:u w:val="none"/>
                <w:effect w:val="none"/>
              </w:rPr>
              <w:t>Named Executive Officers and Directors</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Marc Winterhoff</w:t>
            </w:r>
            <w:r>
              <w:rPr>
                <w:rFonts w:ascii="Arial;sans-serif" w:hAnsi="Arial;sans-serif"/>
                <w:b w:val="false"/>
                <w:i w:val="false"/>
                <w:caps w:val="false"/>
                <w:smallCaps w:val="false"/>
                <w:strike w:val="false"/>
                <w:dstrike w:val="false"/>
                <w:sz w:val="10"/>
                <w:u w:val="none"/>
                <w:effect w:val="none"/>
              </w:rPr>
              <w:t>(4)</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179,486</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Taoufiq Boussaid</w:t>
            </w:r>
            <w:r>
              <w:rPr>
                <w:rFonts w:ascii="Arial;sans-serif" w:hAnsi="Arial;sans-serif"/>
                <w:b w:val="false"/>
                <w:i w:val="false"/>
                <w:caps w:val="false"/>
                <w:smallCaps w:val="false"/>
                <w:strike w:val="false"/>
                <w:dstrike w:val="false"/>
                <w:sz w:val="10"/>
                <w:u w:val="none"/>
                <w:effect w:val="none"/>
              </w:rPr>
              <w:t>(5)</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55,655</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Gagan Dhingra</w:t>
            </w:r>
            <w:r>
              <w:rPr>
                <w:rFonts w:ascii="Arial;sans-serif" w:hAnsi="Arial;sans-serif"/>
                <w:b w:val="false"/>
                <w:i w:val="false"/>
                <w:caps w:val="false"/>
                <w:smallCaps w:val="false"/>
                <w:strike w:val="false"/>
                <w:dstrike w:val="false"/>
                <w:sz w:val="10"/>
                <w:u w:val="none"/>
                <w:effect w:val="none"/>
              </w:rPr>
              <w:t>(6)</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67,235</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Eric Bach</w:t>
            </w:r>
            <w:r>
              <w:rPr>
                <w:rFonts w:ascii="Arial;sans-serif" w:hAnsi="Arial;sans-serif"/>
                <w:b w:val="false"/>
                <w:i w:val="false"/>
                <w:caps w:val="false"/>
                <w:smallCaps w:val="false"/>
                <w:strike w:val="false"/>
                <w:dstrike w:val="false"/>
                <w:sz w:val="10"/>
                <w:u w:val="none"/>
                <w:effect w:val="none"/>
              </w:rPr>
              <w:t>(7)</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97,761</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Peter Rawlinson</w:t>
            </w:r>
            <w:r>
              <w:rPr>
                <w:rFonts w:ascii="Arial;sans-serif" w:hAnsi="Arial;sans-serif"/>
                <w:b w:val="false"/>
                <w:i w:val="false"/>
                <w:caps w:val="false"/>
                <w:smallCaps w:val="false"/>
                <w:strike w:val="false"/>
                <w:dstrike w:val="false"/>
                <w:sz w:val="10"/>
                <w:u w:val="none"/>
                <w:effect w:val="none"/>
              </w:rPr>
              <w:t>(8)</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2,379,445</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Silvio Napoli</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Turqi Alnowaiser</w:t>
            </w:r>
            <w:r>
              <w:rPr>
                <w:rFonts w:ascii="Arial;sans-serif" w:hAnsi="Arial;sans-serif"/>
                <w:b w:val="false"/>
                <w:i w:val="false"/>
                <w:caps w:val="false"/>
                <w:smallCaps w:val="false"/>
                <w:strike w:val="false"/>
                <w:dstrike w:val="false"/>
                <w:sz w:val="10"/>
                <w:u w:val="none"/>
                <w:effect w:val="none"/>
              </w:rPr>
              <w:t>(9)</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229,364,580</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175,000</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Douglas Grimm</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Lisa M. Lambert</w:t>
            </w:r>
            <w:r>
              <w:rPr>
                <w:rFonts w:ascii="Arial;sans-serif" w:hAnsi="Arial;sans-serif"/>
                <w:b w:val="false"/>
                <w:i w:val="false"/>
                <w:caps w:val="false"/>
                <w:smallCaps w:val="false"/>
                <w:strike w:val="false"/>
                <w:dstrike w:val="false"/>
                <w:sz w:val="10"/>
                <w:u w:val="none"/>
                <w:effect w:val="none"/>
              </w:rPr>
              <w:t>(10)</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5,289</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Andrew Liveris</w:t>
            </w:r>
            <w:r>
              <w:rPr>
                <w:rFonts w:ascii="Arial;sans-serif" w:hAnsi="Arial;sans-serif"/>
                <w:b w:val="false"/>
                <w:i w:val="false"/>
                <w:caps w:val="false"/>
                <w:smallCaps w:val="false"/>
                <w:strike w:val="false"/>
                <w:dstrike w:val="false"/>
                <w:sz w:val="10"/>
                <w:u w:val="none"/>
                <w:effect w:val="none"/>
              </w:rPr>
              <w:t>(11)</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145,357</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Nichelle Maynard-Elliott</w:t>
            </w:r>
            <w:r>
              <w:rPr>
                <w:rFonts w:ascii="Arial;sans-serif" w:hAnsi="Arial;sans-serif"/>
                <w:b w:val="false"/>
                <w:i w:val="false"/>
                <w:caps w:val="false"/>
                <w:smallCaps w:val="false"/>
                <w:strike w:val="false"/>
                <w:dstrike w:val="false"/>
                <w:sz w:val="10"/>
                <w:u w:val="none"/>
                <w:effect w:val="none"/>
              </w:rPr>
              <w:t>(12)</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15,012</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 </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Chabi Nouri</w:t>
            </w:r>
            <w:r>
              <w:rPr>
                <w:rFonts w:ascii="Arial;sans-serif" w:hAnsi="Arial;sans-serif"/>
                <w:b w:val="false"/>
                <w:i w:val="false"/>
                <w:caps w:val="false"/>
                <w:smallCaps w:val="false"/>
                <w:strike w:val="false"/>
                <w:dstrike w:val="false"/>
                <w:sz w:val="10"/>
                <w:u w:val="none"/>
                <w:effect w:val="none"/>
              </w:rPr>
              <w:t>(13)</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13,494</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Ori Winitzer</w:t>
            </w:r>
            <w:r>
              <w:rPr>
                <w:rFonts w:ascii="Arial;sans-serif" w:hAnsi="Arial;sans-serif"/>
                <w:b w:val="false"/>
                <w:i w:val="false"/>
                <w:caps w:val="false"/>
                <w:smallCaps w:val="false"/>
                <w:strike w:val="false"/>
                <w:dstrike w:val="false"/>
                <w:sz w:val="10"/>
                <w:u w:val="none"/>
                <w:effect w:val="none"/>
              </w:rPr>
              <w:t>(14)</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14,521</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Janet S. Wong</w:t>
            </w:r>
            <w:r>
              <w:rPr>
                <w:rFonts w:ascii="Arial;sans-serif" w:hAnsi="Arial;sans-serif"/>
                <w:b w:val="false"/>
                <w:i w:val="false"/>
                <w:caps w:val="false"/>
                <w:smallCaps w:val="false"/>
                <w:strike w:val="false"/>
                <w:dstrike w:val="false"/>
                <w:sz w:val="10"/>
                <w:u w:val="none"/>
                <w:effect w:val="none"/>
              </w:rPr>
              <w:t>(15)</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15,816</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All executive officers and directors as a group (11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persons)</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229,809,210</w:t>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w:t>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175,000</w:t>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w:t>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w:t>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pPr>
      <w:r>
        <w:rPr>
          <w:rFonts w:ascii="Arial;sans-serif" w:hAnsi="Arial;sans-serif"/>
          <w:b/>
          <w:i w:val="false"/>
          <w:caps w:val="false"/>
          <w:smallCaps w:val="false"/>
          <w:strike w:val="false"/>
          <w:dstrike w:val="false"/>
          <w:sz w:val="14"/>
          <w:u w:val="none"/>
          <w:effect w:val="none"/>
        </w:rPr>
        <w:t>*</w:t>
      </w:r>
      <w:r>
        <w:rPr>
          <w:rFonts w:ascii="Arial;sans-serif" w:hAnsi="Arial;sans-serif"/>
          <w:b w:val="false"/>
          <w:i w:val="false"/>
          <w:caps w:val="false"/>
          <w:smallCaps w:val="false"/>
          <w:strike w:val="false"/>
          <w:dstrike w:val="false"/>
          <w:sz w:val="12"/>
          <w:u w:val="none"/>
          <w:effect w:val="none"/>
        </w:rPr>
        <w:t>Less than 1%</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w:t>
      </w:r>
      <w:r>
        <w:rPr>
          <w:rFonts w:ascii="Arial;sans-serif" w:hAnsi="Arial;sans-serif"/>
          <w:b w:val="false"/>
          <w:i w:val="false"/>
          <w:caps w:val="false"/>
          <w:smallCaps w:val="false"/>
          <w:strike w:val="false"/>
          <w:dstrike w:val="false"/>
          <w:sz w:val="12"/>
          <w:u w:val="none"/>
          <w:effect w:val="none"/>
        </w:rPr>
        <w:t>Unless otherwise noted, the business address of each of the following entities or individuals is c/o Lucid Group, Inc., 7373 Gateway Boulevard, Newark, CA 94560.</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(2)</w:t>
      </w:r>
      <w:r>
        <w:rPr>
          <w:rFonts w:ascii="Arial;sans-serif" w:hAnsi="Arial;sans-serif"/>
          <w:b w:val="false"/>
          <w:i w:val="false"/>
          <w:caps w:val="false"/>
          <w:smallCaps w:val="false"/>
          <w:sz w:val="12"/>
        </w:rPr>
        <w:t xml:space="preserve">Based on information set forth in a Schedule 13G filed with the SEC on April 20, 2026 by Uber Technologies, Inc (“Uber”), Uber has sole voting and dispositive power over 37,753,583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 xml:space="preserve">shares of Common Stock and no shared voting or dispositive power over our Common Stock, resulting in approximately 11% beneficial ownership based on the shares outstanding as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 xml:space="preserve">of March 15, 2026. These shares are held by SMB Holding Corporation, a wholly-owned, indirect subsidiary of Uber. The business address for Uber is 1725 3rd Street, San Francisco, </w:t>
      </w:r>
    </w:p>
    <w:p>
      <w:pPr>
        <w:pStyle w:val="TextBody"/>
        <w:bidi w:val="0"/>
        <w:spacing w:lineRule="atLeast" w:line="142" w:before="0" w:after="0"/>
        <w:jc w:val="left"/>
        <w:rPr>
          <w:rFonts w:ascii="Arial;sans-serif" w:hAnsi="Arial;sans-serif"/>
          <w:b w:val="false"/>
          <w:i w:val="false"/>
          <w:caps w:val="false"/>
          <w:smallCaps w:val="false"/>
          <w:sz w:val="12"/>
        </w:rPr>
      </w:pPr>
      <w:r>
        <w:rPr>
          <w:rFonts w:ascii="Arial;sans-serif" w:hAnsi="Arial;sans-serif"/>
          <w:b w:val="false"/>
          <w:i w:val="false"/>
          <w:caps w:val="false"/>
          <w:smallCaps w:val="false"/>
          <w:sz w:val="12"/>
        </w:rPr>
        <w:t>CA 94158.</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(3)</w:t>
      </w:r>
      <w:r>
        <w:rPr>
          <w:rFonts w:ascii="Arial;sans-serif" w:hAnsi="Arial;sans-serif"/>
          <w:b w:val="false"/>
          <w:i w:val="false"/>
          <w:caps w:val="false"/>
          <w:smallCaps w:val="false"/>
          <w:strike w:val="false"/>
          <w:dstrike w:val="false"/>
          <w:sz w:val="12"/>
          <w:u w:val="none"/>
          <w:effect w:val="none"/>
        </w:rPr>
        <w:t xml:space="preserve">PIF has sole voting power over 804,139 shares of Common Stock held directly by PIF, shared voting power over 229,143,024 shares of Common Stock held by Ayar, including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33,136,468 shares of Common Stock issuable upon conversion of the Series A Convertible Preferred Stock and 19,721,828 shares of Common Stock issuable upon conversion of the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Series B Convertible Preferred Stock, aggregating to a beneficial ownership of 229,947,163 shares of Common Stock held either by PIF or Ayar. The number of shares of Common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Stock issuable upon conversion of the Series A Convertible Preferred Stock and Series B Convertible Preferred Stock reflects increases in the compounded returns on the shares of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Series A Convertible Preferred Stock and Series B Convertible Preferred Stock in accordance with the terms thereof. PIF is the sovereign wealth fund of the Kingdom of Saudi Arabia.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Ayar is a wholly owned subsidiary of PIF. The Board of Directors of PIF has dispositive power over the shares held by PIF and Ayar. Mr. Turqi A. Alnowaiser and Mr. Yasir Alsalman are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the co-managers of Ayar, and in such capacity have the authority to vote the securities held by Ayar. Neither Mr. Alnowaiser nor Mr. Alsalman has individual dispositive power with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respect to any securities held by Ayar, and each disclaims beneficial ownership of the shares held by Ayar. PIF disclaims beneficial ownership of the Ayar securities except to the extent </w:t>
      </w:r>
    </w:p>
    <w:p>
      <w:pPr>
        <w:pStyle w:val="TextBody"/>
        <w:bidi w:val="0"/>
        <w:spacing w:lineRule="atLeast" w:line="142" w:before="0" w:after="0"/>
        <w:jc w:val="left"/>
        <w:rPr>
          <w:sz w:val="24"/>
        </w:rPr>
      </w:pPr>
      <w:r>
        <w:rPr>
          <w:rFonts w:ascii="Arial;sans-serif" w:hAnsi="Arial;sans-serif"/>
          <w:b w:val="false"/>
          <w:i w:val="false"/>
          <w:caps w:val="false"/>
          <w:smallCaps w:val="false"/>
          <w:strike w:val="false"/>
          <w:dstrike w:val="false"/>
          <w:sz w:val="12"/>
          <w:u w:val="none"/>
          <w:effect w:val="none"/>
        </w:rPr>
        <w:t>of its pecuniary interest therein. Interests shown do not include 221,556 shares of Common Stock held by Mr. Alnowaiser or 40,145 shares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2"/>
          <w:u w:val="none"/>
          <w:effect w:val="none"/>
        </w:rPr>
        <w:t xml:space="preserve">of Common Stock held by Mr. Yasir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Alsalman. The business address for PIF is Alr’idah Digital City, Building MU04, Al Nakhil District, P.O. Box 6847, Riyadh 11452, The Kingdom of Saudi Arabia.</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(4)</w:t>
      </w:r>
      <w:r>
        <w:rPr>
          <w:rFonts w:ascii="Arial;sans-serif" w:hAnsi="Arial;sans-serif"/>
          <w:b w:val="false"/>
          <w:i w:val="false"/>
          <w:caps w:val="false"/>
          <w:smallCaps w:val="false"/>
          <w:strike w:val="false"/>
          <w:dstrike w:val="false"/>
          <w:sz w:val="12"/>
          <w:u w:val="none"/>
          <w:effect w:val="none"/>
        </w:rPr>
        <w:t xml:space="preserve">Interests shown consist of 136,348 shares of Common Stock and 43,138 shares of Common Stock subject to option awards that are currently exercisable or exercisable within 60 days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of March 15, 2026.</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81</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(5)</w:t>
      </w:r>
      <w:r>
        <w:rPr>
          <w:rFonts w:ascii="Arial;sans-serif" w:hAnsi="Arial;sans-serif"/>
          <w:b w:val="false"/>
          <w:i w:val="false"/>
          <w:caps w:val="false"/>
          <w:smallCaps w:val="false"/>
          <w:strike w:val="false"/>
          <w:dstrike w:val="false"/>
          <w:sz w:val="12"/>
          <w:u w:val="none"/>
          <w:effect w:val="none"/>
        </w:rPr>
        <w:t>Interests shown consist of 55,655 shares of Common Stock.</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(6)</w:t>
      </w:r>
      <w:r>
        <w:rPr>
          <w:rFonts w:ascii="Arial;sans-serif" w:hAnsi="Arial;sans-serif"/>
          <w:b w:val="false"/>
          <w:i w:val="false"/>
          <w:caps w:val="false"/>
          <w:smallCaps w:val="false"/>
          <w:strike w:val="false"/>
          <w:dstrike w:val="false"/>
          <w:sz w:val="12"/>
          <w:u w:val="none"/>
          <w:effect w:val="none"/>
        </w:rPr>
        <w:t xml:space="preserve">Interests shown consist of 58,716 shares of Common Stock and 8,519 shares of Common Stock subject to option awards that are currently exercisable or exercisable within 60 days of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March 15, 2026.</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(7)</w:t>
      </w:r>
      <w:r>
        <w:rPr>
          <w:rFonts w:ascii="Arial;sans-serif" w:hAnsi="Arial;sans-serif"/>
          <w:b w:val="false"/>
          <w:i w:val="false"/>
          <w:caps w:val="false"/>
          <w:smallCaps w:val="false"/>
          <w:strike w:val="false"/>
          <w:dstrike w:val="false"/>
          <w:sz w:val="12"/>
          <w:u w:val="none"/>
          <w:effect w:val="none"/>
        </w:rPr>
        <w:t>Interests shown consist of 97,761 shares of Common Stock.</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(8)</w:t>
      </w:r>
      <w:r>
        <w:rPr>
          <w:rFonts w:ascii="Arial;sans-serif" w:hAnsi="Arial;sans-serif"/>
          <w:b w:val="false"/>
          <w:i w:val="false"/>
          <w:caps w:val="false"/>
          <w:smallCaps w:val="false"/>
          <w:strike w:val="false"/>
          <w:dstrike w:val="false"/>
          <w:sz w:val="12"/>
          <w:u w:val="none"/>
          <w:effect w:val="none"/>
        </w:rPr>
        <w:t xml:space="preserve">Interests shown consist of 1,622,465 shares of Common Stock and 756,980 shares of Common Stock subject to option awards that are currently exercisable or exercisable within 60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days of March 15, 2026.</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(9)</w:t>
      </w:r>
      <w:r>
        <w:rPr>
          <w:rFonts w:ascii="Arial;sans-serif" w:hAnsi="Arial;sans-serif"/>
          <w:b w:val="false"/>
          <w:i w:val="false"/>
          <w:caps w:val="false"/>
          <w:smallCaps w:val="false"/>
          <w:strike w:val="false"/>
          <w:dstrike w:val="false"/>
          <w:sz w:val="12"/>
          <w:u w:val="none"/>
          <w:effect w:val="none"/>
        </w:rPr>
        <w:t xml:space="preserve">Interests shown consist of  (i) 221,556 shares of Common Stock held by Mr. Alnowaiser and (ii) 229,143,024 shares of Common Stock held by Ayar. Mr. Alnowaiser, who is Deputy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Governor and Head of the International Investments Division of PIF, has shared voting power with respect to the shares held by Ayar and has no pecuniary interest in and disclaims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beneficial ownership of such shares. See note (2) above.</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(10)</w:t>
      </w:r>
      <w:r>
        <w:rPr>
          <w:rFonts w:ascii="Arial;sans-serif" w:hAnsi="Arial;sans-serif"/>
          <w:b w:val="false"/>
          <w:i w:val="false"/>
          <w:caps w:val="false"/>
          <w:smallCaps w:val="false"/>
          <w:strike w:val="false"/>
          <w:dstrike w:val="false"/>
          <w:sz w:val="12"/>
          <w:u w:val="none"/>
          <w:effect w:val="none"/>
        </w:rPr>
        <w:t>Interests shown consist of 5,289 shares of Common Stock.</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(11)</w:t>
      </w:r>
      <w:r>
        <w:rPr>
          <w:rFonts w:ascii="Arial;sans-serif" w:hAnsi="Arial;sans-serif"/>
          <w:b w:val="false"/>
          <w:i w:val="false"/>
          <w:caps w:val="false"/>
          <w:smallCaps w:val="false"/>
          <w:strike w:val="false"/>
          <w:dstrike w:val="false"/>
          <w:sz w:val="12"/>
          <w:u w:val="none"/>
          <w:effect w:val="none"/>
        </w:rPr>
        <w:t xml:space="preserve">Interests shown consist of  (i) 55,131 shares of Common Stock held by Mr. Liveris, (ii) 13,892 shares of Common Stock subject to RSUs for which the settlement has been deferred,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and (ii) 40,000 shares of Common Stock and 36,334 shares of Common Stock issuable upon exercise of warrants to purchase shares of Common Stock held by Liveris Capital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 xml:space="preserve">Partners LLC. Mr. Liveris has investment control over Liveris Capital Partners and disclaims beneficial ownership of such shares and warrants held by Liveris Capital Partners LLC. The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business address for Liveris Capital Partners LLC is c/o BDO 225NE Mizner Blvd, Suite 685, Boca Raton, FL 33432.</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(12)</w:t>
      </w:r>
      <w:r>
        <w:rPr>
          <w:rFonts w:ascii="Arial;sans-serif" w:hAnsi="Arial;sans-serif"/>
          <w:b w:val="false"/>
          <w:i w:val="false"/>
          <w:caps w:val="false"/>
          <w:smallCaps w:val="false"/>
          <w:strike w:val="false"/>
          <w:dstrike w:val="false"/>
          <w:sz w:val="12"/>
          <w:u w:val="none"/>
          <w:effect w:val="none"/>
        </w:rPr>
        <w:t xml:space="preserve">Interests shown consist of  (i) 1,120 shares of Common Stock held by Ms. Maynard-Elliott and (ii) 13,892 shares of Common Stock subject to vested RSUs for which the settlement has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been deferred.</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(13)</w:t>
      </w:r>
      <w:r>
        <w:rPr>
          <w:rFonts w:ascii="Arial;sans-serif" w:hAnsi="Arial;sans-serif"/>
          <w:b w:val="false"/>
          <w:i w:val="false"/>
          <w:caps w:val="false"/>
          <w:smallCaps w:val="false"/>
          <w:strike w:val="false"/>
          <w:dstrike w:val="false"/>
          <w:sz w:val="12"/>
          <w:u w:val="none"/>
          <w:effect w:val="none"/>
        </w:rPr>
        <w:t xml:space="preserve">Interests shown consist of  (i) 11,881 shares of Common Stock held by Ms. Nouri and (ii) 1,613 shares of Common Stock subject to vested RSUs that will vest within 60 days of March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15, 2026.</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(14)</w:t>
      </w:r>
      <w:r>
        <w:rPr>
          <w:rFonts w:ascii="Arial;sans-serif" w:hAnsi="Arial;sans-serif"/>
          <w:b w:val="false"/>
          <w:i w:val="false"/>
          <w:caps w:val="false"/>
          <w:smallCaps w:val="false"/>
          <w:strike w:val="false"/>
          <w:dstrike w:val="false"/>
          <w:sz w:val="12"/>
          <w:u w:val="none"/>
          <w:effect w:val="none"/>
        </w:rPr>
        <w:t xml:space="preserve">Interests shown consist of  (i) 12,908 shares of Common Stock held by Mr. Winitzer and (ii) 1,613 shares of Common Stock subject to RSUs that will vest within 60 days of March 15,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2"/>
          <w:u w:val="none"/>
          <w:effect w:val="none"/>
        </w:rPr>
      </w:pPr>
      <w:r>
        <w:rPr>
          <w:rFonts w:ascii="Arial;sans-serif" w:hAnsi="Arial;sans-serif"/>
          <w:b w:val="false"/>
          <w:i w:val="false"/>
          <w:caps w:val="false"/>
          <w:smallCaps w:val="false"/>
          <w:strike w:val="false"/>
          <w:dstrike w:val="false"/>
          <w:sz w:val="12"/>
          <w:u w:val="none"/>
          <w:effect w:val="none"/>
        </w:rPr>
        <w:t>2026.</w:t>
      </w:r>
    </w:p>
    <w:p>
      <w:pPr>
        <w:pStyle w:val="TextBody"/>
        <w:bidi w:val="0"/>
        <w:spacing w:lineRule="atLeast" w:line="142" w:before="0" w:after="0"/>
        <w:jc w:val="left"/>
        <w:rPr/>
      </w:pPr>
      <w:r>
        <w:rPr>
          <w:rFonts w:ascii="Arial;sans-serif" w:hAnsi="Arial;sans-serif"/>
          <w:b w:val="false"/>
          <w:i w:val="false"/>
          <w:caps w:val="false"/>
          <w:smallCaps w:val="false"/>
          <w:strike w:val="false"/>
          <w:dstrike w:val="false"/>
          <w:sz w:val="8"/>
          <w:u w:val="none"/>
          <w:effect w:val="none"/>
        </w:rPr>
        <w:t>(15)</w:t>
      </w:r>
      <w:r>
        <w:rPr>
          <w:rFonts w:ascii="Arial;sans-serif" w:hAnsi="Arial;sans-serif"/>
          <w:b w:val="false"/>
          <w:i w:val="false"/>
          <w:caps w:val="false"/>
          <w:smallCaps w:val="false"/>
          <w:strike w:val="false"/>
          <w:dstrike w:val="false"/>
          <w:sz w:val="12"/>
          <w:u w:val="none"/>
          <w:effect w:val="none"/>
        </w:rPr>
        <w:t>Interests shown consist of 15,816 shares of Common Stock.</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82</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Certain Relationships and Related Party Transactions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describe below transactions and series of similar transactions, since the beginning of our last fiscal year or currently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proposed, to which we were a party or will be a party, in which:</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the amount involved exceeds $120,000; and</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any of our directors, director nominees, executive officers, beneficial holders of more than 5% of any class of our capital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stock who had or will have a direct or indirect material interest, or any immediate family member of the foregoing persons.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Compensation arrangements are described where required under the sections entitled “Director Compensation” and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Executive Compensation.”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referred to in this section, the Public Investment Fund (“PIF”) is an instrumentality of the Kingdom of Saudi Arabia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financial autonomy, as well as independence, in carrying out its investment management and operations activities. Ayar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Third Investment Company (“Ayar”) is a wholly-owned subsidiary of PIF.</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Saudi Arabia Manufacturing Facility Lease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February 27, 2022, we announced that we selected King Abdullah Economic City (“KAEC”) in Saudi Arabia as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location of our first international manufacturing plant and, through our subsidiary, entered into a development lease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agreement with Emaar, The Economic City (“Emaar”) at KAEC. PIF owns an approximately 55% interest in Emaar,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developer of KAEC. We expect to make payments under the agreement in the aggregate amount of approximately SAR 62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million (approximately $16.6 million). During the fiscal year ended December 31, 2025, we made payments under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agreement in the aggregate of approximately SAR 5,422 ($1,446) (exclusive of VAT and service charges).</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Gulf International Bank Facility Agreement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April 29, 2022, our subsidiary Lucid LLC entered into a revolving credit facility agreement (the “GIB Facility Agreement”)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with Gulf International Bank Saudi Arabia (“GIB”), maturing on February 28, 2025. PIF owns approximately 98% interest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GIB. The GIB Facility Agreement provided for two committed revolving credit facilities in an aggregate principal amount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SAR 1 billion (approximately $266.1 million). SAR 650 million (approximately $173.0 million) under the GIB Facility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Agreement was available as bridge financing (the “Bridge Facility”) of Lucid LLC’s capital expenditures in connection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AMP-2. The remaining SAR 350 million (approximately $93.1 million) was available for general corporate purposes (the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Working Capital Facility”). Loans under the Bridge Facility and the Working Capital Facility had a maturity of no more than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12 months. The Bridge Facility incurred interest at a rate of 1.25% per annum over 3-month SAIBOR and the Working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Capital Facility incurred interest at a rate of 1.70% per annum over 1- to 3-month SAIBOR and associated fees.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March 12, 2023, Lucid LLC entered into an amendment of the GIB Facility Agreement (together with the GIB Facility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Agreement, the “2023 GIB Facility Agreement”) to combine the Bridge Facility and the Working Capital Facility into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committed SAR 1 billion (approximately $266.1 million) revolving credit facility (the “2023 GIB Credit Facility”) which may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used for general corporate purposes. Loans under the 2023 GIB Facility Agreement have a maturity of no more than 12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months and bear interest at a rate of 1.40% per annum over SAIBOR (based on the term of borrowing) and associated fees.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February 24, 2025, Lucid LLC entered into an agreement with GIB to renew the 2023 GIB Credit Facility (the “2025 GIB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Credit Facility Agreement,” and together with the 2023 GIB Facility Agreement, the “Amended GIB Facility Agreement”),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maturing on February 24, 2028, to increase the credit facility committed amount from SAR 1.0 billion (approximately $266.1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million) to SAR 1.9 billion (approximately $506.6 million) (the “2025 GIB Credit Facility”). Loans under the 2025 GIB Credit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Facility Agreement may be used for general corporate purposes, have a maturity of no more than 12 months, and bear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interest at a rate of 1.40% per annum over SAIBOR (based on the term of borrowing) and associated fees. The Company 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required to pay a quarterly commitment fee of 0.25% per annum based on the unutilized portion of the 2025 GIB Credit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Facility.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largest aggregate amount of principal outstanding under the Amended GIB Facility Agreement during fiscal year 2025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was SAR 1,785.0 million (approximately $476.0 million). During fiscal year 2025, we paid SAR 57.9 million (approximately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$15.4 million) of interest under the Amended GIB Facility Agreement. As of December 31, 2025, we had outstanding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borrowings of SAR 1,755.0 million (approximately $468.0 million) with weighted average interest rate of 6.44%. As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December 31, 2025, availability under the GIB Credit Facility was SAR 143.5 million (approximately $38.3 million), after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giving effect to the outstanding letters of credit.</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83</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Construction Service Contract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July 1, 2022, Lucid LLC entered into a master services agreement and related agreements with Al Bawani Company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Limited (“Al Bawani”) for certain design and construction services in connection with the development of AMP-2. PIF owns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 approximately 33% interest in Al Bawani. The capital expenditures incurred to date under these agreements were SAR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2,147.8 million (approximately $572.7 million) as of December 31, 2025. Amounts due to Al Bawani under these agreements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was SAR 306.0 million (approximately $81.6 million) as of December 31, 2025.</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Ayar Prepaid Forward Transactions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connection with the pricing of the 5.00% Convertible Senior Notes due in April 2030 (the "2030 Notes"), Ayar entered into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 privately negotiated prepaid forward transaction on April 2, 2025 with a forward counterparty that is an affiliate of one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initial purchasers of the 2030 Notes, pursuant to which Ayar will purchase approximately $430.0 million of the Company’s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common stock with delivery expected to occur on or about the maturity date for the 2030 Notes, subject to the ability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forward counterparty to elect to settle all or a portion of the prepaid forward transaction early.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connection with the pricing of the  7.00% Convertible Senior Notes due in November 2031 (the "2031 Notes"), Ayar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entered into a privately negotiated prepaid forward transaction on November 11, 2025 with a forward counterparty that is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affiliate of one of the initial purchasers of the 2031 Notes, pursuant to which Ayar will purchase approximately $636.7 million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the Company’s common stock with delivery expected to occur on or about the maturity date for the 2031 Notes, subject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ability of the forward counterparty to elect to settle all or a portion of the prepaid forward transaction early.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 is not a party to the prepaid forward transactions. In connection with Ayar agreeing to enter into and fund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prepaid forward transactions, the Company has agreed to pay a periodic cash fee to Ayar, which shall initially accrue at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rate of 0.5% per annum on the amount of prepaid forward transactions and be recalculated to reflect any early settlement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prepaid forward transactions. The periodic fee incurred associated with the prepaid forward transactions was $2.0 million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for the year ended December 31, 2025, and we have paid $1.1 million of such fee as of December 31, 2025.</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April 2026 Subscription Agreement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April 14, 2026, we entered into a subscription agreement (the “April 2026 Subscription Agreement”) with Ayar, pursuant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which Ayar agreed to purchase 55,000 shares of our Series C Convertible Preferred Stock, par value $0.0001 per share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(“Series C Convertible Preferred Stock”), for an aggregate purchase price of  $550.0 million in a private placement. We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expect to issue the shares of Series C Convertible Preferred Stock to Ayar no later than April 28, 2026. Ayar agreed not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sell, transfer, pledge or otherwise dispose of any shares of Series C Convertible Preferred Stock or any shares of Common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Stock issued pursuant to the terms thereof, for a period of 12 months after the date of the private placement.</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Sixth Amendment to Investor Rights Agreement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November 11, 2025, we entered into an amendment to the Investor Rights Agreement (the “Sixth IRA Amendment”).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Pursuant to the Sixth IRA Amendment, Ayar is entitled to certain registration rights, including demand, piggy-back and shelf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registration rights, with respect to the shares of Common Stock to be purchased in connection with the Ayar prepaid forward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transactions.</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Seventh Amendment to Investor Rights Agreement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Pursuant to the April 2026 Subscription Agreement, we agreed to enter into an amendment to the Investor Rights Agreement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“Seventh IRA Amendment”). Pursuant to the Seventh IRA Amendment, Ayar will be entitled to certain registration rights,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including demand, piggyback and shelf registration rights, with respect to the shares of Series C Convertible Preferred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purchased pursuant to the April 2026 Subscription Agreement and any shares of Common Stock issuable upon conversion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thereof.</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Agreements with Aston Martin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June 2023, we entered into an agreement (the “Implementation Agreement”) with Aston Martin Lagonda Global Holdings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plc (together with its subsidiaries, “Aston Martin”), under which we and Aston Martin have established a long-term strategic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technology and supply arrangement. Pursuant to the terms of the Implementation Agreement, we entered into integration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supply arrangements with Aston Martin under which we will provide Aston Martin access to our powertrain, battery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system, and software technologies, work with Aston Martin to integrate our powertrain and battery components with Aston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84</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Martin’s battery electric vehicle chassis, and supply powertrain and battery components to Aston Martin (collectively, the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Strategic Technology Arrangement”). PIF owns an approximately 14% interest in Aston Martin.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connection with the Strategic Technology Arrangement, no integration service fees was received in 2025, and we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recorded accounts receivable of $2.8 million as of December 31, 2025. We expect to receive the remaining cash payments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$99 million in technology access fees, along with an additional $4.2 million in integration service fees. Aston Martin has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also committed to an effective minimum spend with us on powertrain components of  $225 million.</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Saudi Arabia Corporate Office Lease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July 2023, the Company entered into a lease agreement with King Abdullah Financial District Development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Management Company, a wholly-owned subsidiary of PIF, for its corporate office in Saudi Arabia. The lease has an initial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 of six years expiring in fiscal year 2029. We expect to make payments under the agreement in the aggregate amount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approximately SAR 7.6 million (approximately $2.0 million) (exclusive of VAT and service charges). We made no payment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under the agreement, exclusive of VAT and service charges, during the year ended December 31, 2025.</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EV Purchase Agreement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August 2023, Lucid LLC entered into an EV purchase agreement with the Government of Saudi Arabia, as represented by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Ministry of Finance (the “EV Purchase Agreement”). The EV Purchase Agreement supersedes the Letter of Undertaking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that Lucid LLC entered into in April 2022. Pursuant to the terms of the EV Purchase Agreement, the Government of Saudi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Arabia and its entities and corporate subsidiaries and other beneficiaries (collectively, the “Purchaser”) may purchase up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100,000 vehicles, with a minimum purchase quantity of 50,000 vehicles and an option to purchase up to an additional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50,000 vehicles during a ten-year period. Under the EV Purchase Agreement, the Purchaser may reduce the minimum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vehicle purchase quantity by the number of vehicles set out in any purchase order not accepted by us or by the number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vehicles that Lucid LLC fails to deliver within six months from the date of the applicable purchase order. The Purchaser also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has absolute discretion to decide whether to exercise the option to purchase the additional 50,000 vehicles. The Company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recognized net vehicle sales amount of SAR 540.2 million (approximately $144.0 million) during the year ended December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31, 2025.</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DDTL Credit Facility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August 2024, the Company entered into a credit agreement providing for an unsecured delayed draw term loan credit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facility (the "DDTL Credit Facility") with Ayar, that may be used for working capital and general corporate purposes.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DDTL Credit Facility provides for a delayed draw term loan credit facility in an aggregate principal amount of $750.0 million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has a stated maturity date of August 4, 2029. Borrowings under the DDTL Credit Facility bear interest at the applicable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interest rates specified in the credit agreement governing the DDTL Credit Facility.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November 2025, the Company increased the aggregate principal amount of the DDTL Credit Facility from $750.0 million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$1.98 billion. The Company is required to pay a quarterly undrawn fee of 0.50% per annum based on the unutilized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portion of the DDTL Credit Facility.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of December 31, 2025, the Company had no outstanding borrowings under the DDTL Credit Facility. Commitment fee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amortization of the deferred issuance costs were $6.4 million for the year ended December 31, 2025. We paid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commitment fee of $3.8 million for the year ended December 31, 2025.</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April 1, 2026, we borrowed $500.0 million under the DDTL Credit Facility. On April 14, 2026, the Company entered into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 Amendment No. 2 to Credit Agreement (the “DDTL Amendment”), pursuant to which the aggregate undrawn delayed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draw term commitments were increased by $500 million, such that, after giving effect to such increase, the sum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outstanding delayed draw term loans and aggregate undrawn delayed draw term commitments was increased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approximately $2.5 billion. The DDTL Amendment, among other things, also eliminated the minimum liquidity covenant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removed the requirement that the Company fully utilize the borrowing availability under the ABL Credit Agreement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defined therein) prior to making borrowings under the DDTL Credit Facility. </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Uber Vehicle Production Agreement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July 16, 2025, we entered into a Vehicle Production Agreement (“First VPA”) with Uber Technologies, Inc. (“Uber”), under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which Uber and its designated fleet operators have agreed to purchase a minimum commitment of 20,000 Lucid Gravity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vehicles that have been modified to include certain autonomous driving hardware and other features (the “Lucid Gravity Plus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vehicles”) over a six-year period following the start of production. Uber and Lucid will collaborate with Nuro, Inc., as the </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85</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provider of autonomous driving software, to develop and deploy a fleet of autonomous vehicles to be used as robotaxis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Uber platform.</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Uber Second Vehicle Production Agreement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April 14, 2026, we entered into a Second Vehicle Production Agreement (the “Second VPA”) with Uber, under which Uber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its designated fleet operators have agreed to purchase a minimum commitment of 25,000 Lucid Midsize vehicles (the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Second VPA Minimum Quantity Guarantee”) for use as robotaxis that have been modified to include certain autonomous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driving hardware and other features (the “Lucid Midsize Plus vehicles”) over a six-year period following the start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production. Start of production of Lucid Midsize Plus vehicles is targeted to occur in late 2028.</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Pursuant to the offset provisions under the First VPA, the Second VPA Minimum Quantity Guarantee increased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aggregate number of Lucid Gravity Plus and Lucid Midsize Plus vehicles Uber is committed to purchase to at least 35,000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units. </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2026 Uber Subscription Agreement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April 14, 2026, we entered into a subscription agreement with a subsidiary of Uber, SMB Holding Corporation (“SMB”),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which we agreed to issue and SMB agreed to purchase $200.0 million of our Common Stock in a private placement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“2026 Uber Private Placement”). SMB agreed not to sell, transfer, pledge or otherwise dispose of any shares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Common Stock issued in the 2026 Uber Private Placement, for a period of 18 months after the date of such private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placement. SMB is entitled to certain registration rights, including piggyback and shelf registration rights, with respect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shares of Common Stock issued in the 2026 Uber Private Placement.</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Executive Officer and Director Compensation Arrangements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See “Executive Compensation” and “Director Compensation” for information regarding compensation arrangements with our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executive officers and directors, respectively, which include, among other things, employment, termination of employment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change in control arrangements, stock awards, stock options and certain other benefits.</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Director and Executive Officer Indemnification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certificate of incorporation provides for indemnification for directors and certain officers to the fullest extent permitted by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law. We entered into indemnification agreements with each director and executive officer and certain other officers.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agreements provide among other things, our officers and directors with contractual rights to indemnification, expense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advancement and reimbursement, to the fullest extent permitted by law, including to the extent they serve at our request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directors, officers, employees or other agents of any other affiliated entity, to the fullest extent permitted by law.</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POLICIES AND PROCEDURES FOR RELATED PARTY TRANSACTIONS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Board has adopted a written related person transaction policy that sets forth the following policies and procedures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review and approval or ratification of related person transactions. A “related person transaction” is a transaction,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arrangement or relationship in which we or any of our subsidiaries was, is or will be a participant, the amount of which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involved exceeds $120,000, and in which any related person had, has or will have a direct or indirect material interest. A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related person” means: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any person who is, or at any time during the applicable period was, one of our executive officers or directors;</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any person who is known by us to be the beneficial owner of more than 5% of our voting stock;</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any immediate family member of any of the foregoing persons, which means any child, stepchild, parent, step-parent,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spouse, sibling, mother-in-law, father-in-law, son-in-law, daughter-in-law, brother-in-law or sister-in-law of a director,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executive officer or a beneficial owner of more than 5% of our voting stock, and any person (other than a tenant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employee) sharing the household of such director, executive officer or beneficial owner of more than 5% of our voting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stock; and</w:t>
      </w:r>
    </w:p>
    <w:p>
      <w:pPr>
        <w:pStyle w:val="TextBody"/>
        <w:bidi w:val="0"/>
        <w:spacing w:lineRule="atLeast" w:line="180" w:before="0" w:after="0"/>
        <w:jc w:val="left"/>
        <w:rPr/>
      </w:pPr>
      <w:r>
        <w:rPr>
          <w:caps w:val="false"/>
          <w:smallCaps w:val="false"/>
          <w:strike w:val="false"/>
          <w:dstrike w:val="false"/>
          <w:color w:val="8A6B24"/>
          <w:u w:val="none"/>
          <w:effect w:val="none"/>
        </w:rPr>
        <w:t>■</w:t>
      </w:r>
      <w:r>
        <w:rPr>
          <w:rFonts w:ascii="Arial;sans-serif" w:hAnsi="Arial;sans-serif"/>
          <w:b w:val="false"/>
          <w:i w:val="false"/>
          <w:caps w:val="false"/>
          <w:smallCaps w:val="false"/>
          <w:strike w:val="false"/>
          <w:dstrike w:val="false"/>
          <w:sz w:val="18"/>
          <w:u w:val="none"/>
          <w:effect w:val="none"/>
        </w:rPr>
        <w:t xml:space="preserve">any firm, corporation or other entity in which any of the foregoing persons is a partner or principal, or in a similar position,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or in which such person has a 10% or greater beneficial ownership interest.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 have policies and procedures designed to minimize potential conflicts of interest arising from any dealings we may have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with our affiliates and to provide appropriate procedures for the disclosure of any actual or potential conflicts of interest that </w:t>
      </w:r>
    </w:p>
    <w:tbl>
      <w:tblPr>
        <w:tblW w:w="1911" w:type="dxa"/>
        <w:jc w:val="left"/>
        <w:tblInd w:w="0" w:type="dxa"/>
        <w:tblLayout w:type="fixed"/>
        <w:tblCellMar>
          <w:top w:w="28" w:type="dxa"/>
          <w:left w:w="28" w:type="dxa"/>
          <w:bottom w:w="28" w:type="dxa"/>
          <w:right w:w="28" w:type="dxa"/>
        </w:tblCellMar>
      </w:tblPr>
      <w:tblGrid>
        <w:gridCol w:w="271"/>
        <w:gridCol w:w="109"/>
        <w:gridCol w:w="1531"/>
      </w:tblGrid>
      <w:tr>
        <w:trPr/>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86</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may exist from time to time. Specifically, pursuant to our Audit Committee charter, our Audit Committee has the responsibility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to review related person transactions.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Our Audit Committee has also established standing pre-approvals for certain classes of related party transactions, such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sales of our vehicles, parts, services, merchandise, and other Lucid products and services purchased by related persons 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market prices.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DELINQUENT SECTION 16(A) REPORTS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SEC regulations require us to identify in this Proxy Statement anyone who filed a required report late during the most recent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fiscal year. Based on our review of forms filed with the SEC and written representations from our executive officers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directors, we believe that during the fiscal year ended December 31, 2025, all Section 16(a) filing requirements were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satisfied on a timely basis, except for one Form 4 that was filed on December 15, 2025, reporting one transaction for Ayar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Third Investment Company relating to shares that were purchased under a prepaid forward transaction. Ayar Third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Investment Company timely signed and authorized the Form 4 filing and the Form 4 filing was late due to a clerical error.</w:t>
      </w:r>
    </w:p>
    <w:tbl>
      <w:tblPr>
        <w:tblW w:w="1911" w:type="dxa"/>
        <w:jc w:val="left"/>
        <w:tblInd w:w="0" w:type="dxa"/>
        <w:tblLayout w:type="fixed"/>
        <w:tblCellMar>
          <w:top w:w="28" w:type="dxa"/>
          <w:left w:w="28" w:type="dxa"/>
          <w:bottom w:w="28" w:type="dxa"/>
          <w:right w:w="28" w:type="dxa"/>
        </w:tblCellMar>
      </w:tblPr>
      <w:tblGrid>
        <w:gridCol w:w="1501"/>
        <w:gridCol w:w="109"/>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87</w:t>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Householding of Proxy Materials; Availability of Annual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Report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SEC has adopted rules that permit companies and intermediaries (e.g., brokers) to satisfy the delivery requirements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Proxy Availability Notice or other proxy materials with respect to two or more stockholders sharing the same address by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delivering a single Proxy Availability Notice or other proxy materials addressed to those stockholders. This process, which 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commonly referred to as householding, potentially provides extra convenience for stockholders and cost savings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companies. Stockholders who participate in householding will continue to be able to access and receive separate proxy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cards.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This year, a number of brokers with account holders who are our stockholders will be “householding” our proxy materials.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Proxy Availability Notice or proxy materials will be delivered in a single envelope to multiple stockholders sharing an address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unless contrary instructions have been received from one or more of the affected stockholders. Once you have received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notice from your broker that they will be householding communications to your address, householding will continue until you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are notified otherwise or until you revoke your consent. If, at any time, you no longer wish to participate in householding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would prefer to receive a separate Proxy Availability Notice or proxy materials, please notify your broker, bank or other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institution where you hold your shares. Stockholders who currently receive multiple copies of the Proxy Availability Notice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proxy materials at their address and would like to request householding of their communications should contact their broker,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bank or other institution where they hold their shares. In addition, we will promptly deliver, upon written or oral request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Lucid Investor Relations at 7373 Gateway Boulevard, Newark, CA 94560, by email: investor@lucidmotors.com, or by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telephone: (510) 648-3553, a separate copy of the Proxy Availability Notice or proxy materials to a stockholder at a shared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address to which a single copy of the documents was delivered.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 copy of our Annual Report on Form 10-K for the year ended December 31, 2025, as filed with the SEC on February 24,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2026, is available without charge upon written request to Investor Relations, Lucid Group, Inc., 7373 Gateway Boulevard,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Newark, CA 94560 or by accessing a copy on our website at ir.lucidmotors.com/financials/sec-filings in the Investors section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“SEC Filings.” Information on or accessible through our website is not incorporated by reference in this Proxy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Other Matters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knows of no other matters that will be presented for consideration at the Annual Meeting. If any other matters are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properly brought before the Annual Meeting, it is the intention of the persons named in the accompanying proxy to vote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such matters in accordance with their best judgment.</w:t>
      </w:r>
    </w:p>
    <w:tbl>
      <w:tblPr>
        <w:tblW w:w="1764" w:type="dxa"/>
        <w:jc w:val="left"/>
        <w:tblInd w:w="0" w:type="dxa"/>
        <w:tblLayout w:type="fixed"/>
        <w:tblCellMar>
          <w:top w:w="28" w:type="dxa"/>
          <w:left w:w="28" w:type="dxa"/>
          <w:bottom w:w="28" w:type="dxa"/>
          <w:right w:w="28" w:type="dxa"/>
        </w:tblCellMar>
      </w:tblPr>
      <w:tblGrid>
        <w:gridCol w:w="1501"/>
        <w:gridCol w:w="109"/>
        <w:gridCol w:w="154"/>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pPr>
      <w:hyperlink w:anchor="i8e46ffef7ba64d5685b12ae81aaaa434_13">
        <w:r>
          <w:rPr>
            <w:rStyle w:val="InternetLink"/>
            <w:rFonts w:ascii="sans-serif" w:hAnsi="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Annex A</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LUCID GROUP, INC.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AMENDED AND RESTATED 2021 STOCK</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INCENTIVE PLAN</w:t>
      </w:r>
    </w:p>
    <w:tbl>
      <w:tblPr>
        <w:tblW w:w="1941" w:type="dxa"/>
        <w:jc w:val="left"/>
        <w:tblInd w:w="0" w:type="dxa"/>
        <w:tblLayout w:type="fixed"/>
        <w:tblCellMar>
          <w:top w:w="28" w:type="dxa"/>
          <w:left w:w="28" w:type="dxa"/>
          <w:bottom w:w="28" w:type="dxa"/>
          <w:right w:w="28" w:type="dxa"/>
        </w:tblCellMar>
      </w:tblPr>
      <w:tblGrid>
        <w:gridCol w:w="1501"/>
        <w:gridCol w:w="109"/>
        <w:gridCol w:w="33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A-i</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Table of Contents</w:t>
      </w:r>
    </w:p>
    <w:tbl>
      <w:tblPr>
        <w:tblW w:w="7082" w:type="dxa"/>
        <w:jc w:val="left"/>
        <w:tblInd w:w="0" w:type="dxa"/>
        <w:tblLayout w:type="fixed"/>
        <w:tblCellMar>
          <w:top w:w="28" w:type="dxa"/>
          <w:left w:w="28" w:type="dxa"/>
          <w:bottom w:w="28" w:type="dxa"/>
          <w:right w:w="28" w:type="dxa"/>
        </w:tblCellMar>
      </w:tblPr>
      <w:tblGrid>
        <w:gridCol w:w="6571"/>
        <w:gridCol w:w="511"/>
      </w:tblGrid>
      <w:tr>
        <w:trPr/>
        <w:tc>
          <w:tcPr>
            <w:tcW w:w="65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5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4"/>
                <w:u w:val="none"/>
                <w:effect w:val="none"/>
              </w:rPr>
            </w:pPr>
            <w:r>
              <w:rPr>
                <w:rFonts w:ascii="Arial;sans-serif" w:hAnsi="Arial;sans-serif"/>
                <w:b/>
                <w:i w:val="false"/>
                <w:caps w:val="false"/>
                <w:smallCaps w:val="false"/>
                <w:strike w:val="false"/>
                <w:dstrike w:val="false"/>
                <w:color w:val="000000"/>
                <w:sz w:val="14"/>
                <w:u w:val="none"/>
                <w:effect w:val="none"/>
              </w:rPr>
              <w:t xml:space="preserve">Page </w:t>
            </w:r>
          </w:p>
        </w:tc>
      </w:tr>
      <w:tr>
        <w:trPr/>
        <w:tc>
          <w:tcPr>
            <w:tcW w:w="6571" w:type="dxa"/>
            <w:tcBorders/>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tcBorders/>
            <w:shd w:fill="CCEEFF" w:val="clear"/>
            <w:vAlign w:val="center"/>
          </w:tcPr>
          <w:p>
            <w:pPr>
              <w:pStyle w:val="TableContents"/>
              <w:bidi w:val="0"/>
              <w:spacing w:lineRule="atLeast" w:line="180" w:before="0" w:after="0"/>
              <w:jc w:val="left"/>
              <w:rPr/>
            </w:pPr>
            <w:hyperlink w:anchor="i8e46ffef7ba64d5685b12ae81aaaa434_94">
              <w:r>
                <w:rPr>
                  <w:rStyle w:val="InternetLink"/>
                  <w:rFonts w:ascii="Arial;sans-serif" w:hAnsi="Arial;sans-serif"/>
                  <w:b/>
                  <w:i w:val="false"/>
                  <w:caps w:val="false"/>
                  <w:smallCaps w:val="false"/>
                  <w:color w:val="0000EE"/>
                  <w:sz w:val="18"/>
                  <w:u w:val="single"/>
                </w:rPr>
                <w:t>SECTION 1. ESTABLISHMENT AND PURPOSE</w:t>
              </w:r>
            </w:hyperlink>
          </w:p>
        </w:tc>
        <w:tc>
          <w:tcPr>
            <w:tcW w:w="51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pPr>
            <w:hyperlink w:anchor="i8e46ffef7ba64d5685b12ae81aaaa434_94">
              <w:r>
                <w:rPr>
                  <w:rStyle w:val="InternetLink"/>
                  <w:rFonts w:ascii="Arial;sans-serif" w:hAnsi="Arial;sans-serif"/>
                  <w:b/>
                  <w:i w:val="false"/>
                  <w:caps w:val="false"/>
                  <w:smallCaps w:val="false"/>
                  <w:color w:val="0000EE"/>
                  <w:sz w:val="18"/>
                  <w:u w:val="single"/>
                </w:rPr>
                <w:t>A-1</w:t>
              </w:r>
            </w:hyperlink>
          </w:p>
        </w:tc>
      </w:tr>
      <w:tr>
        <w:trPr/>
        <w:tc>
          <w:tcPr>
            <w:tcW w:w="6571" w:type="dxa"/>
            <w:tcBorders/>
            <w:shd w:fill="FFFFFF" w:val="clear"/>
            <w:vAlign w:val="center"/>
          </w:tcPr>
          <w:p>
            <w:pPr>
              <w:pStyle w:val="TableContents"/>
              <w:bidi w:val="0"/>
              <w:spacing w:lineRule="atLeast" w:line="180" w:before="0" w:after="0"/>
              <w:jc w:val="left"/>
              <w:rPr/>
            </w:pPr>
            <w:hyperlink w:anchor="i8e46ffef7ba64d5685b12ae81aaaa434_97">
              <w:r>
                <w:rPr>
                  <w:rStyle w:val="InternetLink"/>
                  <w:rFonts w:ascii="Arial;sans-serif" w:hAnsi="Arial;sans-serif"/>
                  <w:b/>
                  <w:i w:val="false"/>
                  <w:caps w:val="false"/>
                  <w:smallCaps w:val="false"/>
                  <w:color w:val="0000EE"/>
                  <w:sz w:val="18"/>
                  <w:u w:val="single"/>
                </w:rPr>
                <w:t>SECTION 2. DEFINITIONS</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97">
              <w:r>
                <w:rPr>
                  <w:rStyle w:val="InternetLink"/>
                  <w:rFonts w:ascii="Arial;sans-serif" w:hAnsi="Arial;sans-serif"/>
                  <w:b/>
                  <w:i w:val="false"/>
                  <w:caps w:val="false"/>
                  <w:smallCaps w:val="false"/>
                  <w:color w:val="0000EE"/>
                  <w:sz w:val="18"/>
                  <w:u w:val="single"/>
                </w:rPr>
                <w:t>A-1</w:t>
              </w:r>
            </w:hyperlink>
          </w:p>
        </w:tc>
      </w:tr>
      <w:tr>
        <w:trPr/>
        <w:tc>
          <w:tcPr>
            <w:tcW w:w="6571" w:type="dxa"/>
            <w:tcBorders/>
            <w:shd w:fill="CCEEFF" w:val="clear"/>
            <w:vAlign w:val="center"/>
          </w:tcPr>
          <w:p>
            <w:pPr>
              <w:pStyle w:val="TableContents"/>
              <w:bidi w:val="0"/>
              <w:spacing w:lineRule="atLeast" w:line="180" w:before="0" w:after="0"/>
              <w:jc w:val="left"/>
              <w:rPr/>
            </w:pPr>
            <w:hyperlink w:anchor="i8e46ffef7ba64d5685b12ae81aaaa434_100">
              <w:r>
                <w:rPr>
                  <w:rStyle w:val="InternetLink"/>
                  <w:rFonts w:ascii="Arial;sans-serif" w:hAnsi="Arial;sans-serif"/>
                  <w:b/>
                  <w:i w:val="false"/>
                  <w:caps w:val="false"/>
                  <w:smallCaps w:val="false"/>
                  <w:color w:val="0000EE"/>
                  <w:sz w:val="18"/>
                  <w:u w:val="single"/>
                </w:rPr>
                <w:t>SECTION 3. ADMINISTRATION</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00">
              <w:r>
                <w:rPr>
                  <w:rStyle w:val="InternetLink"/>
                  <w:rFonts w:ascii="Arial;sans-serif" w:hAnsi="Arial;sans-serif"/>
                  <w:b/>
                  <w:i w:val="false"/>
                  <w:caps w:val="false"/>
                  <w:smallCaps w:val="false"/>
                  <w:color w:val="0000EE"/>
                  <w:sz w:val="18"/>
                  <w:u w:val="single"/>
                </w:rPr>
                <w:t>A-4</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103">
              <w:r>
                <w:rPr>
                  <w:rStyle w:val="InternetLink"/>
                  <w:rFonts w:ascii="Arial;sans-serif" w:hAnsi="Arial;sans-serif"/>
                  <w:b w:val="false"/>
                  <w:i w:val="false"/>
                  <w:caps w:val="false"/>
                  <w:smallCaps w:val="false"/>
                  <w:color w:val="000080"/>
                  <w:sz w:val="18"/>
                  <w:u w:val="single"/>
                </w:rPr>
                <w:t>Committee Composition</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03">
              <w:r>
                <w:rPr>
                  <w:rStyle w:val="InternetLink"/>
                  <w:rFonts w:ascii="Arial;sans-serif" w:hAnsi="Arial;sans-serif"/>
                  <w:b w:val="false"/>
                  <w:i w:val="false"/>
                  <w:caps w:val="false"/>
                  <w:smallCaps w:val="false"/>
                  <w:color w:val="0000EE"/>
                  <w:sz w:val="18"/>
                  <w:u w:val="single"/>
                </w:rPr>
                <w:t>A-4</w:t>
              </w:r>
            </w:hyperlink>
          </w:p>
        </w:tc>
      </w:tr>
      <w:tr>
        <w:trPr/>
        <w:tc>
          <w:tcPr>
            <w:tcW w:w="657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106">
              <w:r>
                <w:rPr>
                  <w:rStyle w:val="InternetLink"/>
                  <w:rFonts w:ascii="Arial;sans-serif" w:hAnsi="Arial;sans-serif"/>
                  <w:b w:val="false"/>
                  <w:i w:val="false"/>
                  <w:caps w:val="false"/>
                  <w:smallCaps w:val="false"/>
                  <w:color w:val="000080"/>
                  <w:sz w:val="18"/>
                  <w:u w:val="single"/>
                </w:rPr>
                <w:t>Committee Appointment</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06">
              <w:r>
                <w:rPr>
                  <w:rStyle w:val="InternetLink"/>
                  <w:rFonts w:ascii="Arial;sans-serif" w:hAnsi="Arial;sans-serif"/>
                  <w:b w:val="false"/>
                  <w:i w:val="false"/>
                  <w:caps w:val="false"/>
                  <w:smallCaps w:val="false"/>
                  <w:color w:val="0000EE"/>
                  <w:sz w:val="18"/>
                  <w:u w:val="single"/>
                </w:rPr>
                <w:t>A-5</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109">
              <w:r>
                <w:rPr>
                  <w:rStyle w:val="InternetLink"/>
                  <w:rFonts w:ascii="Arial;sans-serif" w:hAnsi="Arial;sans-serif"/>
                  <w:b w:val="false"/>
                  <w:i w:val="false"/>
                  <w:caps w:val="false"/>
                  <w:smallCaps w:val="false"/>
                  <w:color w:val="000080"/>
                  <w:sz w:val="18"/>
                  <w:u w:val="single"/>
                </w:rPr>
                <w:t>Committee Responsibilities</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09">
              <w:r>
                <w:rPr>
                  <w:rStyle w:val="InternetLink"/>
                  <w:rFonts w:ascii="Arial;sans-serif" w:hAnsi="Arial;sans-serif"/>
                  <w:b w:val="false"/>
                  <w:i w:val="false"/>
                  <w:caps w:val="false"/>
                  <w:smallCaps w:val="false"/>
                  <w:color w:val="0000EE"/>
                  <w:sz w:val="18"/>
                  <w:u w:val="single"/>
                </w:rPr>
                <w:t>A-5</w:t>
              </w:r>
            </w:hyperlink>
          </w:p>
        </w:tc>
      </w:tr>
      <w:tr>
        <w:trPr/>
        <w:tc>
          <w:tcPr>
            <w:tcW w:w="6571" w:type="dxa"/>
            <w:tcBorders/>
            <w:shd w:fill="CCEEFF" w:val="clear"/>
            <w:vAlign w:val="center"/>
          </w:tcPr>
          <w:p>
            <w:pPr>
              <w:pStyle w:val="TableContents"/>
              <w:bidi w:val="0"/>
              <w:spacing w:lineRule="atLeast" w:line="180" w:before="0" w:after="0"/>
              <w:jc w:val="left"/>
              <w:rPr/>
            </w:pPr>
            <w:hyperlink w:anchor="i8e46ffef7ba64d5685b12ae81aaaa434_112">
              <w:r>
                <w:rPr>
                  <w:rStyle w:val="InternetLink"/>
                  <w:rFonts w:ascii="Arial;sans-serif" w:hAnsi="Arial;sans-serif"/>
                  <w:b/>
                  <w:i w:val="false"/>
                  <w:caps w:val="false"/>
                  <w:smallCaps w:val="false"/>
                  <w:color w:val="0000EE"/>
                  <w:sz w:val="18"/>
                  <w:u w:val="single"/>
                </w:rPr>
                <w:t>SECTION 4. ELIGIBILITY</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12">
              <w:r>
                <w:rPr>
                  <w:rStyle w:val="InternetLink"/>
                  <w:rFonts w:ascii="Arial;sans-serif" w:hAnsi="Arial;sans-serif"/>
                  <w:b/>
                  <w:i w:val="false"/>
                  <w:caps w:val="false"/>
                  <w:smallCaps w:val="false"/>
                  <w:color w:val="0000EE"/>
                  <w:sz w:val="18"/>
                  <w:u w:val="single"/>
                </w:rPr>
                <w:t>A-6</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115">
              <w:r>
                <w:rPr>
                  <w:rStyle w:val="InternetLink"/>
                  <w:rFonts w:ascii="Arial;sans-serif" w:hAnsi="Arial;sans-serif"/>
                  <w:b w:val="false"/>
                  <w:i w:val="false"/>
                  <w:caps w:val="false"/>
                  <w:smallCaps w:val="false"/>
                  <w:color w:val="000080"/>
                  <w:sz w:val="18"/>
                  <w:u w:val="single"/>
                </w:rPr>
                <w:t>General Rule</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15">
              <w:r>
                <w:rPr>
                  <w:rStyle w:val="InternetLink"/>
                  <w:rFonts w:ascii="Arial;sans-serif" w:hAnsi="Arial;sans-serif"/>
                  <w:b w:val="false"/>
                  <w:i w:val="false"/>
                  <w:caps w:val="false"/>
                  <w:smallCaps w:val="false"/>
                  <w:color w:val="0000EE"/>
                  <w:sz w:val="18"/>
                  <w:u w:val="single"/>
                </w:rPr>
                <w:t>A-6</w:t>
              </w:r>
            </w:hyperlink>
          </w:p>
        </w:tc>
      </w:tr>
      <w:tr>
        <w:trPr/>
        <w:tc>
          <w:tcPr>
            <w:tcW w:w="657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118">
              <w:r>
                <w:rPr>
                  <w:rStyle w:val="InternetLink"/>
                  <w:rFonts w:ascii="Arial;sans-serif" w:hAnsi="Arial;sans-serif"/>
                  <w:b w:val="false"/>
                  <w:i w:val="false"/>
                  <w:caps w:val="false"/>
                  <w:smallCaps w:val="false"/>
                  <w:color w:val="000080"/>
                  <w:sz w:val="18"/>
                  <w:u w:val="single"/>
                </w:rPr>
                <w:t>Ten-Percent Stockholders</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18">
              <w:r>
                <w:rPr>
                  <w:rStyle w:val="InternetLink"/>
                  <w:rFonts w:ascii="Arial;sans-serif" w:hAnsi="Arial;sans-serif"/>
                  <w:b w:val="false"/>
                  <w:i w:val="false"/>
                  <w:caps w:val="false"/>
                  <w:smallCaps w:val="false"/>
                  <w:color w:val="0000EE"/>
                  <w:sz w:val="18"/>
                  <w:u w:val="single"/>
                </w:rPr>
                <w:t>A-6</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121">
              <w:r>
                <w:rPr>
                  <w:rStyle w:val="InternetLink"/>
                  <w:rFonts w:ascii="Arial;sans-serif" w:hAnsi="Arial;sans-serif"/>
                  <w:b w:val="false"/>
                  <w:i w:val="false"/>
                  <w:caps w:val="false"/>
                  <w:smallCaps w:val="false"/>
                  <w:color w:val="000080"/>
                  <w:sz w:val="18"/>
                  <w:u w:val="single"/>
                </w:rPr>
                <w:t>Attribution Rules</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21">
              <w:r>
                <w:rPr>
                  <w:rStyle w:val="InternetLink"/>
                  <w:rFonts w:ascii="Arial;sans-serif" w:hAnsi="Arial;sans-serif"/>
                  <w:b w:val="false"/>
                  <w:i w:val="false"/>
                  <w:caps w:val="false"/>
                  <w:smallCaps w:val="false"/>
                  <w:color w:val="0000EE"/>
                  <w:sz w:val="18"/>
                  <w:u w:val="single"/>
                </w:rPr>
                <w:t>A-6</w:t>
              </w:r>
            </w:hyperlink>
          </w:p>
        </w:tc>
      </w:tr>
      <w:tr>
        <w:trPr/>
        <w:tc>
          <w:tcPr>
            <w:tcW w:w="657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(d)</w:t>
            </w:r>
            <w:hyperlink w:anchor="i8e46ffef7ba64d5685b12ae81aaaa434_124">
              <w:r>
                <w:rPr>
                  <w:rStyle w:val="InternetLink"/>
                  <w:rFonts w:ascii="Arial;sans-serif" w:hAnsi="Arial;sans-serif"/>
                  <w:b w:val="false"/>
                  <w:i w:val="false"/>
                  <w:caps w:val="false"/>
                  <w:smallCaps w:val="false"/>
                  <w:color w:val="000080"/>
                  <w:sz w:val="18"/>
                  <w:u w:val="single"/>
                </w:rPr>
                <w:t>Outstanding Stock</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24">
              <w:r>
                <w:rPr>
                  <w:rStyle w:val="InternetLink"/>
                  <w:rFonts w:ascii="Arial;sans-serif" w:hAnsi="Arial;sans-serif"/>
                  <w:b w:val="false"/>
                  <w:i w:val="false"/>
                  <w:caps w:val="false"/>
                  <w:smallCaps w:val="false"/>
                  <w:color w:val="0000EE"/>
                  <w:sz w:val="18"/>
                  <w:u w:val="single"/>
                </w:rPr>
                <w:t>A-6</w:t>
              </w:r>
            </w:hyperlink>
          </w:p>
        </w:tc>
      </w:tr>
      <w:tr>
        <w:trPr/>
        <w:tc>
          <w:tcPr>
            <w:tcW w:w="6571" w:type="dxa"/>
            <w:tcBorders/>
            <w:shd w:fill="FFFFFF" w:val="clear"/>
            <w:vAlign w:val="center"/>
          </w:tcPr>
          <w:p>
            <w:pPr>
              <w:pStyle w:val="TableContents"/>
              <w:bidi w:val="0"/>
              <w:spacing w:lineRule="atLeast" w:line="180" w:before="0" w:after="0"/>
              <w:jc w:val="left"/>
              <w:rPr/>
            </w:pPr>
            <w:hyperlink w:anchor="i8e46ffef7ba64d5685b12ae81aaaa434_127">
              <w:r>
                <w:rPr>
                  <w:rStyle w:val="InternetLink"/>
                  <w:rFonts w:ascii="Arial;sans-serif" w:hAnsi="Arial;sans-serif"/>
                  <w:b/>
                  <w:i w:val="false"/>
                  <w:caps w:val="false"/>
                  <w:smallCaps w:val="false"/>
                  <w:color w:val="0000EE"/>
                  <w:sz w:val="18"/>
                  <w:u w:val="single"/>
                </w:rPr>
                <w:t>SECTION 5. STOCK SUBJECT TO PLAN; DIRECTOR COMPENSATION LIMIT</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27">
              <w:r>
                <w:rPr>
                  <w:rStyle w:val="InternetLink"/>
                  <w:rFonts w:ascii="Arial;sans-serif" w:hAnsi="Arial;sans-serif"/>
                  <w:b/>
                  <w:i w:val="false"/>
                  <w:caps w:val="false"/>
                  <w:smallCaps w:val="false"/>
                  <w:color w:val="0000EE"/>
                  <w:sz w:val="18"/>
                  <w:u w:val="single"/>
                </w:rPr>
                <w:t>A-6</w:t>
              </w:r>
            </w:hyperlink>
          </w:p>
        </w:tc>
      </w:tr>
      <w:tr>
        <w:trPr/>
        <w:tc>
          <w:tcPr>
            <w:tcW w:w="657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130">
              <w:r>
                <w:rPr>
                  <w:rStyle w:val="InternetLink"/>
                  <w:rFonts w:ascii="Arial;sans-serif" w:hAnsi="Arial;sans-serif"/>
                  <w:b w:val="false"/>
                  <w:i w:val="false"/>
                  <w:caps w:val="false"/>
                  <w:smallCaps w:val="false"/>
                  <w:color w:val="000080"/>
                  <w:sz w:val="18"/>
                  <w:u w:val="single"/>
                </w:rPr>
                <w:t>Basic Limitation</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30">
              <w:r>
                <w:rPr>
                  <w:rStyle w:val="InternetLink"/>
                  <w:rFonts w:ascii="Arial;sans-serif" w:hAnsi="Arial;sans-serif"/>
                  <w:b w:val="false"/>
                  <w:i w:val="false"/>
                  <w:caps w:val="false"/>
                  <w:smallCaps w:val="false"/>
                  <w:color w:val="0000EE"/>
                  <w:sz w:val="18"/>
                  <w:u w:val="single"/>
                </w:rPr>
                <w:t>A-6</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133">
              <w:r>
                <w:rPr>
                  <w:rStyle w:val="InternetLink"/>
                  <w:rFonts w:ascii="Arial;sans-serif" w:hAnsi="Arial;sans-serif"/>
                  <w:b w:val="false"/>
                  <w:i w:val="false"/>
                  <w:caps w:val="false"/>
                  <w:smallCaps w:val="false"/>
                  <w:color w:val="000080"/>
                  <w:sz w:val="18"/>
                  <w:u w:val="single"/>
                </w:rPr>
                <w:t>Additional Shares</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33">
              <w:r>
                <w:rPr>
                  <w:rStyle w:val="InternetLink"/>
                  <w:rFonts w:ascii="Arial;sans-serif" w:hAnsi="Arial;sans-serif"/>
                  <w:b w:val="false"/>
                  <w:i w:val="false"/>
                  <w:caps w:val="false"/>
                  <w:smallCaps w:val="false"/>
                  <w:color w:val="0000EE"/>
                  <w:sz w:val="18"/>
                  <w:u w:val="single"/>
                </w:rPr>
                <w:t>A-7</w:t>
              </w:r>
            </w:hyperlink>
          </w:p>
        </w:tc>
      </w:tr>
      <w:tr>
        <w:trPr/>
        <w:tc>
          <w:tcPr>
            <w:tcW w:w="657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136">
              <w:r>
                <w:rPr>
                  <w:rStyle w:val="InternetLink"/>
                  <w:rFonts w:ascii="Arial;sans-serif" w:hAnsi="Arial;sans-serif"/>
                  <w:b w:val="false"/>
                  <w:i w:val="false"/>
                  <w:caps w:val="false"/>
                  <w:smallCaps w:val="false"/>
                  <w:color w:val="000080"/>
                  <w:sz w:val="18"/>
                  <w:u w:val="single"/>
                </w:rPr>
                <w:t>Substitution and Assumption of Awards</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36">
              <w:r>
                <w:rPr>
                  <w:rStyle w:val="InternetLink"/>
                  <w:rFonts w:ascii="Arial;sans-serif" w:hAnsi="Arial;sans-serif"/>
                  <w:b w:val="false"/>
                  <w:i w:val="false"/>
                  <w:caps w:val="false"/>
                  <w:smallCaps w:val="false"/>
                  <w:color w:val="0000EE"/>
                  <w:sz w:val="18"/>
                  <w:u w:val="single"/>
                </w:rPr>
                <w:t>A-7</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(d)</w:t>
            </w:r>
            <w:hyperlink w:anchor="i8e46ffef7ba64d5685b12ae81aaaa434_139">
              <w:r>
                <w:rPr>
                  <w:rStyle w:val="InternetLink"/>
                  <w:rFonts w:ascii="Arial;sans-serif" w:hAnsi="Arial;sans-serif"/>
                  <w:b w:val="false"/>
                  <w:i w:val="false"/>
                  <w:caps w:val="false"/>
                  <w:smallCaps w:val="false"/>
                  <w:color w:val="000080"/>
                  <w:sz w:val="18"/>
                  <w:u w:val="single"/>
                </w:rPr>
                <w:t>Outside Director Compensation Limit</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39">
              <w:r>
                <w:rPr>
                  <w:rStyle w:val="InternetLink"/>
                  <w:rFonts w:ascii="Arial;sans-serif" w:hAnsi="Arial;sans-serif"/>
                  <w:b w:val="false"/>
                  <w:i w:val="false"/>
                  <w:caps w:val="false"/>
                  <w:smallCaps w:val="false"/>
                  <w:color w:val="0000EE"/>
                  <w:sz w:val="18"/>
                  <w:u w:val="single"/>
                </w:rPr>
                <w:t>A-7</w:t>
              </w:r>
            </w:hyperlink>
          </w:p>
        </w:tc>
      </w:tr>
      <w:tr>
        <w:trPr/>
        <w:tc>
          <w:tcPr>
            <w:tcW w:w="657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(e)</w:t>
            </w:r>
            <w:hyperlink w:anchor="i8e46ffef7ba64d5685b12ae81aaaa434_142">
              <w:r>
                <w:rPr>
                  <w:rStyle w:val="InternetLink"/>
                  <w:rFonts w:ascii="Arial;sans-serif" w:hAnsi="Arial;sans-serif"/>
                  <w:b w:val="false"/>
                  <w:i w:val="false"/>
                  <w:caps w:val="false"/>
                  <w:smallCaps w:val="false"/>
                  <w:color w:val="000080"/>
                  <w:sz w:val="18"/>
                  <w:u w:val="single"/>
                </w:rPr>
                <w:t>No Repricing</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42">
              <w:r>
                <w:rPr>
                  <w:rStyle w:val="InternetLink"/>
                  <w:rFonts w:ascii="Arial;sans-serif" w:hAnsi="Arial;sans-serif"/>
                  <w:b w:val="false"/>
                  <w:i w:val="false"/>
                  <w:caps w:val="false"/>
                  <w:smallCaps w:val="false"/>
                  <w:color w:val="0000EE"/>
                  <w:sz w:val="18"/>
                  <w:u w:val="single"/>
                </w:rPr>
                <w:t>A-7</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(f)</w:t>
            </w:r>
            <w:hyperlink w:anchor="i8e46ffef7ba64d5685b12ae81aaaa434_145">
              <w:r>
                <w:rPr>
                  <w:rStyle w:val="InternetLink"/>
                  <w:rFonts w:ascii="Arial;sans-serif" w:hAnsi="Arial;sans-serif"/>
                  <w:b w:val="false"/>
                  <w:i w:val="false"/>
                  <w:caps w:val="false"/>
                  <w:smallCaps w:val="false"/>
                  <w:color w:val="000080"/>
                  <w:sz w:val="18"/>
                  <w:u w:val="single"/>
                </w:rPr>
                <w:t>Prohibition on Dividends on Unvested Awards</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45">
              <w:r>
                <w:rPr>
                  <w:rStyle w:val="InternetLink"/>
                  <w:rFonts w:ascii="Arial;sans-serif" w:hAnsi="Arial;sans-serif"/>
                  <w:b w:val="false"/>
                  <w:i w:val="false"/>
                  <w:caps w:val="false"/>
                  <w:smallCaps w:val="false"/>
                  <w:color w:val="0000EE"/>
                  <w:sz w:val="18"/>
                  <w:u w:val="single"/>
                </w:rPr>
                <w:t>A-7</w:t>
              </w:r>
            </w:hyperlink>
          </w:p>
        </w:tc>
      </w:tr>
      <w:tr>
        <w:trPr/>
        <w:tc>
          <w:tcPr>
            <w:tcW w:w="6571" w:type="dxa"/>
            <w:tcBorders/>
            <w:shd w:fill="CCEEFF" w:val="clear"/>
            <w:vAlign w:val="center"/>
          </w:tcPr>
          <w:p>
            <w:pPr>
              <w:pStyle w:val="TableContents"/>
              <w:bidi w:val="0"/>
              <w:spacing w:lineRule="atLeast" w:line="180" w:before="0" w:after="0"/>
              <w:jc w:val="left"/>
              <w:rPr/>
            </w:pPr>
            <w:hyperlink w:anchor="i8e46ffef7ba64d5685b12ae81aaaa434_148">
              <w:r>
                <w:rPr>
                  <w:rStyle w:val="InternetLink"/>
                  <w:rFonts w:ascii="Arial;sans-serif" w:hAnsi="Arial;sans-serif"/>
                  <w:b/>
                  <w:i w:val="false"/>
                  <w:caps w:val="false"/>
                  <w:smallCaps w:val="false"/>
                  <w:color w:val="0000EE"/>
                  <w:sz w:val="18"/>
                  <w:u w:val="single"/>
                </w:rPr>
                <w:t>SECTION 6. RESTRICTED SHARES</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48">
              <w:r>
                <w:rPr>
                  <w:rStyle w:val="InternetLink"/>
                  <w:rFonts w:ascii="Arial;sans-serif" w:hAnsi="Arial;sans-serif"/>
                  <w:b/>
                  <w:i w:val="false"/>
                  <w:caps w:val="false"/>
                  <w:smallCaps w:val="false"/>
                  <w:color w:val="0000EE"/>
                  <w:sz w:val="18"/>
                  <w:u w:val="single"/>
                </w:rPr>
                <w:t>A-7</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151">
              <w:r>
                <w:rPr>
                  <w:rStyle w:val="InternetLink"/>
                  <w:rFonts w:ascii="Arial;sans-serif" w:hAnsi="Arial;sans-serif"/>
                  <w:b w:val="false"/>
                  <w:i w:val="false"/>
                  <w:caps w:val="false"/>
                  <w:smallCaps w:val="false"/>
                  <w:color w:val="000080"/>
                  <w:sz w:val="18"/>
                  <w:u w:val="single"/>
                </w:rPr>
                <w:t>Restricted Share Award Agreement</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51">
              <w:r>
                <w:rPr>
                  <w:rStyle w:val="InternetLink"/>
                  <w:rFonts w:ascii="Arial;sans-serif" w:hAnsi="Arial;sans-serif"/>
                  <w:b w:val="false"/>
                  <w:i w:val="false"/>
                  <w:caps w:val="false"/>
                  <w:smallCaps w:val="false"/>
                  <w:color w:val="0000EE"/>
                  <w:sz w:val="18"/>
                  <w:u w:val="single"/>
                </w:rPr>
                <w:t>A-7</w:t>
              </w:r>
            </w:hyperlink>
          </w:p>
        </w:tc>
      </w:tr>
      <w:tr>
        <w:trPr/>
        <w:tc>
          <w:tcPr>
            <w:tcW w:w="657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154">
              <w:r>
                <w:rPr>
                  <w:rStyle w:val="InternetLink"/>
                  <w:rFonts w:ascii="Arial;sans-serif" w:hAnsi="Arial;sans-serif"/>
                  <w:b w:val="false"/>
                  <w:i w:val="false"/>
                  <w:caps w:val="false"/>
                  <w:smallCaps w:val="false"/>
                  <w:color w:val="000080"/>
                  <w:sz w:val="18"/>
                  <w:u w:val="single"/>
                </w:rPr>
                <w:t>Payment for Awards</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54">
              <w:r>
                <w:rPr>
                  <w:rStyle w:val="InternetLink"/>
                  <w:rFonts w:ascii="Arial;sans-serif" w:hAnsi="Arial;sans-serif"/>
                  <w:b w:val="false"/>
                  <w:i w:val="false"/>
                  <w:caps w:val="false"/>
                  <w:smallCaps w:val="false"/>
                  <w:color w:val="0000EE"/>
                  <w:sz w:val="18"/>
                  <w:u w:val="single"/>
                </w:rPr>
                <w:t>A-7</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157">
              <w:r>
                <w:rPr>
                  <w:rStyle w:val="InternetLink"/>
                  <w:rFonts w:ascii="Arial;sans-serif" w:hAnsi="Arial;sans-serif"/>
                  <w:b w:val="false"/>
                  <w:i w:val="false"/>
                  <w:caps w:val="false"/>
                  <w:smallCaps w:val="false"/>
                  <w:color w:val="000080"/>
                  <w:sz w:val="18"/>
                  <w:u w:val="single"/>
                </w:rPr>
                <w:t>Vesting</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57">
              <w:r>
                <w:rPr>
                  <w:rStyle w:val="InternetLink"/>
                  <w:rFonts w:ascii="Arial;sans-serif" w:hAnsi="Arial;sans-serif"/>
                  <w:b w:val="false"/>
                  <w:i w:val="false"/>
                  <w:caps w:val="false"/>
                  <w:smallCaps w:val="false"/>
                  <w:color w:val="0000EE"/>
                  <w:sz w:val="18"/>
                  <w:u w:val="single"/>
                </w:rPr>
                <w:t>A-8</w:t>
              </w:r>
            </w:hyperlink>
          </w:p>
        </w:tc>
      </w:tr>
      <w:tr>
        <w:trPr/>
        <w:tc>
          <w:tcPr>
            <w:tcW w:w="657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(d)</w:t>
            </w:r>
            <w:hyperlink w:anchor="i8e46ffef7ba64d5685b12ae81aaaa434_160">
              <w:r>
                <w:rPr>
                  <w:rStyle w:val="InternetLink"/>
                  <w:rFonts w:ascii="Arial;sans-serif" w:hAnsi="Arial;sans-serif"/>
                  <w:b w:val="false"/>
                  <w:i w:val="false"/>
                  <w:caps w:val="false"/>
                  <w:smallCaps w:val="false"/>
                  <w:color w:val="000080"/>
                  <w:sz w:val="18"/>
                  <w:u w:val="single"/>
                </w:rPr>
                <w:t>Voting and Dividend Rights</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60">
              <w:r>
                <w:rPr>
                  <w:rStyle w:val="InternetLink"/>
                  <w:rFonts w:ascii="Arial;sans-serif" w:hAnsi="Arial;sans-serif"/>
                  <w:b w:val="false"/>
                  <w:i w:val="false"/>
                  <w:caps w:val="false"/>
                  <w:smallCaps w:val="false"/>
                  <w:color w:val="0000EE"/>
                  <w:sz w:val="18"/>
                  <w:u w:val="single"/>
                </w:rPr>
                <w:t>A-8</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(e)</w:t>
            </w:r>
            <w:hyperlink w:anchor="i8e46ffef7ba64d5685b12ae81aaaa434_163">
              <w:r>
                <w:rPr>
                  <w:rStyle w:val="InternetLink"/>
                  <w:rFonts w:ascii="Arial;sans-serif" w:hAnsi="Arial;sans-serif"/>
                  <w:b w:val="false"/>
                  <w:i w:val="false"/>
                  <w:caps w:val="false"/>
                  <w:smallCaps w:val="false"/>
                  <w:color w:val="000080"/>
                  <w:sz w:val="18"/>
                  <w:u w:val="single"/>
                </w:rPr>
                <w:t>Restrictions on Transfer of Shares</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63">
              <w:r>
                <w:rPr>
                  <w:rStyle w:val="InternetLink"/>
                  <w:rFonts w:ascii="Arial;sans-serif" w:hAnsi="Arial;sans-serif"/>
                  <w:b w:val="false"/>
                  <w:i w:val="false"/>
                  <w:caps w:val="false"/>
                  <w:smallCaps w:val="false"/>
                  <w:color w:val="0000EE"/>
                  <w:sz w:val="18"/>
                  <w:u w:val="single"/>
                </w:rPr>
                <w:t>A-8</w:t>
              </w:r>
            </w:hyperlink>
          </w:p>
        </w:tc>
      </w:tr>
      <w:tr>
        <w:trPr/>
        <w:tc>
          <w:tcPr>
            <w:tcW w:w="6571" w:type="dxa"/>
            <w:tcBorders/>
            <w:shd w:fill="CCEEFF" w:val="clear"/>
            <w:vAlign w:val="center"/>
          </w:tcPr>
          <w:p>
            <w:pPr>
              <w:pStyle w:val="TableContents"/>
              <w:bidi w:val="0"/>
              <w:spacing w:lineRule="atLeast" w:line="180" w:before="0" w:after="0"/>
              <w:jc w:val="left"/>
              <w:rPr/>
            </w:pPr>
            <w:hyperlink w:anchor="i8e46ffef7ba64d5685b12ae81aaaa434_166">
              <w:r>
                <w:rPr>
                  <w:rStyle w:val="InternetLink"/>
                  <w:rFonts w:ascii="Arial;sans-serif" w:hAnsi="Arial;sans-serif"/>
                  <w:b/>
                  <w:i w:val="false"/>
                  <w:caps w:val="false"/>
                  <w:smallCaps w:val="false"/>
                  <w:color w:val="0000EE"/>
                  <w:sz w:val="18"/>
                  <w:u w:val="single"/>
                </w:rPr>
                <w:t>SECTION 7. TERMS AND CONDITIONS OF OPTIONS</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66">
              <w:r>
                <w:rPr>
                  <w:rStyle w:val="InternetLink"/>
                  <w:rFonts w:ascii="Arial;sans-serif" w:hAnsi="Arial;sans-serif"/>
                  <w:b/>
                  <w:i w:val="false"/>
                  <w:caps w:val="false"/>
                  <w:smallCaps w:val="false"/>
                  <w:color w:val="0000EE"/>
                  <w:sz w:val="18"/>
                  <w:u w:val="single"/>
                </w:rPr>
                <w:t>A-8</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169">
              <w:r>
                <w:rPr>
                  <w:rStyle w:val="InternetLink"/>
                  <w:rFonts w:ascii="Arial;sans-serif" w:hAnsi="Arial;sans-serif"/>
                  <w:b w:val="false"/>
                  <w:i w:val="false"/>
                  <w:caps w:val="false"/>
                  <w:smallCaps w:val="false"/>
                  <w:color w:val="000080"/>
                  <w:sz w:val="18"/>
                  <w:u w:val="single"/>
                </w:rPr>
                <w:t>Option Award Agreement</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69">
              <w:r>
                <w:rPr>
                  <w:rStyle w:val="InternetLink"/>
                  <w:rFonts w:ascii="Arial;sans-serif" w:hAnsi="Arial;sans-serif"/>
                  <w:b w:val="false"/>
                  <w:i w:val="false"/>
                  <w:caps w:val="false"/>
                  <w:smallCaps w:val="false"/>
                  <w:color w:val="0000EE"/>
                  <w:sz w:val="18"/>
                  <w:u w:val="single"/>
                </w:rPr>
                <w:t>A-8</w:t>
              </w:r>
            </w:hyperlink>
          </w:p>
        </w:tc>
      </w:tr>
      <w:tr>
        <w:trPr/>
        <w:tc>
          <w:tcPr>
            <w:tcW w:w="657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238">
              <w:r>
                <w:rPr>
                  <w:rStyle w:val="InternetLink"/>
                  <w:rFonts w:ascii="Arial;sans-serif" w:hAnsi="Arial;sans-serif"/>
                  <w:b w:val="false"/>
                  <w:i w:val="false"/>
                  <w:caps w:val="false"/>
                  <w:smallCaps w:val="false"/>
                  <w:color w:val="000080"/>
                  <w:sz w:val="18"/>
                  <w:u w:val="single"/>
                </w:rPr>
                <w:t>Number of Shares</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75">
              <w:r>
                <w:rPr>
                  <w:rStyle w:val="InternetLink"/>
                  <w:rFonts w:ascii="Arial;sans-serif" w:hAnsi="Arial;sans-serif"/>
                  <w:b w:val="false"/>
                  <w:i w:val="false"/>
                  <w:caps w:val="false"/>
                  <w:smallCaps w:val="false"/>
                  <w:color w:val="0000EE"/>
                  <w:sz w:val="18"/>
                  <w:u w:val="single"/>
                </w:rPr>
                <w:t>A-8</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175">
              <w:r>
                <w:rPr>
                  <w:rStyle w:val="InternetLink"/>
                  <w:rFonts w:ascii="Arial;sans-serif" w:hAnsi="Arial;sans-serif"/>
                  <w:b w:val="false"/>
                  <w:i w:val="false"/>
                  <w:caps w:val="false"/>
                  <w:smallCaps w:val="false"/>
                  <w:color w:val="000080"/>
                  <w:sz w:val="18"/>
                  <w:u w:val="single"/>
                </w:rPr>
                <w:t>Exercise Price</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75">
              <w:r>
                <w:rPr>
                  <w:rStyle w:val="InternetLink"/>
                  <w:rFonts w:ascii="Arial;sans-serif" w:hAnsi="Arial;sans-serif"/>
                  <w:b w:val="false"/>
                  <w:i w:val="false"/>
                  <w:caps w:val="false"/>
                  <w:smallCaps w:val="false"/>
                  <w:color w:val="0000EE"/>
                  <w:sz w:val="18"/>
                  <w:u w:val="single"/>
                </w:rPr>
                <w:t>A-8</w:t>
              </w:r>
            </w:hyperlink>
          </w:p>
        </w:tc>
      </w:tr>
      <w:tr>
        <w:trPr/>
        <w:tc>
          <w:tcPr>
            <w:tcW w:w="657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(d)</w:t>
            </w:r>
            <w:hyperlink w:anchor="i8e46ffef7ba64d5685b12ae81aaaa434_178">
              <w:r>
                <w:rPr>
                  <w:rStyle w:val="InternetLink"/>
                  <w:rFonts w:ascii="Arial;sans-serif" w:hAnsi="Arial;sans-serif"/>
                  <w:b w:val="false"/>
                  <w:i w:val="false"/>
                  <w:caps w:val="false"/>
                  <w:smallCaps w:val="false"/>
                  <w:color w:val="000080"/>
                  <w:sz w:val="18"/>
                  <w:u w:val="single"/>
                </w:rPr>
                <w:t>Withholding Taxes</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78">
              <w:r>
                <w:rPr>
                  <w:rStyle w:val="InternetLink"/>
                  <w:rFonts w:ascii="Arial;sans-serif" w:hAnsi="Arial;sans-serif"/>
                  <w:b w:val="false"/>
                  <w:i w:val="false"/>
                  <w:caps w:val="false"/>
                  <w:smallCaps w:val="false"/>
                  <w:color w:val="0000EE"/>
                  <w:sz w:val="18"/>
                  <w:u w:val="single"/>
                </w:rPr>
                <w:t>A-8</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(e)</w:t>
            </w:r>
            <w:hyperlink w:anchor="i8e46ffef7ba64d5685b12ae81aaaa434_181">
              <w:r>
                <w:rPr>
                  <w:rStyle w:val="InternetLink"/>
                  <w:rFonts w:ascii="Arial;sans-serif" w:hAnsi="Arial;sans-serif"/>
                  <w:b w:val="false"/>
                  <w:i w:val="false"/>
                  <w:caps w:val="false"/>
                  <w:smallCaps w:val="false"/>
                  <w:color w:val="000080"/>
                  <w:sz w:val="18"/>
                  <w:u w:val="single"/>
                </w:rPr>
                <w:t>Exercisability and Term</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81">
              <w:r>
                <w:rPr>
                  <w:rStyle w:val="InternetLink"/>
                  <w:rFonts w:ascii="Arial;sans-serif" w:hAnsi="Arial;sans-serif"/>
                  <w:b w:val="false"/>
                  <w:i w:val="false"/>
                  <w:caps w:val="false"/>
                  <w:smallCaps w:val="false"/>
                  <w:color w:val="0000EE"/>
                  <w:sz w:val="18"/>
                  <w:u w:val="single"/>
                </w:rPr>
                <w:t>A-8</w:t>
              </w:r>
            </w:hyperlink>
          </w:p>
        </w:tc>
      </w:tr>
      <w:tr>
        <w:trPr/>
        <w:tc>
          <w:tcPr>
            <w:tcW w:w="657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(f)</w:t>
            </w:r>
            <w:hyperlink w:anchor="i8e46ffef7ba64d5685b12ae81aaaa434_184">
              <w:r>
                <w:rPr>
                  <w:rStyle w:val="InternetLink"/>
                  <w:rFonts w:ascii="Arial;sans-serif" w:hAnsi="Arial;sans-serif"/>
                  <w:b w:val="false"/>
                  <w:i w:val="false"/>
                  <w:caps w:val="false"/>
                  <w:smallCaps w:val="false"/>
                  <w:color w:val="000080"/>
                  <w:sz w:val="18"/>
                  <w:u w:val="single"/>
                </w:rPr>
                <w:t>Exercise of Options</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84">
              <w:r>
                <w:rPr>
                  <w:rStyle w:val="InternetLink"/>
                  <w:rFonts w:ascii="Arial;sans-serif" w:hAnsi="Arial;sans-serif"/>
                  <w:b w:val="false"/>
                  <w:i w:val="false"/>
                  <w:caps w:val="false"/>
                  <w:smallCaps w:val="false"/>
                  <w:color w:val="0000EE"/>
                  <w:sz w:val="18"/>
                  <w:u w:val="single"/>
                </w:rPr>
                <w:t>A-9</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(g)</w:t>
            </w:r>
            <w:hyperlink w:anchor="i8e46ffef7ba64d5685b12ae81aaaa434_187">
              <w:r>
                <w:rPr>
                  <w:rStyle w:val="InternetLink"/>
                  <w:rFonts w:ascii="Arial;sans-serif" w:hAnsi="Arial;sans-serif"/>
                  <w:b w:val="false"/>
                  <w:i w:val="false"/>
                  <w:caps w:val="false"/>
                  <w:smallCaps w:val="false"/>
                  <w:color w:val="000080"/>
                  <w:sz w:val="18"/>
                  <w:u w:val="single"/>
                </w:rPr>
                <w:t>No Rights as a Stockholder</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87">
              <w:r>
                <w:rPr>
                  <w:rStyle w:val="InternetLink"/>
                  <w:rFonts w:ascii="Arial;sans-serif" w:hAnsi="Arial;sans-serif"/>
                  <w:b w:val="false"/>
                  <w:i w:val="false"/>
                  <w:caps w:val="false"/>
                  <w:smallCaps w:val="false"/>
                  <w:color w:val="0000EE"/>
                  <w:sz w:val="18"/>
                  <w:u w:val="single"/>
                </w:rPr>
                <w:t>A-9</w:t>
              </w:r>
            </w:hyperlink>
          </w:p>
        </w:tc>
      </w:tr>
      <w:tr>
        <w:trPr/>
        <w:tc>
          <w:tcPr>
            <w:tcW w:w="657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(h)</w:t>
            </w:r>
            <w:hyperlink w:anchor="i8e46ffef7ba64d5685b12ae81aaaa434_190">
              <w:r>
                <w:rPr>
                  <w:rStyle w:val="InternetLink"/>
                  <w:rFonts w:ascii="Arial;sans-serif" w:hAnsi="Arial;sans-serif"/>
                  <w:b w:val="false"/>
                  <w:i w:val="false"/>
                  <w:caps w:val="false"/>
                  <w:smallCaps w:val="false"/>
                  <w:color w:val="000080"/>
                  <w:sz w:val="18"/>
                  <w:u w:val="single"/>
                </w:rPr>
                <w:t>Modification, Extension and Renewal of Options</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90">
              <w:r>
                <w:rPr>
                  <w:rStyle w:val="InternetLink"/>
                  <w:rFonts w:ascii="Arial;sans-serif" w:hAnsi="Arial;sans-serif"/>
                  <w:b w:val="false"/>
                  <w:i w:val="false"/>
                  <w:caps w:val="false"/>
                  <w:smallCaps w:val="false"/>
                  <w:color w:val="0000EE"/>
                  <w:sz w:val="18"/>
                  <w:u w:val="single"/>
                </w:rPr>
                <w:t>A-9</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(i)</w:t>
            </w:r>
            <w:hyperlink w:anchor="i8e46ffef7ba64d5685b12ae81aaaa434_193">
              <w:r>
                <w:rPr>
                  <w:rStyle w:val="InternetLink"/>
                  <w:rFonts w:ascii="Arial;sans-serif" w:hAnsi="Arial;sans-serif"/>
                  <w:b w:val="false"/>
                  <w:i w:val="false"/>
                  <w:caps w:val="false"/>
                  <w:smallCaps w:val="false"/>
                  <w:color w:val="000080"/>
                  <w:sz w:val="18"/>
                  <w:u w:val="single"/>
                </w:rPr>
                <w:t>Restrictions on Transfer of Shares</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93">
              <w:r>
                <w:rPr>
                  <w:rStyle w:val="InternetLink"/>
                  <w:rFonts w:ascii="Arial;sans-serif" w:hAnsi="Arial;sans-serif"/>
                  <w:b w:val="false"/>
                  <w:i w:val="false"/>
                  <w:caps w:val="false"/>
                  <w:smallCaps w:val="false"/>
                  <w:color w:val="0000EE"/>
                  <w:sz w:val="18"/>
                  <w:u w:val="single"/>
                </w:rPr>
                <w:t>A-9</w:t>
              </w:r>
            </w:hyperlink>
          </w:p>
        </w:tc>
      </w:tr>
      <w:tr>
        <w:trPr/>
        <w:tc>
          <w:tcPr>
            <w:tcW w:w="657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(j)</w:t>
            </w:r>
            <w:hyperlink w:anchor="i8e46ffef7ba64d5685b12ae81aaaa434_196">
              <w:r>
                <w:rPr>
                  <w:rStyle w:val="InternetLink"/>
                  <w:rFonts w:ascii="Arial;sans-serif" w:hAnsi="Arial;sans-serif"/>
                  <w:b w:val="false"/>
                  <w:i w:val="false"/>
                  <w:caps w:val="false"/>
                  <w:smallCaps w:val="false"/>
                  <w:color w:val="000080"/>
                  <w:sz w:val="18"/>
                  <w:u w:val="single"/>
                </w:rPr>
                <w:t>Buyout Provisions</w:t>
              </w:r>
            </w:hyperlink>
          </w:p>
        </w:tc>
        <w:tc>
          <w:tcPr>
            <w:tcW w:w="511" w:type="dxa"/>
            <w:tcBorders/>
            <w:shd w:fill="CCEEFF" w:val="clear"/>
            <w:vAlign w:val="center"/>
          </w:tcPr>
          <w:p>
            <w:pPr>
              <w:pStyle w:val="TableContents"/>
              <w:bidi w:val="0"/>
              <w:spacing w:lineRule="atLeast" w:line="180" w:before="0" w:after="0"/>
              <w:jc w:val="left"/>
              <w:rPr/>
            </w:pPr>
            <w:hyperlink w:anchor="i8e46ffef7ba64d5685b12ae81aaaa434_196">
              <w:r>
                <w:rPr>
                  <w:rStyle w:val="InternetLink"/>
                  <w:rFonts w:ascii="Arial;sans-serif" w:hAnsi="Arial;sans-serif"/>
                  <w:b w:val="false"/>
                  <w:i w:val="false"/>
                  <w:caps w:val="false"/>
                  <w:smallCaps w:val="false"/>
                  <w:color w:val="0000EE"/>
                  <w:sz w:val="18"/>
                  <w:u w:val="single"/>
                </w:rPr>
                <w:t>A-9</w:t>
              </w:r>
            </w:hyperlink>
          </w:p>
        </w:tc>
      </w:tr>
      <w:tr>
        <w:trPr/>
        <w:tc>
          <w:tcPr>
            <w:tcW w:w="657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(k)</w:t>
            </w:r>
            <w:hyperlink w:anchor="i8e46ffef7ba64d5685b12ae81aaaa434_199">
              <w:r>
                <w:rPr>
                  <w:rStyle w:val="InternetLink"/>
                  <w:rFonts w:ascii="Arial;sans-serif" w:hAnsi="Arial;sans-serif"/>
                  <w:b w:val="false"/>
                  <w:i w:val="false"/>
                  <w:caps w:val="false"/>
                  <w:smallCaps w:val="false"/>
                  <w:color w:val="000080"/>
                  <w:sz w:val="18"/>
                  <w:u w:val="single"/>
                </w:rPr>
                <w:t>No Dividend Equivalents on Options</w:t>
              </w:r>
            </w:hyperlink>
          </w:p>
        </w:tc>
        <w:tc>
          <w:tcPr>
            <w:tcW w:w="511" w:type="dxa"/>
            <w:tcBorders/>
            <w:shd w:fill="FFFFFF" w:val="clear"/>
            <w:vAlign w:val="center"/>
          </w:tcPr>
          <w:p>
            <w:pPr>
              <w:pStyle w:val="TableContents"/>
              <w:bidi w:val="0"/>
              <w:spacing w:lineRule="atLeast" w:line="180" w:before="0" w:after="0"/>
              <w:jc w:val="left"/>
              <w:rPr/>
            </w:pPr>
            <w:hyperlink w:anchor="i8e46ffef7ba64d5685b12ae81aaaa434_199">
              <w:r>
                <w:rPr>
                  <w:rStyle w:val="InternetLink"/>
                  <w:rFonts w:ascii="Arial;sans-serif" w:hAnsi="Arial;sans-serif"/>
                  <w:b w:val="false"/>
                  <w:i w:val="false"/>
                  <w:caps w:val="false"/>
                  <w:smallCaps w:val="false"/>
                  <w:color w:val="0000EE"/>
                  <w:sz w:val="18"/>
                  <w:u w:val="single"/>
                </w:rPr>
                <w:t>A-9</w:t>
              </w:r>
            </w:hyperlink>
          </w:p>
        </w:tc>
      </w:tr>
    </w:tbl>
    <w:tbl>
      <w:tblPr>
        <w:tblW w:w="1986" w:type="dxa"/>
        <w:jc w:val="left"/>
        <w:tblInd w:w="0" w:type="dxa"/>
        <w:tblLayout w:type="fixed"/>
        <w:tblCellMar>
          <w:top w:w="28" w:type="dxa"/>
          <w:left w:w="28" w:type="dxa"/>
          <w:bottom w:w="28" w:type="dxa"/>
          <w:right w:w="28" w:type="dxa"/>
        </w:tblCellMar>
      </w:tblPr>
      <w:tblGrid>
        <w:gridCol w:w="346"/>
        <w:gridCol w:w="109"/>
        <w:gridCol w:w="1531"/>
      </w:tblGrid>
      <w:tr>
        <w:trPr/>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A-ii</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2026 Proxy Statement</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tbl>
      <w:tblPr>
        <w:tblW w:w="5267" w:type="dxa"/>
        <w:jc w:val="left"/>
        <w:tblInd w:w="0" w:type="dxa"/>
        <w:tblLayout w:type="fixed"/>
        <w:tblCellMar>
          <w:top w:w="28" w:type="dxa"/>
          <w:left w:w="28" w:type="dxa"/>
          <w:bottom w:w="28" w:type="dxa"/>
          <w:right w:w="28" w:type="dxa"/>
        </w:tblCellMar>
      </w:tblPr>
      <w:tblGrid>
        <w:gridCol w:w="4711"/>
        <w:gridCol w:w="556"/>
      </w:tblGrid>
      <w:tr>
        <w:trPr/>
        <w:tc>
          <w:tcPr>
            <w:tcW w:w="47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47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4"/>
                <w:u w:val="none"/>
                <w:effect w:val="none"/>
              </w:rPr>
            </w:pPr>
            <w:r>
              <w:rPr>
                <w:rFonts w:ascii="Arial;sans-serif" w:hAnsi="Arial;sans-serif"/>
                <w:b/>
                <w:i w:val="false"/>
                <w:caps w:val="false"/>
                <w:smallCaps w:val="false"/>
                <w:strike w:val="false"/>
                <w:dstrike w:val="false"/>
                <w:color w:val="000000"/>
                <w:sz w:val="14"/>
                <w:u w:val="none"/>
                <w:effect w:val="none"/>
              </w:rPr>
              <w:t xml:space="preserve">Page </w:t>
            </w:r>
          </w:p>
        </w:tc>
      </w:tr>
      <w:tr>
        <w:trPr/>
        <w:tc>
          <w:tcPr>
            <w:tcW w:w="4711" w:type="dxa"/>
            <w:tcBorders/>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tcBorders/>
            <w:shd w:fill="CCEEFF" w:val="clear"/>
            <w:vAlign w:val="center"/>
          </w:tcPr>
          <w:p>
            <w:pPr>
              <w:pStyle w:val="TableContents"/>
              <w:bidi w:val="0"/>
              <w:spacing w:lineRule="atLeast" w:line="180" w:before="0" w:after="0"/>
              <w:jc w:val="left"/>
              <w:rPr/>
            </w:pPr>
            <w:hyperlink w:anchor="i8e46ffef7ba64d5685b12ae81aaaa434_202">
              <w:r>
                <w:rPr>
                  <w:rStyle w:val="InternetLink"/>
                  <w:rFonts w:ascii="Arial;sans-serif" w:hAnsi="Arial;sans-serif"/>
                  <w:b/>
                  <w:i w:val="false"/>
                  <w:caps w:val="false"/>
                  <w:smallCaps w:val="false"/>
                  <w:color w:val="0000EE"/>
                  <w:sz w:val="18"/>
                  <w:u w:val="single"/>
                </w:rPr>
                <w:t>SECTION 8. PAYMENT FOR SHARES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02">
              <w:r>
                <w:rPr>
                  <w:rStyle w:val="InternetLink"/>
                  <w:rFonts w:ascii="Arial;sans-serif" w:hAnsi="Arial;sans-serif"/>
                  <w:b/>
                  <w:i w:val="false"/>
                  <w:caps w:val="false"/>
                  <w:smallCaps w:val="false"/>
                  <w:color w:val="0000FF"/>
                  <w:sz w:val="18"/>
                  <w:u w:val="single"/>
                </w:rPr>
                <w:t>A-9</w:t>
              </w:r>
            </w:hyperlink>
          </w:p>
        </w:tc>
      </w:tr>
      <w:tr>
        <w:trPr/>
        <w:tc>
          <w:tcPr>
            <w:tcW w:w="47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205">
              <w:r>
                <w:rPr>
                  <w:rStyle w:val="InternetLink"/>
                  <w:rFonts w:ascii="Arial;sans-serif" w:hAnsi="Arial;sans-serif"/>
                  <w:b w:val="false"/>
                  <w:i w:val="false"/>
                  <w:caps w:val="false"/>
                  <w:smallCaps w:val="false"/>
                  <w:color w:val="000080"/>
                  <w:sz w:val="18"/>
                  <w:u w:val="single"/>
                </w:rPr>
                <w:t>General Rule</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05">
              <w:r>
                <w:rPr>
                  <w:rStyle w:val="InternetLink"/>
                  <w:rFonts w:ascii="Arial;sans-serif" w:hAnsi="Arial;sans-serif"/>
                  <w:b w:val="false"/>
                  <w:i w:val="false"/>
                  <w:caps w:val="false"/>
                  <w:smallCaps w:val="false"/>
                  <w:color w:val="0000FF"/>
                  <w:sz w:val="18"/>
                  <w:u w:val="single"/>
                </w:rPr>
                <w:t>A-9</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208">
              <w:r>
                <w:rPr>
                  <w:rStyle w:val="InternetLink"/>
                  <w:rFonts w:ascii="Arial;sans-serif" w:hAnsi="Arial;sans-serif"/>
                  <w:b w:val="false"/>
                  <w:i w:val="false"/>
                  <w:caps w:val="false"/>
                  <w:smallCaps w:val="false"/>
                  <w:color w:val="000080"/>
                  <w:sz w:val="18"/>
                  <w:u w:val="single"/>
                </w:rPr>
                <w:t>Surrender of Stock</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08">
              <w:r>
                <w:rPr>
                  <w:rStyle w:val="InternetLink"/>
                  <w:rFonts w:ascii="Arial;sans-serif" w:hAnsi="Arial;sans-serif"/>
                  <w:b w:val="false"/>
                  <w:i w:val="false"/>
                  <w:caps w:val="false"/>
                  <w:smallCaps w:val="false"/>
                  <w:color w:val="0000FF"/>
                  <w:sz w:val="18"/>
                  <w:u w:val="single"/>
                </w:rPr>
                <w:t>A-9</w:t>
              </w:r>
            </w:hyperlink>
          </w:p>
        </w:tc>
      </w:tr>
      <w:tr>
        <w:trPr/>
        <w:tc>
          <w:tcPr>
            <w:tcW w:w="47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211">
              <w:r>
                <w:rPr>
                  <w:rStyle w:val="InternetLink"/>
                  <w:rFonts w:ascii="Arial;sans-serif" w:hAnsi="Arial;sans-serif"/>
                  <w:b w:val="false"/>
                  <w:i w:val="false"/>
                  <w:caps w:val="false"/>
                  <w:smallCaps w:val="false"/>
                  <w:color w:val="000080"/>
                  <w:sz w:val="18"/>
                  <w:u w:val="single"/>
                </w:rPr>
                <w:t>Services Rendered</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11">
              <w:r>
                <w:rPr>
                  <w:rStyle w:val="InternetLink"/>
                  <w:rFonts w:ascii="Arial;sans-serif" w:hAnsi="Arial;sans-serif"/>
                  <w:b w:val="false"/>
                  <w:i w:val="false"/>
                  <w:caps w:val="false"/>
                  <w:smallCaps w:val="false"/>
                  <w:color w:val="0000FF"/>
                  <w:sz w:val="18"/>
                  <w:u w:val="single"/>
                </w:rPr>
                <w:t>A-9</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(d)</w:t>
            </w:r>
            <w:hyperlink w:anchor="i8e46ffef7ba64d5685b12ae81aaaa434_214">
              <w:r>
                <w:rPr>
                  <w:rStyle w:val="InternetLink"/>
                  <w:rFonts w:ascii="Arial;sans-serif" w:hAnsi="Arial;sans-serif"/>
                  <w:b w:val="false"/>
                  <w:i w:val="false"/>
                  <w:caps w:val="false"/>
                  <w:smallCaps w:val="false"/>
                  <w:color w:val="000080"/>
                  <w:sz w:val="18"/>
                  <w:u w:val="single"/>
                </w:rPr>
                <w:t>Cashless Exercise</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14">
              <w:r>
                <w:rPr>
                  <w:rStyle w:val="InternetLink"/>
                  <w:rFonts w:ascii="Arial;sans-serif" w:hAnsi="Arial;sans-serif"/>
                  <w:b w:val="false"/>
                  <w:i w:val="false"/>
                  <w:caps w:val="false"/>
                  <w:smallCaps w:val="false"/>
                  <w:color w:val="0000FF"/>
                  <w:sz w:val="18"/>
                  <w:u w:val="single"/>
                </w:rPr>
                <w:t>A-9</w:t>
              </w:r>
            </w:hyperlink>
          </w:p>
        </w:tc>
      </w:tr>
      <w:tr>
        <w:trPr/>
        <w:tc>
          <w:tcPr>
            <w:tcW w:w="47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(e)</w:t>
            </w:r>
            <w:hyperlink w:anchor="i8e46ffef7ba64d5685b12ae81aaaa434_217">
              <w:r>
                <w:rPr>
                  <w:rStyle w:val="InternetLink"/>
                  <w:rFonts w:ascii="Arial;sans-serif" w:hAnsi="Arial;sans-serif"/>
                  <w:b w:val="false"/>
                  <w:i w:val="false"/>
                  <w:caps w:val="false"/>
                  <w:smallCaps w:val="false"/>
                  <w:color w:val="000080"/>
                  <w:sz w:val="18"/>
                  <w:u w:val="single"/>
                </w:rPr>
                <w:t>Exercise/Pledge</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17">
              <w:r>
                <w:rPr>
                  <w:rStyle w:val="InternetLink"/>
                  <w:rFonts w:ascii="Arial;sans-serif" w:hAnsi="Arial;sans-serif"/>
                  <w:b w:val="false"/>
                  <w:i w:val="false"/>
                  <w:caps w:val="false"/>
                  <w:smallCaps w:val="false"/>
                  <w:color w:val="0000FF"/>
                  <w:sz w:val="18"/>
                  <w:u w:val="single"/>
                </w:rPr>
                <w:t>A-10</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(f)</w:t>
            </w:r>
            <w:hyperlink w:anchor="i8e46ffef7ba64d5685b12ae81aaaa434_220">
              <w:r>
                <w:rPr>
                  <w:rStyle w:val="InternetLink"/>
                  <w:rFonts w:ascii="Arial;sans-serif" w:hAnsi="Arial;sans-serif"/>
                  <w:b w:val="false"/>
                  <w:i w:val="false"/>
                  <w:caps w:val="false"/>
                  <w:smallCaps w:val="false"/>
                  <w:color w:val="000080"/>
                  <w:sz w:val="18"/>
                  <w:u w:val="single"/>
                </w:rPr>
                <w:t>Net Exercise</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20">
              <w:r>
                <w:rPr>
                  <w:rStyle w:val="InternetLink"/>
                  <w:rFonts w:ascii="Arial;sans-serif" w:hAnsi="Arial;sans-serif"/>
                  <w:b w:val="false"/>
                  <w:i w:val="false"/>
                  <w:caps w:val="false"/>
                  <w:smallCaps w:val="false"/>
                  <w:color w:val="0000FF"/>
                  <w:sz w:val="18"/>
                  <w:u w:val="single"/>
                </w:rPr>
                <w:t>A-10</w:t>
              </w:r>
            </w:hyperlink>
          </w:p>
        </w:tc>
      </w:tr>
      <w:tr>
        <w:trPr/>
        <w:tc>
          <w:tcPr>
            <w:tcW w:w="47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(g)</w:t>
            </w:r>
            <w:hyperlink w:anchor="i8e46ffef7ba64d5685b12ae81aaaa434_223">
              <w:r>
                <w:rPr>
                  <w:rStyle w:val="InternetLink"/>
                  <w:rFonts w:ascii="Arial;sans-serif" w:hAnsi="Arial;sans-serif"/>
                  <w:b w:val="false"/>
                  <w:i w:val="false"/>
                  <w:caps w:val="false"/>
                  <w:smallCaps w:val="false"/>
                  <w:color w:val="000080"/>
                  <w:sz w:val="18"/>
                  <w:u w:val="single"/>
                </w:rPr>
                <w:t>Promissory Note</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23">
              <w:r>
                <w:rPr>
                  <w:rStyle w:val="InternetLink"/>
                  <w:rFonts w:ascii="Arial;sans-serif" w:hAnsi="Arial;sans-serif"/>
                  <w:b w:val="false"/>
                  <w:i w:val="false"/>
                  <w:caps w:val="false"/>
                  <w:smallCaps w:val="false"/>
                  <w:color w:val="0000FF"/>
                  <w:sz w:val="18"/>
                  <w:u w:val="single"/>
                </w:rPr>
                <w:t>A-10</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(h)</w:t>
            </w:r>
            <w:hyperlink w:anchor="i8e46ffef7ba64d5685b12ae81aaaa434_226">
              <w:r>
                <w:rPr>
                  <w:rStyle w:val="InternetLink"/>
                  <w:rFonts w:ascii="Arial;sans-serif" w:hAnsi="Arial;sans-serif"/>
                  <w:b w:val="false"/>
                  <w:i w:val="false"/>
                  <w:caps w:val="false"/>
                  <w:smallCaps w:val="false"/>
                  <w:color w:val="000080"/>
                  <w:sz w:val="18"/>
                  <w:u w:val="single"/>
                </w:rPr>
                <w:t>Other Forms of Payment</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26">
              <w:r>
                <w:rPr>
                  <w:rStyle w:val="InternetLink"/>
                  <w:rFonts w:ascii="Arial;sans-serif" w:hAnsi="Arial;sans-serif"/>
                  <w:b w:val="false"/>
                  <w:i w:val="false"/>
                  <w:caps w:val="false"/>
                  <w:smallCaps w:val="false"/>
                  <w:color w:val="0000FF"/>
                  <w:sz w:val="18"/>
                  <w:u w:val="single"/>
                </w:rPr>
                <w:t>A-10</w:t>
              </w:r>
            </w:hyperlink>
          </w:p>
        </w:tc>
      </w:tr>
      <w:tr>
        <w:trPr/>
        <w:tc>
          <w:tcPr>
            <w:tcW w:w="47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(i)</w:t>
            </w:r>
            <w:hyperlink w:anchor="i8e46ffef7ba64d5685b12ae81aaaa434_229">
              <w:r>
                <w:rPr>
                  <w:rStyle w:val="InternetLink"/>
                  <w:rFonts w:ascii="Arial;sans-serif" w:hAnsi="Arial;sans-serif"/>
                  <w:b w:val="false"/>
                  <w:i w:val="false"/>
                  <w:caps w:val="false"/>
                  <w:smallCaps w:val="false"/>
                  <w:color w:val="000080"/>
                  <w:sz w:val="18"/>
                  <w:u w:val="single"/>
                </w:rPr>
                <w:t>Limitations under Applicable Law</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29">
              <w:r>
                <w:rPr>
                  <w:rStyle w:val="InternetLink"/>
                  <w:rFonts w:ascii="Arial;sans-serif" w:hAnsi="Arial;sans-serif"/>
                  <w:b w:val="false"/>
                  <w:i w:val="false"/>
                  <w:caps w:val="false"/>
                  <w:smallCaps w:val="false"/>
                  <w:color w:val="0000FF"/>
                  <w:sz w:val="18"/>
                  <w:u w:val="single"/>
                </w:rPr>
                <w:t>A-10</w:t>
              </w:r>
            </w:hyperlink>
          </w:p>
        </w:tc>
      </w:tr>
      <w:tr>
        <w:trPr/>
        <w:tc>
          <w:tcPr>
            <w:tcW w:w="4711" w:type="dxa"/>
            <w:tcBorders/>
            <w:shd w:fill="CCEEFF" w:val="clear"/>
            <w:vAlign w:val="center"/>
          </w:tcPr>
          <w:p>
            <w:pPr>
              <w:pStyle w:val="TableContents"/>
              <w:bidi w:val="0"/>
              <w:spacing w:lineRule="atLeast" w:line="180" w:before="0" w:after="0"/>
              <w:jc w:val="left"/>
              <w:rPr/>
            </w:pPr>
            <w:hyperlink w:anchor="i8e46ffef7ba64d5685b12ae81aaaa434_232">
              <w:r>
                <w:rPr>
                  <w:rStyle w:val="InternetLink"/>
                  <w:rFonts w:ascii="Arial;sans-serif" w:hAnsi="Arial;sans-serif"/>
                  <w:b/>
                  <w:i w:val="false"/>
                  <w:caps w:val="false"/>
                  <w:smallCaps w:val="false"/>
                  <w:color w:val="0000EE"/>
                  <w:sz w:val="18"/>
                  <w:u w:val="single"/>
                </w:rPr>
                <w:t>SECTION 9. STOCK APPRECIATION RIGHTS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32">
              <w:r>
                <w:rPr>
                  <w:rStyle w:val="InternetLink"/>
                  <w:rFonts w:ascii="Arial;sans-serif" w:hAnsi="Arial;sans-serif"/>
                  <w:b/>
                  <w:i w:val="false"/>
                  <w:caps w:val="false"/>
                  <w:smallCaps w:val="false"/>
                  <w:color w:val="0000FF"/>
                  <w:sz w:val="18"/>
                  <w:u w:val="single"/>
                </w:rPr>
                <w:t>A-10</w:t>
              </w:r>
            </w:hyperlink>
          </w:p>
        </w:tc>
      </w:tr>
      <w:tr>
        <w:trPr/>
        <w:tc>
          <w:tcPr>
            <w:tcW w:w="47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235">
              <w:r>
                <w:rPr>
                  <w:rStyle w:val="InternetLink"/>
                  <w:rFonts w:ascii="Arial;sans-serif" w:hAnsi="Arial;sans-serif"/>
                  <w:b w:val="false"/>
                  <w:i w:val="false"/>
                  <w:caps w:val="false"/>
                  <w:smallCaps w:val="false"/>
                  <w:color w:val="000080"/>
                  <w:sz w:val="18"/>
                  <w:u w:val="single"/>
                </w:rPr>
                <w:t>SAR Award Agreement</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35">
              <w:r>
                <w:rPr>
                  <w:rStyle w:val="InternetLink"/>
                  <w:rFonts w:ascii="Arial;sans-serif" w:hAnsi="Arial;sans-serif"/>
                  <w:b w:val="false"/>
                  <w:i w:val="false"/>
                  <w:caps w:val="false"/>
                  <w:smallCaps w:val="false"/>
                  <w:color w:val="0000FF"/>
                  <w:sz w:val="18"/>
                  <w:u w:val="single"/>
                </w:rPr>
                <w:t>A-10</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238">
              <w:r>
                <w:rPr>
                  <w:rStyle w:val="InternetLink"/>
                  <w:rFonts w:ascii="Arial;sans-serif" w:hAnsi="Arial;sans-serif"/>
                  <w:b w:val="false"/>
                  <w:i w:val="false"/>
                  <w:caps w:val="false"/>
                  <w:smallCaps w:val="false"/>
                  <w:color w:val="000080"/>
                  <w:sz w:val="18"/>
                  <w:u w:val="single"/>
                </w:rPr>
                <w:t>Number of Shares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38">
              <w:r>
                <w:rPr>
                  <w:rStyle w:val="InternetLink"/>
                  <w:rFonts w:ascii="Arial;sans-serif" w:hAnsi="Arial;sans-serif"/>
                  <w:b w:val="false"/>
                  <w:i w:val="false"/>
                  <w:caps w:val="false"/>
                  <w:smallCaps w:val="false"/>
                  <w:color w:val="0000FF"/>
                  <w:sz w:val="18"/>
                  <w:u w:val="single"/>
                </w:rPr>
                <w:t>A-10</w:t>
              </w:r>
            </w:hyperlink>
          </w:p>
        </w:tc>
      </w:tr>
      <w:tr>
        <w:trPr/>
        <w:tc>
          <w:tcPr>
            <w:tcW w:w="47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241">
              <w:r>
                <w:rPr>
                  <w:rStyle w:val="InternetLink"/>
                  <w:rFonts w:ascii="Arial;sans-serif" w:hAnsi="Arial;sans-serif"/>
                  <w:b w:val="false"/>
                  <w:i w:val="false"/>
                  <w:caps w:val="false"/>
                  <w:smallCaps w:val="false"/>
                  <w:color w:val="000080"/>
                  <w:sz w:val="18"/>
                  <w:u w:val="single"/>
                </w:rPr>
                <w:t>Exercise Price</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41">
              <w:r>
                <w:rPr>
                  <w:rStyle w:val="InternetLink"/>
                  <w:rFonts w:ascii="Arial;sans-serif" w:hAnsi="Arial;sans-serif"/>
                  <w:b w:val="false"/>
                  <w:i w:val="false"/>
                  <w:caps w:val="false"/>
                  <w:smallCaps w:val="false"/>
                  <w:color w:val="0000FF"/>
                  <w:sz w:val="18"/>
                  <w:u w:val="single"/>
                </w:rPr>
                <w:t>A-10</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(d)</w:t>
            </w:r>
            <w:hyperlink w:anchor="i8e46ffef7ba64d5685b12ae81aaaa434_244">
              <w:r>
                <w:rPr>
                  <w:rStyle w:val="InternetLink"/>
                  <w:rFonts w:ascii="Arial;sans-serif" w:hAnsi="Arial;sans-serif"/>
                  <w:b w:val="false"/>
                  <w:i w:val="false"/>
                  <w:caps w:val="false"/>
                  <w:smallCaps w:val="false"/>
                  <w:color w:val="000080"/>
                  <w:sz w:val="18"/>
                  <w:u w:val="single"/>
                </w:rPr>
                <w:t>Exercisability and Term</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44">
              <w:r>
                <w:rPr>
                  <w:rStyle w:val="InternetLink"/>
                  <w:rFonts w:ascii="Arial;sans-serif" w:hAnsi="Arial;sans-serif"/>
                  <w:b w:val="false"/>
                  <w:i w:val="false"/>
                  <w:caps w:val="false"/>
                  <w:smallCaps w:val="false"/>
                  <w:color w:val="0000FF"/>
                  <w:sz w:val="18"/>
                  <w:u w:val="single"/>
                </w:rPr>
                <w:t>A-10</w:t>
              </w:r>
            </w:hyperlink>
          </w:p>
        </w:tc>
      </w:tr>
      <w:tr>
        <w:trPr/>
        <w:tc>
          <w:tcPr>
            <w:tcW w:w="47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(e)</w:t>
            </w:r>
            <w:hyperlink w:anchor="i8e46ffef7ba64d5685b12ae81aaaa434_247">
              <w:r>
                <w:rPr>
                  <w:rStyle w:val="InternetLink"/>
                  <w:rFonts w:ascii="Arial;sans-serif" w:hAnsi="Arial;sans-serif"/>
                  <w:b w:val="false"/>
                  <w:i w:val="false"/>
                  <w:caps w:val="false"/>
                  <w:smallCaps w:val="false"/>
                  <w:color w:val="000080"/>
                  <w:sz w:val="18"/>
                  <w:u w:val="single"/>
                </w:rPr>
                <w:t>Exercise of SARs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47">
              <w:r>
                <w:rPr>
                  <w:rStyle w:val="InternetLink"/>
                  <w:rFonts w:ascii="Arial;sans-serif" w:hAnsi="Arial;sans-serif"/>
                  <w:b w:val="false"/>
                  <w:i w:val="false"/>
                  <w:caps w:val="false"/>
                  <w:smallCaps w:val="false"/>
                  <w:color w:val="0000FF"/>
                  <w:sz w:val="18"/>
                  <w:u w:val="single"/>
                </w:rPr>
                <w:t>A-10</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(f)</w:t>
            </w:r>
            <w:hyperlink w:anchor="i8e46ffef7ba64d5685b12ae81aaaa434_250">
              <w:r>
                <w:rPr>
                  <w:rStyle w:val="InternetLink"/>
                  <w:rFonts w:ascii="Arial;sans-serif" w:hAnsi="Arial;sans-serif"/>
                  <w:b w:val="false"/>
                  <w:i w:val="false"/>
                  <w:caps w:val="false"/>
                  <w:smallCaps w:val="false"/>
                  <w:color w:val="000080"/>
                  <w:sz w:val="18"/>
                  <w:u w:val="single"/>
                </w:rPr>
                <w:t>Modification, Extension or Assumption of SARs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50">
              <w:r>
                <w:rPr>
                  <w:rStyle w:val="InternetLink"/>
                  <w:rFonts w:ascii="Arial;sans-serif" w:hAnsi="Arial;sans-serif"/>
                  <w:b w:val="false"/>
                  <w:i w:val="false"/>
                  <w:caps w:val="false"/>
                  <w:smallCaps w:val="false"/>
                  <w:color w:val="0000FF"/>
                  <w:sz w:val="18"/>
                  <w:u w:val="single"/>
                </w:rPr>
                <w:t>A-10</w:t>
              </w:r>
            </w:hyperlink>
          </w:p>
        </w:tc>
      </w:tr>
      <w:tr>
        <w:trPr/>
        <w:tc>
          <w:tcPr>
            <w:tcW w:w="47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(g)</w:t>
            </w:r>
            <w:hyperlink w:anchor="i8e46ffef7ba64d5685b12ae81aaaa434_253">
              <w:r>
                <w:rPr>
                  <w:rStyle w:val="InternetLink"/>
                  <w:rFonts w:ascii="Arial;sans-serif" w:hAnsi="Arial;sans-serif"/>
                  <w:b w:val="false"/>
                  <w:i w:val="false"/>
                  <w:caps w:val="false"/>
                  <w:smallCaps w:val="false"/>
                  <w:color w:val="000080"/>
                  <w:sz w:val="18"/>
                  <w:u w:val="single"/>
                </w:rPr>
                <w:t>Buyout Provisions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53">
              <w:r>
                <w:rPr>
                  <w:rStyle w:val="InternetLink"/>
                  <w:rFonts w:ascii="Arial;sans-serif" w:hAnsi="Arial;sans-serif"/>
                  <w:b w:val="false"/>
                  <w:i w:val="false"/>
                  <w:caps w:val="false"/>
                  <w:smallCaps w:val="false"/>
                  <w:color w:val="0000FF"/>
                  <w:sz w:val="18"/>
                  <w:u w:val="single"/>
                </w:rPr>
                <w:t>A-11</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(h)</w:t>
            </w:r>
            <w:hyperlink w:anchor="i8e46ffef7ba64d5685b12ae81aaaa434_256">
              <w:r>
                <w:rPr>
                  <w:rStyle w:val="InternetLink"/>
                  <w:rFonts w:ascii="Arial;sans-serif" w:hAnsi="Arial;sans-serif"/>
                  <w:b w:val="false"/>
                  <w:i w:val="false"/>
                  <w:caps w:val="false"/>
                  <w:smallCaps w:val="false"/>
                  <w:color w:val="000080"/>
                  <w:sz w:val="18"/>
                  <w:u w:val="single"/>
                </w:rPr>
                <w:t>No Dividend Equivalents on SARs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56">
              <w:r>
                <w:rPr>
                  <w:rStyle w:val="InternetLink"/>
                  <w:rFonts w:ascii="Arial;sans-serif" w:hAnsi="Arial;sans-serif"/>
                  <w:b w:val="false"/>
                  <w:i w:val="false"/>
                  <w:caps w:val="false"/>
                  <w:smallCaps w:val="false"/>
                  <w:color w:val="0000FF"/>
                  <w:sz w:val="18"/>
                  <w:u w:val="single"/>
                </w:rPr>
                <w:t>A-11</w:t>
              </w:r>
            </w:hyperlink>
          </w:p>
        </w:tc>
      </w:tr>
      <w:tr>
        <w:trPr/>
        <w:tc>
          <w:tcPr>
            <w:tcW w:w="4711" w:type="dxa"/>
            <w:tcBorders/>
            <w:shd w:fill="FFFFFF" w:val="clear"/>
            <w:vAlign w:val="center"/>
          </w:tcPr>
          <w:p>
            <w:pPr>
              <w:pStyle w:val="TableContents"/>
              <w:bidi w:val="0"/>
              <w:spacing w:lineRule="atLeast" w:line="180" w:before="0" w:after="0"/>
              <w:jc w:val="left"/>
              <w:rPr/>
            </w:pPr>
            <w:hyperlink w:anchor="i8e46ffef7ba64d5685b12ae81aaaa434_259">
              <w:r>
                <w:rPr>
                  <w:rStyle w:val="InternetLink"/>
                  <w:rFonts w:ascii="Arial;sans-serif" w:hAnsi="Arial;sans-serif"/>
                  <w:b/>
                  <w:i w:val="false"/>
                  <w:caps w:val="false"/>
                  <w:smallCaps w:val="false"/>
                  <w:color w:val="0000EE"/>
                  <w:sz w:val="18"/>
                  <w:u w:val="single"/>
                </w:rPr>
                <w:t>SECTION 10. RESTRICTED STOCK UNITS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59">
              <w:r>
                <w:rPr>
                  <w:rStyle w:val="InternetLink"/>
                  <w:rFonts w:ascii="Arial;sans-serif" w:hAnsi="Arial;sans-serif"/>
                  <w:b/>
                  <w:i w:val="false"/>
                  <w:caps w:val="false"/>
                  <w:smallCaps w:val="false"/>
                  <w:color w:val="0000FF"/>
                  <w:sz w:val="18"/>
                  <w:u w:val="single"/>
                </w:rPr>
                <w:t>A-11</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262">
              <w:r>
                <w:rPr>
                  <w:rStyle w:val="InternetLink"/>
                  <w:rFonts w:ascii="Arial;sans-serif" w:hAnsi="Arial;sans-serif"/>
                  <w:b w:val="false"/>
                  <w:i w:val="false"/>
                  <w:caps w:val="false"/>
                  <w:smallCaps w:val="false"/>
                  <w:color w:val="000080"/>
                  <w:sz w:val="18"/>
                  <w:u w:val="single"/>
                </w:rPr>
                <w:t>Restricted Stock Unit Award Agreement</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62">
              <w:r>
                <w:rPr>
                  <w:rStyle w:val="InternetLink"/>
                  <w:rFonts w:ascii="Arial;sans-serif" w:hAnsi="Arial;sans-serif"/>
                  <w:b w:val="false"/>
                  <w:i w:val="false"/>
                  <w:caps w:val="false"/>
                  <w:smallCaps w:val="false"/>
                  <w:color w:val="0000FF"/>
                  <w:sz w:val="18"/>
                  <w:u w:val="single"/>
                </w:rPr>
                <w:t>A-11</w:t>
              </w:r>
            </w:hyperlink>
          </w:p>
        </w:tc>
      </w:tr>
      <w:tr>
        <w:trPr/>
        <w:tc>
          <w:tcPr>
            <w:tcW w:w="47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265">
              <w:r>
                <w:rPr>
                  <w:rStyle w:val="InternetLink"/>
                  <w:rFonts w:ascii="Arial;sans-serif" w:hAnsi="Arial;sans-serif"/>
                  <w:b w:val="false"/>
                  <w:i w:val="false"/>
                  <w:caps w:val="false"/>
                  <w:smallCaps w:val="false"/>
                  <w:color w:val="000080"/>
                  <w:sz w:val="18"/>
                  <w:u w:val="single"/>
                </w:rPr>
                <w:t>Payment for Awards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65">
              <w:r>
                <w:rPr>
                  <w:rStyle w:val="InternetLink"/>
                  <w:rFonts w:ascii="Arial;sans-serif" w:hAnsi="Arial;sans-serif"/>
                  <w:b w:val="false"/>
                  <w:i w:val="false"/>
                  <w:caps w:val="false"/>
                  <w:smallCaps w:val="false"/>
                  <w:color w:val="0000FF"/>
                  <w:sz w:val="18"/>
                  <w:u w:val="single"/>
                </w:rPr>
                <w:t>A-11</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268">
              <w:r>
                <w:rPr>
                  <w:rStyle w:val="InternetLink"/>
                  <w:rFonts w:ascii="Arial;sans-serif" w:hAnsi="Arial;sans-serif"/>
                  <w:b w:val="false"/>
                  <w:i w:val="false"/>
                  <w:caps w:val="false"/>
                  <w:smallCaps w:val="false"/>
                  <w:color w:val="000080"/>
                  <w:sz w:val="18"/>
                  <w:u w:val="single"/>
                </w:rPr>
                <w:t>Vesting Conditions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68">
              <w:r>
                <w:rPr>
                  <w:rStyle w:val="InternetLink"/>
                  <w:rFonts w:ascii="Arial;sans-serif" w:hAnsi="Arial;sans-serif"/>
                  <w:b w:val="false"/>
                  <w:i w:val="false"/>
                  <w:caps w:val="false"/>
                  <w:smallCaps w:val="false"/>
                  <w:color w:val="0000FF"/>
                  <w:sz w:val="18"/>
                  <w:u w:val="single"/>
                </w:rPr>
                <w:t>A-11</w:t>
              </w:r>
            </w:hyperlink>
          </w:p>
        </w:tc>
      </w:tr>
      <w:tr>
        <w:trPr/>
        <w:tc>
          <w:tcPr>
            <w:tcW w:w="47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(d)</w:t>
            </w:r>
            <w:hyperlink w:anchor="i8e46ffef7ba64d5685b12ae81aaaa434_271">
              <w:r>
                <w:rPr>
                  <w:rStyle w:val="InternetLink"/>
                  <w:rFonts w:ascii="Arial;sans-serif" w:hAnsi="Arial;sans-serif"/>
                  <w:b w:val="false"/>
                  <w:i w:val="false"/>
                  <w:caps w:val="false"/>
                  <w:smallCaps w:val="false"/>
                  <w:color w:val="000080"/>
                  <w:sz w:val="18"/>
                  <w:u w:val="single"/>
                </w:rPr>
                <w:t>Voting and Dividend Rights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71">
              <w:r>
                <w:rPr>
                  <w:rStyle w:val="InternetLink"/>
                  <w:rFonts w:ascii="Arial;sans-serif" w:hAnsi="Arial;sans-serif"/>
                  <w:b w:val="false"/>
                  <w:i w:val="false"/>
                  <w:caps w:val="false"/>
                  <w:smallCaps w:val="false"/>
                  <w:color w:val="0000FF"/>
                  <w:sz w:val="18"/>
                  <w:u w:val="single"/>
                </w:rPr>
                <w:t>A-11</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(e)</w:t>
            </w:r>
            <w:hyperlink w:anchor="i8e46ffef7ba64d5685b12ae81aaaa434_274">
              <w:r>
                <w:rPr>
                  <w:rStyle w:val="InternetLink"/>
                  <w:rFonts w:ascii="Arial;sans-serif" w:hAnsi="Arial;sans-serif"/>
                  <w:b w:val="false"/>
                  <w:i w:val="false"/>
                  <w:caps w:val="false"/>
                  <w:smallCaps w:val="false"/>
                  <w:color w:val="000080"/>
                  <w:sz w:val="18"/>
                  <w:u w:val="single"/>
                </w:rPr>
                <w:t>Form and Time of Settlement of Restricted Stock Units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74">
              <w:r>
                <w:rPr>
                  <w:rStyle w:val="InternetLink"/>
                  <w:rFonts w:ascii="Arial;sans-serif" w:hAnsi="Arial;sans-serif"/>
                  <w:b w:val="false"/>
                  <w:i w:val="false"/>
                  <w:caps w:val="false"/>
                  <w:smallCaps w:val="false"/>
                  <w:color w:val="0000FF"/>
                  <w:sz w:val="18"/>
                  <w:u w:val="single"/>
                </w:rPr>
                <w:t>A-11</w:t>
              </w:r>
            </w:hyperlink>
          </w:p>
        </w:tc>
      </w:tr>
      <w:tr>
        <w:trPr/>
        <w:tc>
          <w:tcPr>
            <w:tcW w:w="47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(f)</w:t>
            </w:r>
            <w:hyperlink w:anchor="i8e46ffef7ba64d5685b12ae81aaaa434_277">
              <w:r>
                <w:rPr>
                  <w:rStyle w:val="InternetLink"/>
                  <w:rFonts w:ascii="Arial;sans-serif" w:hAnsi="Arial;sans-serif"/>
                  <w:b w:val="false"/>
                  <w:i w:val="false"/>
                  <w:caps w:val="false"/>
                  <w:smallCaps w:val="false"/>
                  <w:color w:val="000080"/>
                  <w:sz w:val="18"/>
                  <w:u w:val="single"/>
                </w:rPr>
                <w:t>Death of Participant</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77">
              <w:r>
                <w:rPr>
                  <w:rStyle w:val="InternetLink"/>
                  <w:rFonts w:ascii="Arial;sans-serif" w:hAnsi="Arial;sans-serif"/>
                  <w:b w:val="false"/>
                  <w:i w:val="false"/>
                  <w:caps w:val="false"/>
                  <w:smallCaps w:val="false"/>
                  <w:color w:val="0000FF"/>
                  <w:sz w:val="18"/>
                  <w:u w:val="single"/>
                </w:rPr>
                <w:t>A-11</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(g)</w:t>
            </w:r>
            <w:hyperlink w:anchor="i8e46ffef7ba64d5685b12ae81aaaa434_280">
              <w:r>
                <w:rPr>
                  <w:rStyle w:val="InternetLink"/>
                  <w:rFonts w:ascii="Arial;sans-serif" w:hAnsi="Arial;sans-serif"/>
                  <w:b w:val="false"/>
                  <w:i w:val="false"/>
                  <w:caps w:val="false"/>
                  <w:smallCaps w:val="false"/>
                  <w:color w:val="000080"/>
                  <w:sz w:val="18"/>
                  <w:u w:val="single"/>
                </w:rPr>
                <w:t>Creditors’ Rights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80">
              <w:r>
                <w:rPr>
                  <w:rStyle w:val="InternetLink"/>
                  <w:rFonts w:ascii="Arial;sans-serif" w:hAnsi="Arial;sans-serif"/>
                  <w:b w:val="false"/>
                  <w:i w:val="false"/>
                  <w:caps w:val="false"/>
                  <w:smallCaps w:val="false"/>
                  <w:color w:val="0000FF"/>
                  <w:sz w:val="18"/>
                  <w:u w:val="single"/>
                </w:rPr>
                <w:t>A-12</w:t>
              </w:r>
            </w:hyperlink>
          </w:p>
        </w:tc>
      </w:tr>
      <w:tr>
        <w:trPr/>
        <w:tc>
          <w:tcPr>
            <w:tcW w:w="4711" w:type="dxa"/>
            <w:tcBorders/>
            <w:shd w:fill="FFFFFF" w:val="clear"/>
            <w:vAlign w:val="center"/>
          </w:tcPr>
          <w:p>
            <w:pPr>
              <w:pStyle w:val="TableContents"/>
              <w:bidi w:val="0"/>
              <w:spacing w:lineRule="atLeast" w:line="180" w:before="0" w:after="0"/>
              <w:jc w:val="left"/>
              <w:rPr/>
            </w:pPr>
            <w:hyperlink w:anchor="i8e46ffef7ba64d5685b12ae81aaaa434_283">
              <w:r>
                <w:rPr>
                  <w:rStyle w:val="InternetLink"/>
                  <w:rFonts w:ascii="Arial;sans-serif" w:hAnsi="Arial;sans-serif"/>
                  <w:b/>
                  <w:i w:val="false"/>
                  <w:caps w:val="false"/>
                  <w:smallCaps w:val="false"/>
                  <w:color w:val="0000EE"/>
                  <w:sz w:val="18"/>
                  <w:u w:val="single"/>
                </w:rPr>
                <w:t>SECTION 11. CASH-BASED AWARDS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83">
              <w:r>
                <w:rPr>
                  <w:rStyle w:val="InternetLink"/>
                  <w:rFonts w:ascii="Arial;sans-serif" w:hAnsi="Arial;sans-serif"/>
                  <w:b/>
                  <w:i w:val="false"/>
                  <w:caps w:val="false"/>
                  <w:smallCaps w:val="false"/>
                  <w:color w:val="0000FF"/>
                  <w:sz w:val="18"/>
                  <w:u w:val="single"/>
                </w:rPr>
                <w:t>A-12</w:t>
              </w:r>
            </w:hyperlink>
          </w:p>
        </w:tc>
      </w:tr>
      <w:tr>
        <w:trPr/>
        <w:tc>
          <w:tcPr>
            <w:tcW w:w="4711" w:type="dxa"/>
            <w:tcBorders/>
            <w:shd w:fill="CCEEFF" w:val="clear"/>
            <w:vAlign w:val="center"/>
          </w:tcPr>
          <w:p>
            <w:pPr>
              <w:pStyle w:val="TableContents"/>
              <w:bidi w:val="0"/>
              <w:spacing w:lineRule="atLeast" w:line="180" w:before="0" w:after="0"/>
              <w:jc w:val="left"/>
              <w:rPr/>
            </w:pPr>
            <w:hyperlink w:anchor="i8e46ffef7ba64d5685b12ae81aaaa434_286">
              <w:r>
                <w:rPr>
                  <w:rStyle w:val="InternetLink"/>
                  <w:rFonts w:ascii="Arial;sans-serif" w:hAnsi="Arial;sans-serif"/>
                  <w:b/>
                  <w:i w:val="false"/>
                  <w:caps w:val="false"/>
                  <w:smallCaps w:val="false"/>
                  <w:color w:val="0000EE"/>
                  <w:sz w:val="18"/>
                  <w:u w:val="single"/>
                </w:rPr>
                <w:t>SECTION 12. STOCK PURCHASE RIGHTS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86">
              <w:r>
                <w:rPr>
                  <w:rStyle w:val="InternetLink"/>
                  <w:rFonts w:ascii="Arial;sans-serif" w:hAnsi="Arial;sans-serif"/>
                  <w:b/>
                  <w:i w:val="false"/>
                  <w:caps w:val="false"/>
                  <w:smallCaps w:val="false"/>
                  <w:color w:val="0000FF"/>
                  <w:sz w:val="18"/>
                  <w:u w:val="single"/>
                </w:rPr>
                <w:t>A-12</w:t>
              </w:r>
            </w:hyperlink>
          </w:p>
        </w:tc>
      </w:tr>
      <w:tr>
        <w:trPr/>
        <w:tc>
          <w:tcPr>
            <w:tcW w:w="4711" w:type="dxa"/>
            <w:tcBorders/>
            <w:shd w:fill="FFFFFF" w:val="clear"/>
            <w:vAlign w:val="center"/>
          </w:tcPr>
          <w:p>
            <w:pPr>
              <w:pStyle w:val="TableContents"/>
              <w:bidi w:val="0"/>
              <w:spacing w:lineRule="atLeast" w:line="180" w:before="0" w:after="0"/>
              <w:jc w:val="left"/>
              <w:rPr/>
            </w:pPr>
            <w:hyperlink w:anchor="i8e46ffef7ba64d5685b12ae81aaaa434_289">
              <w:r>
                <w:rPr>
                  <w:rStyle w:val="InternetLink"/>
                  <w:rFonts w:ascii="Arial;sans-serif" w:hAnsi="Arial;sans-serif"/>
                  <w:b/>
                  <w:i w:val="false"/>
                  <w:caps w:val="false"/>
                  <w:smallCaps w:val="false"/>
                  <w:color w:val="0000EE"/>
                  <w:sz w:val="18"/>
                  <w:u w:val="single"/>
                </w:rPr>
                <w:t>SECTION 13. ADJUSTMENT OF SHARES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89">
              <w:r>
                <w:rPr>
                  <w:rStyle w:val="InternetLink"/>
                  <w:rFonts w:ascii="Arial;sans-serif" w:hAnsi="Arial;sans-serif"/>
                  <w:b/>
                  <w:i w:val="false"/>
                  <w:caps w:val="false"/>
                  <w:smallCaps w:val="false"/>
                  <w:color w:val="0000FF"/>
                  <w:sz w:val="18"/>
                  <w:u w:val="single"/>
                </w:rPr>
                <w:t>A-12</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292">
              <w:r>
                <w:rPr>
                  <w:rStyle w:val="InternetLink"/>
                  <w:rFonts w:ascii="Arial;sans-serif" w:hAnsi="Arial;sans-serif"/>
                  <w:b w:val="false"/>
                  <w:i w:val="false"/>
                  <w:caps w:val="false"/>
                  <w:smallCaps w:val="false"/>
                  <w:color w:val="000080"/>
                  <w:sz w:val="18"/>
                  <w:u w:val="single"/>
                </w:rPr>
                <w:t>Adjustments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92">
              <w:r>
                <w:rPr>
                  <w:rStyle w:val="InternetLink"/>
                  <w:rFonts w:ascii="Arial;sans-serif" w:hAnsi="Arial;sans-serif"/>
                  <w:b w:val="false"/>
                  <w:i w:val="false"/>
                  <w:caps w:val="false"/>
                  <w:smallCaps w:val="false"/>
                  <w:color w:val="0000FF"/>
                  <w:sz w:val="18"/>
                  <w:u w:val="single"/>
                </w:rPr>
                <w:t>A-12</w:t>
              </w:r>
            </w:hyperlink>
          </w:p>
        </w:tc>
      </w:tr>
      <w:tr>
        <w:trPr/>
        <w:tc>
          <w:tcPr>
            <w:tcW w:w="47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295">
              <w:r>
                <w:rPr>
                  <w:rStyle w:val="InternetLink"/>
                  <w:rFonts w:ascii="Arial;sans-serif" w:hAnsi="Arial;sans-serif"/>
                  <w:b w:val="false"/>
                  <w:i w:val="false"/>
                  <w:caps w:val="false"/>
                  <w:smallCaps w:val="false"/>
                  <w:color w:val="000080"/>
                  <w:sz w:val="18"/>
                  <w:u w:val="single"/>
                </w:rPr>
                <w:t>Dissolution or Liquidation</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295">
              <w:r>
                <w:rPr>
                  <w:rStyle w:val="InternetLink"/>
                  <w:rFonts w:ascii="Arial;sans-serif" w:hAnsi="Arial;sans-serif"/>
                  <w:b w:val="false"/>
                  <w:i w:val="false"/>
                  <w:caps w:val="false"/>
                  <w:smallCaps w:val="false"/>
                  <w:color w:val="0000FF"/>
                  <w:sz w:val="18"/>
                  <w:u w:val="single"/>
                </w:rPr>
                <w:t>A-12</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298">
              <w:r>
                <w:rPr>
                  <w:rStyle w:val="InternetLink"/>
                  <w:rFonts w:ascii="Arial;sans-serif" w:hAnsi="Arial;sans-serif"/>
                  <w:b w:val="false"/>
                  <w:i w:val="false"/>
                  <w:caps w:val="false"/>
                  <w:smallCaps w:val="false"/>
                  <w:color w:val="000080"/>
                  <w:sz w:val="18"/>
                  <w:u w:val="single"/>
                </w:rPr>
                <w:t>Merger or Reorganization</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298">
              <w:r>
                <w:rPr>
                  <w:rStyle w:val="InternetLink"/>
                  <w:rFonts w:ascii="Arial;sans-serif" w:hAnsi="Arial;sans-serif"/>
                  <w:b w:val="false"/>
                  <w:i w:val="false"/>
                  <w:caps w:val="false"/>
                  <w:smallCaps w:val="false"/>
                  <w:color w:val="0000FF"/>
                  <w:sz w:val="18"/>
                  <w:u w:val="single"/>
                </w:rPr>
                <w:t>A-12</w:t>
              </w:r>
            </w:hyperlink>
          </w:p>
        </w:tc>
      </w:tr>
      <w:tr>
        <w:trPr/>
        <w:tc>
          <w:tcPr>
            <w:tcW w:w="47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(d)</w:t>
            </w:r>
            <w:hyperlink w:anchor="i8e46ffef7ba64d5685b12ae81aaaa434_301">
              <w:r>
                <w:rPr>
                  <w:rStyle w:val="InternetLink"/>
                  <w:rFonts w:ascii="Arial;sans-serif" w:hAnsi="Arial;sans-serif"/>
                  <w:b w:val="false"/>
                  <w:i w:val="false"/>
                  <w:caps w:val="false"/>
                  <w:smallCaps w:val="false"/>
                  <w:color w:val="000080"/>
                  <w:sz w:val="18"/>
                  <w:u w:val="single"/>
                </w:rPr>
                <w:t>Change in Control</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301">
              <w:r>
                <w:rPr>
                  <w:rStyle w:val="InternetLink"/>
                  <w:rFonts w:ascii="Arial;sans-serif" w:hAnsi="Arial;sans-serif"/>
                  <w:b w:val="false"/>
                  <w:i w:val="false"/>
                  <w:caps w:val="false"/>
                  <w:smallCaps w:val="false"/>
                  <w:color w:val="0000FF"/>
                  <w:sz w:val="18"/>
                  <w:u w:val="single"/>
                </w:rPr>
                <w:t>A-13</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(e)</w:t>
            </w:r>
            <w:hyperlink w:anchor="i8e46ffef7ba64d5685b12ae81aaaa434_304">
              <w:r>
                <w:rPr>
                  <w:rStyle w:val="InternetLink"/>
                  <w:rFonts w:ascii="Arial;sans-serif" w:hAnsi="Arial;sans-serif"/>
                  <w:b w:val="false"/>
                  <w:i w:val="false"/>
                  <w:caps w:val="false"/>
                  <w:smallCaps w:val="false"/>
                  <w:color w:val="000080"/>
                  <w:sz w:val="18"/>
                  <w:u w:val="single"/>
                </w:rPr>
                <w:t>Reservation of Rights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304">
              <w:r>
                <w:rPr>
                  <w:rStyle w:val="InternetLink"/>
                  <w:rFonts w:ascii="Arial;sans-serif" w:hAnsi="Arial;sans-serif"/>
                  <w:b w:val="false"/>
                  <w:i w:val="false"/>
                  <w:caps w:val="false"/>
                  <w:smallCaps w:val="false"/>
                  <w:color w:val="0000FF"/>
                  <w:sz w:val="18"/>
                  <w:u w:val="single"/>
                </w:rPr>
                <w:t>A-13</w:t>
              </w:r>
            </w:hyperlink>
          </w:p>
        </w:tc>
      </w:tr>
      <w:tr>
        <w:trPr/>
        <w:tc>
          <w:tcPr>
            <w:tcW w:w="4711" w:type="dxa"/>
            <w:tcBorders/>
            <w:shd w:fill="FFFFFF" w:val="clear"/>
            <w:vAlign w:val="center"/>
          </w:tcPr>
          <w:p>
            <w:pPr>
              <w:pStyle w:val="TableContents"/>
              <w:bidi w:val="0"/>
              <w:spacing w:lineRule="atLeast" w:line="180" w:before="0" w:after="0"/>
              <w:jc w:val="left"/>
              <w:rPr/>
            </w:pPr>
            <w:hyperlink w:anchor="i8e46ffef7ba64d5685b12ae81aaaa434_307">
              <w:r>
                <w:rPr>
                  <w:rStyle w:val="InternetLink"/>
                  <w:rFonts w:ascii="Arial;sans-serif" w:hAnsi="Arial;sans-serif"/>
                  <w:b/>
                  <w:i w:val="false"/>
                  <w:caps w:val="false"/>
                  <w:smallCaps w:val="false"/>
                  <w:color w:val="0000EE"/>
                  <w:sz w:val="18"/>
                  <w:u w:val="single"/>
                </w:rPr>
                <w:t>SECTION 14. DEFERRAL OF AWARDS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307">
              <w:r>
                <w:rPr>
                  <w:rStyle w:val="InternetLink"/>
                  <w:rFonts w:ascii="Arial;sans-serif" w:hAnsi="Arial;sans-serif"/>
                  <w:b/>
                  <w:i w:val="false"/>
                  <w:caps w:val="false"/>
                  <w:smallCaps w:val="false"/>
                  <w:color w:val="0000FF"/>
                  <w:sz w:val="18"/>
                  <w:u w:val="single"/>
                </w:rPr>
                <w:t>A-14</w:t>
              </w:r>
            </w:hyperlink>
          </w:p>
        </w:tc>
      </w:tr>
      <w:tr>
        <w:trPr/>
        <w:tc>
          <w:tcPr>
            <w:tcW w:w="47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310">
              <w:r>
                <w:rPr>
                  <w:rStyle w:val="InternetLink"/>
                  <w:rFonts w:ascii="Arial;sans-serif" w:hAnsi="Arial;sans-serif"/>
                  <w:b w:val="false"/>
                  <w:i w:val="false"/>
                  <w:caps w:val="false"/>
                  <w:smallCaps w:val="false"/>
                  <w:color w:val="000080"/>
                  <w:sz w:val="18"/>
                  <w:u w:val="single"/>
                </w:rPr>
                <w:t>Committee Powers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310">
              <w:r>
                <w:rPr>
                  <w:rStyle w:val="InternetLink"/>
                  <w:rFonts w:ascii="Arial;sans-serif" w:hAnsi="Arial;sans-serif"/>
                  <w:b w:val="false"/>
                  <w:i w:val="false"/>
                  <w:caps w:val="false"/>
                  <w:smallCaps w:val="false"/>
                  <w:color w:val="0000FF"/>
                  <w:sz w:val="18"/>
                  <w:u w:val="single"/>
                </w:rPr>
                <w:t>A-14</w:t>
              </w:r>
            </w:hyperlink>
          </w:p>
        </w:tc>
      </w:tr>
      <w:tr>
        <w:trPr/>
        <w:tc>
          <w:tcPr>
            <w:tcW w:w="47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313">
              <w:r>
                <w:rPr>
                  <w:rStyle w:val="InternetLink"/>
                  <w:rFonts w:ascii="Arial;sans-serif" w:hAnsi="Arial;sans-serif"/>
                  <w:b w:val="false"/>
                  <w:i w:val="false"/>
                  <w:caps w:val="false"/>
                  <w:smallCaps w:val="false"/>
                  <w:color w:val="000080"/>
                  <w:sz w:val="18"/>
                  <w:u w:val="single"/>
                </w:rPr>
                <w:t>General Rules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313">
              <w:r>
                <w:rPr>
                  <w:rStyle w:val="InternetLink"/>
                  <w:rFonts w:ascii="Arial;sans-serif" w:hAnsi="Arial;sans-serif"/>
                  <w:b w:val="false"/>
                  <w:i w:val="false"/>
                  <w:caps w:val="false"/>
                  <w:smallCaps w:val="false"/>
                  <w:color w:val="0000FF"/>
                  <w:sz w:val="18"/>
                  <w:u w:val="single"/>
                </w:rPr>
                <w:t>A-14</w:t>
              </w:r>
            </w:hyperlink>
          </w:p>
        </w:tc>
      </w:tr>
    </w:tbl>
    <w:tbl>
      <w:tblPr>
        <w:tblW w:w="2031" w:type="dxa"/>
        <w:jc w:val="left"/>
        <w:tblInd w:w="0" w:type="dxa"/>
        <w:tblLayout w:type="fixed"/>
        <w:tblCellMar>
          <w:top w:w="28" w:type="dxa"/>
          <w:left w:w="28" w:type="dxa"/>
          <w:bottom w:w="28" w:type="dxa"/>
          <w:right w:w="28" w:type="dxa"/>
        </w:tblCellMar>
      </w:tblPr>
      <w:tblGrid>
        <w:gridCol w:w="1501"/>
        <w:gridCol w:w="109"/>
        <w:gridCol w:w="42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A-iii</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tbl>
      <w:tblPr>
        <w:tblW w:w="7322" w:type="dxa"/>
        <w:jc w:val="left"/>
        <w:tblInd w:w="0" w:type="dxa"/>
        <w:tblLayout w:type="fixed"/>
        <w:tblCellMar>
          <w:top w:w="28" w:type="dxa"/>
          <w:left w:w="28" w:type="dxa"/>
          <w:bottom w:w="28" w:type="dxa"/>
          <w:right w:w="28" w:type="dxa"/>
        </w:tblCellMar>
      </w:tblPr>
      <w:tblGrid>
        <w:gridCol w:w="6766"/>
        <w:gridCol w:w="556"/>
      </w:tblGrid>
      <w:tr>
        <w:trPr/>
        <w:tc>
          <w:tcPr>
            <w:tcW w:w="67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67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4"/>
                <w:u w:val="none"/>
                <w:effect w:val="none"/>
              </w:rPr>
            </w:pPr>
            <w:r>
              <w:rPr>
                <w:rFonts w:ascii="Arial;sans-serif" w:hAnsi="Arial;sans-serif"/>
                <w:b/>
                <w:i w:val="false"/>
                <w:caps w:val="false"/>
                <w:smallCaps w:val="false"/>
                <w:strike w:val="false"/>
                <w:dstrike w:val="false"/>
                <w:color w:val="000000"/>
                <w:sz w:val="14"/>
                <w:u w:val="none"/>
                <w:effect w:val="none"/>
              </w:rPr>
              <w:t xml:space="preserve">Page </w:t>
            </w:r>
          </w:p>
        </w:tc>
      </w:tr>
      <w:tr>
        <w:trPr/>
        <w:tc>
          <w:tcPr>
            <w:tcW w:w="6766" w:type="dxa"/>
            <w:tcBorders/>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66" w:type="dxa"/>
            <w:tcBorders/>
            <w:shd w:fill="CCEEFF" w:val="clear"/>
            <w:vAlign w:val="center"/>
          </w:tcPr>
          <w:p>
            <w:pPr>
              <w:pStyle w:val="TableContents"/>
              <w:bidi w:val="0"/>
              <w:spacing w:lineRule="atLeast" w:line="180" w:before="0" w:after="0"/>
              <w:jc w:val="left"/>
              <w:rPr/>
            </w:pPr>
            <w:hyperlink w:anchor="i8e46ffef7ba64d5685b12ae81aaaa434_316">
              <w:r>
                <w:rPr>
                  <w:rStyle w:val="InternetLink"/>
                  <w:rFonts w:ascii="Arial;sans-serif" w:hAnsi="Arial;sans-serif"/>
                  <w:b/>
                  <w:i w:val="false"/>
                  <w:caps w:val="false"/>
                  <w:smallCaps w:val="false"/>
                  <w:color w:val="0000EE"/>
                  <w:sz w:val="18"/>
                  <w:u w:val="single"/>
                </w:rPr>
                <w:t>SECTION 15. AWARDS UNDER OTHER PLANS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316">
              <w:r>
                <w:rPr>
                  <w:rStyle w:val="InternetLink"/>
                  <w:rFonts w:ascii="Arial;sans-serif" w:hAnsi="Arial;sans-serif"/>
                  <w:b/>
                  <w:i w:val="false"/>
                  <w:caps w:val="false"/>
                  <w:smallCaps w:val="false"/>
                  <w:color w:val="0000FF"/>
                  <w:sz w:val="18"/>
                  <w:u w:val="single"/>
                </w:rPr>
                <w:t>A-14</w:t>
              </w:r>
            </w:hyperlink>
          </w:p>
        </w:tc>
      </w:tr>
      <w:tr>
        <w:trPr/>
        <w:tc>
          <w:tcPr>
            <w:tcW w:w="6766" w:type="dxa"/>
            <w:tcBorders/>
            <w:shd w:fill="FFFFFF" w:val="clear"/>
            <w:vAlign w:val="center"/>
          </w:tcPr>
          <w:p>
            <w:pPr>
              <w:pStyle w:val="TableContents"/>
              <w:bidi w:val="0"/>
              <w:spacing w:lineRule="atLeast" w:line="180" w:before="0" w:after="0"/>
              <w:jc w:val="left"/>
              <w:rPr/>
            </w:pPr>
            <w:hyperlink w:anchor="i8e46ffef7ba64d5685b12ae81aaaa434_319">
              <w:r>
                <w:rPr>
                  <w:rStyle w:val="InternetLink"/>
                  <w:rFonts w:ascii="Arial;sans-serif" w:hAnsi="Arial;sans-serif"/>
                  <w:b/>
                  <w:i w:val="false"/>
                  <w:caps w:val="false"/>
                  <w:smallCaps w:val="false"/>
                  <w:color w:val="0000EE"/>
                  <w:sz w:val="18"/>
                  <w:u w:val="single"/>
                </w:rPr>
                <w:t>SECTION 16. PAYMENT OF DIRECTOR’S FEES IN SECURITIES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319">
              <w:r>
                <w:rPr>
                  <w:rStyle w:val="InternetLink"/>
                  <w:rFonts w:ascii="Arial;sans-serif" w:hAnsi="Arial;sans-serif"/>
                  <w:b/>
                  <w:i w:val="false"/>
                  <w:caps w:val="false"/>
                  <w:smallCaps w:val="false"/>
                  <w:color w:val="0000FF"/>
                  <w:sz w:val="18"/>
                  <w:u w:val="single"/>
                </w:rPr>
                <w:t>A-14</w:t>
              </w:r>
            </w:hyperlink>
          </w:p>
        </w:tc>
      </w:tr>
      <w:tr>
        <w:trPr/>
        <w:tc>
          <w:tcPr>
            <w:tcW w:w="6766"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322">
              <w:r>
                <w:rPr>
                  <w:rStyle w:val="InternetLink"/>
                  <w:rFonts w:ascii="Arial;sans-serif" w:hAnsi="Arial;sans-serif"/>
                  <w:b w:val="false"/>
                  <w:i w:val="false"/>
                  <w:caps w:val="false"/>
                  <w:smallCaps w:val="false"/>
                  <w:color w:val="000080"/>
                  <w:sz w:val="18"/>
                  <w:u w:val="single"/>
                </w:rPr>
                <w:t>Effective Date</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322">
              <w:r>
                <w:rPr>
                  <w:rStyle w:val="InternetLink"/>
                  <w:rFonts w:ascii="Arial;sans-serif" w:hAnsi="Arial;sans-serif"/>
                  <w:b w:val="false"/>
                  <w:i w:val="false"/>
                  <w:caps w:val="false"/>
                  <w:smallCaps w:val="false"/>
                  <w:color w:val="0000FF"/>
                  <w:sz w:val="18"/>
                  <w:u w:val="single"/>
                </w:rPr>
                <w:t>A-14</w:t>
              </w:r>
            </w:hyperlink>
          </w:p>
        </w:tc>
      </w:tr>
      <w:tr>
        <w:trPr/>
        <w:tc>
          <w:tcPr>
            <w:tcW w:w="6766"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325">
              <w:r>
                <w:rPr>
                  <w:rStyle w:val="InternetLink"/>
                  <w:rFonts w:ascii="Arial;sans-serif" w:hAnsi="Arial;sans-serif"/>
                  <w:b w:val="false"/>
                  <w:i w:val="false"/>
                  <w:caps w:val="false"/>
                  <w:smallCaps w:val="false"/>
                  <w:color w:val="000080"/>
                  <w:sz w:val="18"/>
                  <w:u w:val="single"/>
                </w:rPr>
                <w:t>Elections to Receive NSOs, SARs, Restricted Shares, or Restricted Stock Units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325">
              <w:r>
                <w:rPr>
                  <w:rStyle w:val="InternetLink"/>
                  <w:rFonts w:ascii="Arial;sans-serif" w:hAnsi="Arial;sans-serif"/>
                  <w:b w:val="false"/>
                  <w:i w:val="false"/>
                  <w:caps w:val="false"/>
                  <w:smallCaps w:val="false"/>
                  <w:color w:val="0000FF"/>
                  <w:sz w:val="18"/>
                  <w:u w:val="single"/>
                </w:rPr>
                <w:t>A-14</w:t>
              </w:r>
            </w:hyperlink>
          </w:p>
        </w:tc>
      </w:tr>
      <w:tr>
        <w:trPr/>
        <w:tc>
          <w:tcPr>
            <w:tcW w:w="6766"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328">
              <w:r>
                <w:rPr>
                  <w:rStyle w:val="InternetLink"/>
                  <w:rFonts w:ascii="Arial;sans-serif" w:hAnsi="Arial;sans-serif"/>
                  <w:b w:val="false"/>
                  <w:i w:val="false"/>
                  <w:caps w:val="false"/>
                  <w:smallCaps w:val="false"/>
                  <w:color w:val="000080"/>
                  <w:sz w:val="18"/>
                  <w:u w:val="single"/>
                </w:rPr>
                <w:t>Number and Terms of NSOs, SARs, Restricted Shares or Restricted Stock Units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328">
              <w:r>
                <w:rPr>
                  <w:rStyle w:val="InternetLink"/>
                  <w:rFonts w:ascii="Arial;sans-serif" w:hAnsi="Arial;sans-serif"/>
                  <w:b w:val="false"/>
                  <w:i w:val="false"/>
                  <w:caps w:val="false"/>
                  <w:smallCaps w:val="false"/>
                  <w:color w:val="0000FF"/>
                  <w:sz w:val="18"/>
                  <w:u w:val="single"/>
                </w:rPr>
                <w:t>A-14</w:t>
              </w:r>
            </w:hyperlink>
          </w:p>
        </w:tc>
      </w:tr>
      <w:tr>
        <w:trPr/>
        <w:tc>
          <w:tcPr>
            <w:tcW w:w="6766" w:type="dxa"/>
            <w:tcBorders/>
            <w:shd w:fill="FFFFFF" w:val="clear"/>
            <w:vAlign w:val="center"/>
          </w:tcPr>
          <w:p>
            <w:pPr>
              <w:pStyle w:val="TableContents"/>
              <w:bidi w:val="0"/>
              <w:spacing w:lineRule="atLeast" w:line="180" w:before="0" w:after="0"/>
              <w:jc w:val="left"/>
              <w:rPr/>
            </w:pPr>
            <w:hyperlink w:anchor="i8e46ffef7ba64d5685b12ae81aaaa434_331">
              <w:r>
                <w:rPr>
                  <w:rStyle w:val="InternetLink"/>
                  <w:rFonts w:ascii="Arial;sans-serif" w:hAnsi="Arial;sans-serif"/>
                  <w:b/>
                  <w:i w:val="false"/>
                  <w:caps w:val="false"/>
                  <w:smallCaps w:val="false"/>
                  <w:color w:val="0000EE"/>
                  <w:sz w:val="18"/>
                  <w:u w:val="single"/>
                </w:rPr>
                <w:t>SECTION 17. LEGAL AND REGULATORY REQUIREMENTS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331">
              <w:r>
                <w:rPr>
                  <w:rStyle w:val="InternetLink"/>
                  <w:rFonts w:ascii="Arial;sans-serif" w:hAnsi="Arial;sans-serif"/>
                  <w:b w:val="false"/>
                  <w:i w:val="false"/>
                  <w:caps w:val="false"/>
                  <w:smallCaps w:val="false"/>
                  <w:color w:val="0000FF"/>
                  <w:sz w:val="18"/>
                  <w:u w:val="single"/>
                </w:rPr>
                <w:t>A-14</w:t>
              </w:r>
            </w:hyperlink>
          </w:p>
        </w:tc>
      </w:tr>
      <w:tr>
        <w:trPr/>
        <w:tc>
          <w:tcPr>
            <w:tcW w:w="6766" w:type="dxa"/>
            <w:tcBorders/>
            <w:shd w:fill="CCEEFF" w:val="clear"/>
            <w:vAlign w:val="center"/>
          </w:tcPr>
          <w:p>
            <w:pPr>
              <w:pStyle w:val="TableContents"/>
              <w:bidi w:val="0"/>
              <w:spacing w:lineRule="atLeast" w:line="180" w:before="0" w:after="0"/>
              <w:jc w:val="left"/>
              <w:rPr/>
            </w:pPr>
            <w:hyperlink w:anchor="i8e46ffef7ba64d5685b12ae81aaaa434_334">
              <w:r>
                <w:rPr>
                  <w:rStyle w:val="InternetLink"/>
                  <w:rFonts w:ascii="Arial;sans-serif" w:hAnsi="Arial;sans-serif"/>
                  <w:b/>
                  <w:i w:val="false"/>
                  <w:caps w:val="false"/>
                  <w:smallCaps w:val="false"/>
                  <w:color w:val="0000EE"/>
                  <w:sz w:val="18"/>
                  <w:u w:val="single"/>
                </w:rPr>
                <w:t>SECTION 18. TAXES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334">
              <w:r>
                <w:rPr>
                  <w:rStyle w:val="InternetLink"/>
                  <w:rFonts w:ascii="Arial;sans-serif" w:hAnsi="Arial;sans-serif"/>
                  <w:b/>
                  <w:i w:val="false"/>
                  <w:caps w:val="false"/>
                  <w:smallCaps w:val="false"/>
                  <w:color w:val="0000FF"/>
                  <w:sz w:val="18"/>
                  <w:u w:val="single"/>
                </w:rPr>
                <w:t>A-15</w:t>
              </w:r>
            </w:hyperlink>
          </w:p>
        </w:tc>
      </w:tr>
      <w:tr>
        <w:trPr/>
        <w:tc>
          <w:tcPr>
            <w:tcW w:w="6766"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337">
              <w:r>
                <w:rPr>
                  <w:rStyle w:val="InternetLink"/>
                  <w:rFonts w:ascii="Arial;sans-serif" w:hAnsi="Arial;sans-serif"/>
                  <w:b w:val="false"/>
                  <w:i w:val="false"/>
                  <w:caps w:val="false"/>
                  <w:smallCaps w:val="false"/>
                  <w:color w:val="000080"/>
                  <w:sz w:val="18"/>
                  <w:u w:val="single"/>
                </w:rPr>
                <w:t>Withholding Taxes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337">
              <w:r>
                <w:rPr>
                  <w:rStyle w:val="InternetLink"/>
                  <w:rFonts w:ascii="Arial;sans-serif" w:hAnsi="Arial;sans-serif"/>
                  <w:b w:val="false"/>
                  <w:i w:val="false"/>
                  <w:caps w:val="false"/>
                  <w:smallCaps w:val="false"/>
                  <w:color w:val="0000FF"/>
                  <w:sz w:val="18"/>
                  <w:u w:val="single"/>
                </w:rPr>
                <w:t>A-15</w:t>
              </w:r>
            </w:hyperlink>
          </w:p>
        </w:tc>
      </w:tr>
      <w:tr>
        <w:trPr/>
        <w:tc>
          <w:tcPr>
            <w:tcW w:w="6766"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340">
              <w:r>
                <w:rPr>
                  <w:rStyle w:val="InternetLink"/>
                  <w:rFonts w:ascii="Arial;sans-serif" w:hAnsi="Arial;sans-serif"/>
                  <w:b w:val="false"/>
                  <w:i w:val="false"/>
                  <w:caps w:val="false"/>
                  <w:smallCaps w:val="false"/>
                  <w:color w:val="000080"/>
                  <w:sz w:val="18"/>
                  <w:u w:val="single"/>
                </w:rPr>
                <w:t>Share Withholding</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340">
              <w:r>
                <w:rPr>
                  <w:rStyle w:val="InternetLink"/>
                  <w:rFonts w:ascii="Arial;sans-serif" w:hAnsi="Arial;sans-serif"/>
                  <w:b w:val="false"/>
                  <w:i w:val="false"/>
                  <w:caps w:val="false"/>
                  <w:smallCaps w:val="false"/>
                  <w:color w:val="0000FF"/>
                  <w:sz w:val="18"/>
                  <w:u w:val="single"/>
                </w:rPr>
                <w:t>A-15</w:t>
              </w:r>
            </w:hyperlink>
          </w:p>
        </w:tc>
      </w:tr>
      <w:tr>
        <w:trPr/>
        <w:tc>
          <w:tcPr>
            <w:tcW w:w="6766"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343">
              <w:r>
                <w:rPr>
                  <w:rStyle w:val="InternetLink"/>
                  <w:rFonts w:ascii="Arial;sans-serif" w:hAnsi="Arial;sans-serif"/>
                  <w:b w:val="false"/>
                  <w:i w:val="false"/>
                  <w:caps w:val="false"/>
                  <w:smallCaps w:val="false"/>
                  <w:color w:val="000080"/>
                  <w:sz w:val="18"/>
                  <w:u w:val="single"/>
                </w:rPr>
                <w:t>Section 409A</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343">
              <w:r>
                <w:rPr>
                  <w:rStyle w:val="InternetLink"/>
                  <w:rFonts w:ascii="Arial;sans-serif" w:hAnsi="Arial;sans-serif"/>
                  <w:b w:val="false"/>
                  <w:i w:val="false"/>
                  <w:caps w:val="false"/>
                  <w:smallCaps w:val="false"/>
                  <w:color w:val="0000FF"/>
                  <w:sz w:val="18"/>
                  <w:u w:val="single"/>
                </w:rPr>
                <w:t>A-15</w:t>
              </w:r>
            </w:hyperlink>
          </w:p>
        </w:tc>
      </w:tr>
      <w:tr>
        <w:trPr/>
        <w:tc>
          <w:tcPr>
            <w:tcW w:w="6766" w:type="dxa"/>
            <w:tcBorders/>
            <w:shd w:fill="CCEEFF" w:val="clear"/>
            <w:vAlign w:val="center"/>
          </w:tcPr>
          <w:p>
            <w:pPr>
              <w:pStyle w:val="TableContents"/>
              <w:bidi w:val="0"/>
              <w:spacing w:lineRule="atLeast" w:line="180" w:before="0" w:after="0"/>
              <w:jc w:val="left"/>
              <w:rPr/>
            </w:pPr>
            <w:hyperlink w:anchor="i8e46ffef7ba64d5685b12ae81aaaa434_346">
              <w:r>
                <w:rPr>
                  <w:rStyle w:val="InternetLink"/>
                  <w:rFonts w:ascii="Arial;sans-serif" w:hAnsi="Arial;sans-serif"/>
                  <w:b/>
                  <w:i w:val="false"/>
                  <w:caps w:val="false"/>
                  <w:smallCaps w:val="false"/>
                  <w:color w:val="0000EE"/>
                  <w:sz w:val="18"/>
                  <w:u w:val="single"/>
                </w:rPr>
                <w:t>SECTION 19. TRANSFERABILITY</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346">
              <w:r>
                <w:rPr>
                  <w:rStyle w:val="InternetLink"/>
                  <w:rFonts w:ascii="Arial;sans-serif" w:hAnsi="Arial;sans-serif"/>
                  <w:b/>
                  <w:i w:val="false"/>
                  <w:caps w:val="false"/>
                  <w:smallCaps w:val="false"/>
                  <w:color w:val="0000FF"/>
                  <w:sz w:val="18"/>
                  <w:u w:val="single"/>
                </w:rPr>
                <w:t>A-15</w:t>
              </w:r>
            </w:hyperlink>
          </w:p>
        </w:tc>
      </w:tr>
      <w:tr>
        <w:trPr/>
        <w:tc>
          <w:tcPr>
            <w:tcW w:w="6766" w:type="dxa"/>
            <w:tcBorders/>
            <w:shd w:fill="FFFFFF" w:val="clear"/>
            <w:vAlign w:val="center"/>
          </w:tcPr>
          <w:p>
            <w:pPr>
              <w:pStyle w:val="TableContents"/>
              <w:bidi w:val="0"/>
              <w:spacing w:lineRule="atLeast" w:line="180" w:before="0" w:after="0"/>
              <w:jc w:val="left"/>
              <w:rPr/>
            </w:pPr>
            <w:hyperlink w:anchor="i8e46ffef7ba64d5685b12ae81aaaa434_349">
              <w:r>
                <w:rPr>
                  <w:rStyle w:val="InternetLink"/>
                  <w:rFonts w:ascii="Arial;sans-serif" w:hAnsi="Arial;sans-serif"/>
                  <w:b/>
                  <w:i w:val="false"/>
                  <w:caps w:val="false"/>
                  <w:smallCaps w:val="false"/>
                  <w:color w:val="0000EE"/>
                  <w:sz w:val="18"/>
                  <w:u w:val="single"/>
                </w:rPr>
                <w:t>SECTION 20. PERFORMANCE BASED AWARDS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349">
              <w:r>
                <w:rPr>
                  <w:rStyle w:val="InternetLink"/>
                  <w:rFonts w:ascii="Arial;sans-serif" w:hAnsi="Arial;sans-serif"/>
                  <w:b/>
                  <w:i w:val="false"/>
                  <w:caps w:val="false"/>
                  <w:smallCaps w:val="false"/>
                  <w:color w:val="0000FF"/>
                  <w:sz w:val="18"/>
                  <w:u w:val="single"/>
                </w:rPr>
                <w:t>A-15</w:t>
              </w:r>
            </w:hyperlink>
          </w:p>
        </w:tc>
      </w:tr>
      <w:tr>
        <w:trPr/>
        <w:tc>
          <w:tcPr>
            <w:tcW w:w="6766" w:type="dxa"/>
            <w:tcBorders/>
            <w:shd w:fill="CCEEFF" w:val="clear"/>
            <w:vAlign w:val="center"/>
          </w:tcPr>
          <w:p>
            <w:pPr>
              <w:pStyle w:val="TableContents"/>
              <w:bidi w:val="0"/>
              <w:spacing w:lineRule="atLeast" w:line="180" w:before="0" w:after="0"/>
              <w:jc w:val="left"/>
              <w:rPr/>
            </w:pPr>
            <w:hyperlink w:anchor="i8e46ffef7ba64d5685b12ae81aaaa434_352">
              <w:r>
                <w:rPr>
                  <w:rStyle w:val="InternetLink"/>
                  <w:rFonts w:ascii="Arial;sans-serif" w:hAnsi="Arial;sans-serif"/>
                  <w:b/>
                  <w:i w:val="false"/>
                  <w:caps w:val="false"/>
                  <w:smallCaps w:val="false"/>
                  <w:color w:val="0000EE"/>
                  <w:sz w:val="18"/>
                  <w:u w:val="single"/>
                </w:rPr>
                <w:t>SECTION 21. FORFEITURE, CANCELLATION OR RECOUPMENT OF AWARDS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352">
              <w:r>
                <w:rPr>
                  <w:rStyle w:val="InternetLink"/>
                  <w:rFonts w:ascii="Arial;sans-serif" w:hAnsi="Arial;sans-serif"/>
                  <w:b/>
                  <w:i w:val="false"/>
                  <w:caps w:val="false"/>
                  <w:smallCaps w:val="false"/>
                  <w:color w:val="0000FF"/>
                  <w:sz w:val="18"/>
                  <w:u w:val="single"/>
                </w:rPr>
                <w:t>A-15</w:t>
              </w:r>
            </w:hyperlink>
          </w:p>
        </w:tc>
      </w:tr>
      <w:tr>
        <w:trPr/>
        <w:tc>
          <w:tcPr>
            <w:tcW w:w="6766" w:type="dxa"/>
            <w:tcBorders/>
            <w:shd w:fill="FFFFFF" w:val="clear"/>
            <w:vAlign w:val="center"/>
          </w:tcPr>
          <w:p>
            <w:pPr>
              <w:pStyle w:val="TableContents"/>
              <w:bidi w:val="0"/>
              <w:spacing w:lineRule="atLeast" w:line="180" w:before="0" w:after="0"/>
              <w:jc w:val="left"/>
              <w:rPr/>
            </w:pPr>
            <w:hyperlink w:anchor="i8e46ffef7ba64d5685b12ae81aaaa434_355">
              <w:r>
                <w:rPr>
                  <w:rStyle w:val="InternetLink"/>
                  <w:rFonts w:ascii="Arial;sans-serif" w:hAnsi="Arial;sans-serif"/>
                  <w:b/>
                  <w:i w:val="false"/>
                  <w:caps w:val="false"/>
                  <w:smallCaps w:val="false"/>
                  <w:color w:val="0000EE"/>
                  <w:sz w:val="18"/>
                  <w:u w:val="single"/>
                </w:rPr>
                <w:t>SECTION 22. NO EMPLOYMENT RIGHTS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355">
              <w:r>
                <w:rPr>
                  <w:rStyle w:val="InternetLink"/>
                  <w:rFonts w:ascii="Arial;sans-serif" w:hAnsi="Arial;sans-serif"/>
                  <w:b/>
                  <w:i w:val="false"/>
                  <w:caps w:val="false"/>
                  <w:smallCaps w:val="false"/>
                  <w:color w:val="0000FF"/>
                  <w:sz w:val="18"/>
                  <w:u w:val="single"/>
                </w:rPr>
                <w:t>A-16</w:t>
              </w:r>
            </w:hyperlink>
          </w:p>
        </w:tc>
      </w:tr>
      <w:tr>
        <w:trPr/>
        <w:tc>
          <w:tcPr>
            <w:tcW w:w="6766" w:type="dxa"/>
            <w:tcBorders/>
            <w:shd w:fill="CCEEFF" w:val="clear"/>
            <w:vAlign w:val="center"/>
          </w:tcPr>
          <w:p>
            <w:pPr>
              <w:pStyle w:val="TableContents"/>
              <w:bidi w:val="0"/>
              <w:spacing w:lineRule="atLeast" w:line="180" w:before="0" w:after="0"/>
              <w:jc w:val="left"/>
              <w:rPr/>
            </w:pPr>
            <w:hyperlink w:anchor="i8e46ffef7ba64d5685b12ae81aaaa434_358">
              <w:r>
                <w:rPr>
                  <w:rStyle w:val="InternetLink"/>
                  <w:rFonts w:ascii="Arial;sans-serif" w:hAnsi="Arial;sans-serif"/>
                  <w:b/>
                  <w:i w:val="false"/>
                  <w:caps w:val="false"/>
                  <w:smallCaps w:val="false"/>
                  <w:color w:val="0000EE"/>
                  <w:sz w:val="18"/>
                  <w:u w:val="single"/>
                </w:rPr>
                <w:t>SECTION 23. DURATION AND AMENDMENTS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358">
              <w:r>
                <w:rPr>
                  <w:rStyle w:val="InternetLink"/>
                  <w:rFonts w:ascii="Arial;sans-serif" w:hAnsi="Arial;sans-serif"/>
                  <w:b/>
                  <w:i w:val="false"/>
                  <w:caps w:val="false"/>
                  <w:smallCaps w:val="false"/>
                  <w:color w:val="0000FF"/>
                  <w:sz w:val="18"/>
                  <w:u w:val="single"/>
                </w:rPr>
                <w:t>A-16</w:t>
              </w:r>
            </w:hyperlink>
          </w:p>
        </w:tc>
      </w:tr>
      <w:tr>
        <w:trPr/>
        <w:tc>
          <w:tcPr>
            <w:tcW w:w="6766"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361">
              <w:r>
                <w:rPr>
                  <w:rStyle w:val="InternetLink"/>
                  <w:rFonts w:ascii="Arial;sans-serif" w:hAnsi="Arial;sans-serif"/>
                  <w:b w:val="false"/>
                  <w:i w:val="false"/>
                  <w:caps w:val="false"/>
                  <w:smallCaps w:val="false"/>
                  <w:color w:val="000080"/>
                  <w:sz w:val="18"/>
                  <w:u w:val="single"/>
                </w:rPr>
                <w:t>Term of the Plan</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361">
              <w:r>
                <w:rPr>
                  <w:rStyle w:val="InternetLink"/>
                  <w:rFonts w:ascii="Arial;sans-serif" w:hAnsi="Arial;sans-serif"/>
                  <w:b w:val="false"/>
                  <w:i w:val="false"/>
                  <w:caps w:val="false"/>
                  <w:smallCaps w:val="false"/>
                  <w:color w:val="0000FF"/>
                  <w:sz w:val="18"/>
                  <w:u w:val="single"/>
                </w:rPr>
                <w:t>A-16</w:t>
              </w:r>
            </w:hyperlink>
          </w:p>
        </w:tc>
      </w:tr>
      <w:tr>
        <w:trPr/>
        <w:tc>
          <w:tcPr>
            <w:tcW w:w="6766"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364">
              <w:r>
                <w:rPr>
                  <w:rStyle w:val="InternetLink"/>
                  <w:rFonts w:ascii="Arial;sans-serif" w:hAnsi="Arial;sans-serif"/>
                  <w:b w:val="false"/>
                  <w:i w:val="false"/>
                  <w:caps w:val="false"/>
                  <w:smallCaps w:val="false"/>
                  <w:color w:val="000080"/>
                  <w:sz w:val="18"/>
                  <w:u w:val="single"/>
                </w:rPr>
                <w:t>Right to Amend the Plan</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364">
              <w:r>
                <w:rPr>
                  <w:rStyle w:val="InternetLink"/>
                  <w:rFonts w:ascii="Arial;sans-serif" w:hAnsi="Arial;sans-serif"/>
                  <w:b w:val="false"/>
                  <w:i w:val="false"/>
                  <w:caps w:val="false"/>
                  <w:smallCaps w:val="false"/>
                  <w:color w:val="0000FF"/>
                  <w:sz w:val="18"/>
                  <w:u w:val="single"/>
                </w:rPr>
                <w:t>A-16</w:t>
              </w:r>
            </w:hyperlink>
          </w:p>
        </w:tc>
      </w:tr>
      <w:tr>
        <w:trPr/>
        <w:tc>
          <w:tcPr>
            <w:tcW w:w="6766"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367">
              <w:r>
                <w:rPr>
                  <w:rStyle w:val="InternetLink"/>
                  <w:rFonts w:ascii="Arial;sans-serif" w:hAnsi="Arial;sans-serif"/>
                  <w:b w:val="false"/>
                  <w:i w:val="false"/>
                  <w:caps w:val="false"/>
                  <w:smallCaps w:val="false"/>
                  <w:color w:val="000080"/>
                  <w:sz w:val="18"/>
                  <w:u w:val="single"/>
                </w:rPr>
                <w:t>Effect of Termination</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367">
              <w:r>
                <w:rPr>
                  <w:rStyle w:val="InternetLink"/>
                  <w:rFonts w:ascii="Arial;sans-serif" w:hAnsi="Arial;sans-serif"/>
                  <w:b w:val="false"/>
                  <w:i w:val="false"/>
                  <w:caps w:val="false"/>
                  <w:smallCaps w:val="false"/>
                  <w:color w:val="0000FF"/>
                  <w:sz w:val="18"/>
                  <w:u w:val="single"/>
                </w:rPr>
                <w:t>A-16</w:t>
              </w:r>
            </w:hyperlink>
          </w:p>
        </w:tc>
      </w:tr>
      <w:tr>
        <w:trPr/>
        <w:tc>
          <w:tcPr>
            <w:tcW w:w="6766" w:type="dxa"/>
            <w:tcBorders/>
            <w:shd w:fill="CCEEFF" w:val="clear"/>
            <w:vAlign w:val="center"/>
          </w:tcPr>
          <w:p>
            <w:pPr>
              <w:pStyle w:val="TableContents"/>
              <w:bidi w:val="0"/>
              <w:spacing w:lineRule="atLeast" w:line="180" w:before="0" w:after="0"/>
              <w:jc w:val="left"/>
              <w:rPr/>
            </w:pPr>
            <w:hyperlink w:anchor="i8e46ffef7ba64d5685b12ae81aaaa434_370">
              <w:r>
                <w:rPr>
                  <w:rStyle w:val="InternetLink"/>
                  <w:rFonts w:ascii="Arial;sans-serif" w:hAnsi="Arial;sans-serif"/>
                  <w:b/>
                  <w:i w:val="false"/>
                  <w:caps w:val="false"/>
                  <w:smallCaps w:val="false"/>
                  <w:color w:val="0000EE"/>
                  <w:sz w:val="18"/>
                  <w:u w:val="single"/>
                </w:rPr>
                <w:t>SECTION 24. AWARDS TO NON-U.S. PARTICIPANTS.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370">
              <w:r>
                <w:rPr>
                  <w:rStyle w:val="InternetLink"/>
                  <w:rFonts w:ascii="Arial;sans-serif" w:hAnsi="Arial;sans-serif"/>
                  <w:b/>
                  <w:i w:val="false"/>
                  <w:caps w:val="false"/>
                  <w:smallCaps w:val="false"/>
                  <w:color w:val="0000FF"/>
                  <w:sz w:val="18"/>
                  <w:u w:val="single"/>
                </w:rPr>
                <w:t>A-16</w:t>
              </w:r>
            </w:hyperlink>
          </w:p>
        </w:tc>
      </w:tr>
      <w:tr>
        <w:trPr/>
        <w:tc>
          <w:tcPr>
            <w:tcW w:w="6766" w:type="dxa"/>
            <w:tcBorders/>
            <w:shd w:fill="FFFFFF" w:val="clear"/>
            <w:vAlign w:val="center"/>
          </w:tcPr>
          <w:p>
            <w:pPr>
              <w:pStyle w:val="TableContents"/>
              <w:bidi w:val="0"/>
              <w:spacing w:lineRule="atLeast" w:line="180" w:before="0" w:after="0"/>
              <w:jc w:val="left"/>
              <w:rPr/>
            </w:pPr>
            <w:hyperlink w:anchor="i8e46ffef7ba64d5685b12ae81aaaa434_373">
              <w:r>
                <w:rPr>
                  <w:rStyle w:val="InternetLink"/>
                  <w:rFonts w:ascii="Arial;sans-serif" w:hAnsi="Arial;sans-serif"/>
                  <w:b/>
                  <w:i w:val="false"/>
                  <w:caps w:val="false"/>
                  <w:smallCaps w:val="false"/>
                  <w:color w:val="0000EE"/>
                  <w:sz w:val="18"/>
                  <w:u w:val="single"/>
                </w:rPr>
                <w:t>SECTION 25. GOVERNING LAW</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373">
              <w:r>
                <w:rPr>
                  <w:rStyle w:val="InternetLink"/>
                  <w:rFonts w:ascii="Arial;sans-serif" w:hAnsi="Arial;sans-serif"/>
                  <w:b/>
                  <w:i w:val="false"/>
                  <w:caps w:val="false"/>
                  <w:smallCaps w:val="false"/>
                  <w:color w:val="0000FF"/>
                  <w:sz w:val="18"/>
                  <w:u w:val="single"/>
                </w:rPr>
                <w:t>A-16</w:t>
              </w:r>
            </w:hyperlink>
          </w:p>
        </w:tc>
      </w:tr>
      <w:tr>
        <w:trPr/>
        <w:tc>
          <w:tcPr>
            <w:tcW w:w="6766" w:type="dxa"/>
            <w:tcBorders/>
            <w:shd w:fill="CCEEFF" w:val="clear"/>
            <w:vAlign w:val="center"/>
          </w:tcPr>
          <w:p>
            <w:pPr>
              <w:pStyle w:val="TableContents"/>
              <w:bidi w:val="0"/>
              <w:spacing w:lineRule="atLeast" w:line="180" w:before="0" w:after="0"/>
              <w:jc w:val="left"/>
              <w:rPr/>
            </w:pPr>
            <w:hyperlink w:anchor="i8e46ffef7ba64d5685b12ae81aaaa434_376">
              <w:r>
                <w:rPr>
                  <w:rStyle w:val="InternetLink"/>
                  <w:rFonts w:ascii="Arial;sans-serif" w:hAnsi="Arial;sans-serif"/>
                  <w:b/>
                  <w:i w:val="false"/>
                  <w:caps w:val="false"/>
                  <w:smallCaps w:val="false"/>
                  <w:color w:val="0000EE"/>
                  <w:sz w:val="18"/>
                  <w:u w:val="single"/>
                </w:rPr>
                <w:t>SECTION 26. SUCCESSORS AND ASSIGNS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376">
              <w:r>
                <w:rPr>
                  <w:rStyle w:val="InternetLink"/>
                  <w:rFonts w:ascii="Arial;sans-serif" w:hAnsi="Arial;sans-serif"/>
                  <w:b/>
                  <w:i w:val="false"/>
                  <w:caps w:val="false"/>
                  <w:smallCaps w:val="false"/>
                  <w:color w:val="0000FF"/>
                  <w:sz w:val="18"/>
                  <w:u w:val="single"/>
                </w:rPr>
                <w:t>A-16</w:t>
              </w:r>
            </w:hyperlink>
          </w:p>
        </w:tc>
      </w:tr>
      <w:tr>
        <w:trPr/>
        <w:tc>
          <w:tcPr>
            <w:tcW w:w="6766" w:type="dxa"/>
            <w:tcBorders/>
            <w:shd w:fill="FFFFFF" w:val="clear"/>
            <w:vAlign w:val="center"/>
          </w:tcPr>
          <w:p>
            <w:pPr>
              <w:pStyle w:val="TableContents"/>
              <w:bidi w:val="0"/>
              <w:spacing w:lineRule="atLeast" w:line="180" w:before="0" w:after="0"/>
              <w:jc w:val="left"/>
              <w:rPr/>
            </w:pPr>
            <w:hyperlink w:anchor="i8e46ffef7ba64d5685b12ae81aaaa434_379">
              <w:r>
                <w:rPr>
                  <w:rStyle w:val="InternetLink"/>
                  <w:rFonts w:ascii="Arial;sans-serif" w:hAnsi="Arial;sans-serif"/>
                  <w:b/>
                  <w:i w:val="false"/>
                  <w:caps w:val="false"/>
                  <w:smallCaps w:val="false"/>
                  <w:color w:val="0000EE"/>
                  <w:sz w:val="18"/>
                  <w:u w:val="single"/>
                </w:rPr>
                <w:t>SECTION 27. EXECUTION</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379">
              <w:r>
                <w:rPr>
                  <w:rStyle w:val="InternetLink"/>
                  <w:rFonts w:ascii="Arial;sans-serif" w:hAnsi="Arial;sans-serif"/>
                  <w:b/>
                  <w:i w:val="false"/>
                  <w:caps w:val="false"/>
                  <w:smallCaps w:val="false"/>
                  <w:color w:val="0000FF"/>
                  <w:sz w:val="18"/>
                  <w:u w:val="single"/>
                </w:rPr>
                <w:t>A-17</w:t>
              </w:r>
            </w:hyperlink>
          </w:p>
        </w:tc>
      </w:tr>
    </w:tbl>
    <w:tbl>
      <w:tblPr>
        <w:tblW w:w="1971" w:type="dxa"/>
        <w:jc w:val="left"/>
        <w:tblInd w:w="0" w:type="dxa"/>
        <w:tblLayout w:type="fixed"/>
        <w:tblCellMar>
          <w:top w:w="28" w:type="dxa"/>
          <w:left w:w="28" w:type="dxa"/>
          <w:bottom w:w="28" w:type="dxa"/>
          <w:right w:w="28" w:type="dxa"/>
        </w:tblCellMar>
      </w:tblPr>
      <w:tblGrid>
        <w:gridCol w:w="1501"/>
        <w:gridCol w:w="109"/>
        <w:gridCol w:w="36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A-1</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Lucid Group, Inc.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Amended and Restated 2021 Stock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  ESTABLISHMENT AND PURPOSE.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Plan was initially adopted by the Board on February 22, 2021. The Plan was amended on June 21, 2021, amended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restated on April 27, 2022, amended and restated on March 2, 2023, amended and restated on April 22, 2024, amended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restated on April 22, 2025 and is hereby further amended and restated effective as of April 21, 2026. Unless otherwise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specifically provided in the Plan, the Plan shall be effective as of the Effective Date. The Plan’s purpose is to enhance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Company’s ability to attract, retain, incent, reward, and motivate persons who make (or are expected to make) important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contributions to the Company and its Subsidiaries and Affiliates by providing these individuals with equity ownership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other incentive opportunities.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Plan is intended as the successor to and continuation of the 2021 Plan. Following the Effective Date, no additional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awards may be granted under the 2021 Plan, 2014 Plan or 2009 Plan. From and after the Effective Date, all outstanding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 awards granted under the 2021 Plan, 2014 Plan and 2009 Plan will remain subject to the terms of the 2021 Plan, 2014 </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 xml:space="preserve">Plan or 2009 Plan, as applicable; </w:t>
      </w:r>
      <w:r>
        <w:rPr>
          <w:rFonts w:ascii="Arial;sans-serif" w:hAnsi="Arial;sans-serif"/>
          <w:b w:val="false"/>
          <w:i/>
          <w:strike w:val="false"/>
          <w:dstrike w:val="false"/>
          <w:sz w:val="18"/>
          <w:u w:val="none"/>
          <w:effect w:val="none"/>
        </w:rPr>
        <w:t>provided, however</w:t>
      </w:r>
      <w:r>
        <w:rPr>
          <w:rFonts w:ascii="Arial;sans-serif" w:hAnsi="Arial;sans-serif"/>
          <w:b w:val="false"/>
          <w:i w:val="false"/>
          <w:caps w:val="false"/>
          <w:smallCaps w:val="false"/>
          <w:strike w:val="false"/>
          <w:dstrike w:val="false"/>
          <w:sz w:val="18"/>
          <w:u w:val="none"/>
          <w:effect w:val="none"/>
        </w:rPr>
        <w:t xml:space="preserve">, that any Shares subject to stock awards granted under the 2021 Plan,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2014 Plan or 2009 Plan outstanding as of the Effective Date that (i) expire or terminate for any reason prior to exercise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settlement; (ii) are forfeited, cancelled or otherwise returned to the Company because of the failure to meet a contingency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condition required to vest such shares; or (iii) are reacquired, withheld (or not issued) to satisfy a tax withholding obligation </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in connection with an award or to satisfy the purchase price or exercise price of a stock award (the “</w:t>
      </w:r>
      <w:r>
        <w:rPr>
          <w:rFonts w:ascii="Arial;sans-serif" w:hAnsi="Arial;sans-serif"/>
          <w:b/>
          <w:i w:val="false"/>
          <w:caps w:val="false"/>
          <w:smallCaps w:val="false"/>
          <w:strike w:val="false"/>
          <w:dstrike w:val="false"/>
          <w:sz w:val="18"/>
          <w:u w:val="none"/>
          <w:effect w:val="none"/>
        </w:rPr>
        <w:t>Returning Shares</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 will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immediately be added to the Shares available for issuance under this Plan (as further described in Section 5(a) below)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when such shares become Returning Shares, and become available for issuance pursuant to Awards granted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hereunder. All Awards granted on or after the Effective Date will be subject to the terms of this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2.  DEFINITIONS.</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2009 Plan” means the 2009 Share Plan of Atieva, Inc., as amended.</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2014 Plan” means the 2014 Share Plan of Atieva, Inc., as amended.</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2021 Plan” means the Atieva, Inc. 2021 Stock Incentive Plan, as amended.</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(d)</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Affiliate” means any entity other than a Subsidiary, if the Company and/or one or more Subsidiaries own not less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than 50% of such entity.</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(e)</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Award” means any award of an Option, a SAR, a Restricted Share, a Restricted Stock Unit, a Cash-Based Award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or a Stock Purchase Right under the Plan.</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(f)</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Award Agreement” means the agreement between the Company and the recipient of an Award which contains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terms, conditions and restrictions pertaining to such Award.</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(g)</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Board of Directors” or “Board” means the Board of Directors of the Company, as constituted from time to time.</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(h)</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Cash-Based Award” means an Award that entitles the Participant to receive a cash-denominated payment.</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(i)</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Cause” means, unless such term or an equivalent term is otherwise defined by the applicable Award Agreement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other written agreement between a Participant and the Company applicable to an Award, any of the following: (i)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Participant’s willful failure substantially to perform his or her duties and responsibilities to the Company or deliberate violation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a Company policy; (ii) Participant’s commission of any act of fraud, embezzlement, dishonesty or any other willful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misconduct that has caused or is reasonably expected to result in material injury to the Company; (iii) Participant’s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conviction of a felony, any crime involving moral turpitude or a misdemeanor where imprisonment is imposed, (iv)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Participant’s gross incompetence in performing his or her duties to the Company or any of its Subsidiaries or Affiliates, (v)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Participant’s material failure to comply with applicable laws or governmental regulations related to or in the course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Participant’s employment with or providing services to the Company or any of its Subsidiaries or Affiliates, (vi) unauthorized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use or disclosure by Participant of any proprietary information or trade secrets of the Company or any other party to whom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Participant owes an obligation of nondisclosure as a result of his or her relationship with the Company; or (vii) </w:t>
      </w:r>
    </w:p>
    <w:tbl>
      <w:tblPr>
        <w:tblW w:w="1971" w:type="dxa"/>
        <w:jc w:val="left"/>
        <w:tblInd w:w="0" w:type="dxa"/>
        <w:tblLayout w:type="fixed"/>
        <w:tblCellMar>
          <w:top w:w="28" w:type="dxa"/>
          <w:left w:w="28" w:type="dxa"/>
          <w:bottom w:w="28" w:type="dxa"/>
          <w:right w:w="28" w:type="dxa"/>
        </w:tblCellMar>
      </w:tblPr>
      <w:tblGrid>
        <w:gridCol w:w="331"/>
        <w:gridCol w:w="109"/>
        <w:gridCol w:w="1531"/>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A-2</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Participant’s willful breach of any of his or her obligations under any written agreement or covenant with the Company.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determination as to whether a Participant is being terminated for Cause shall be made in good faith by the Company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shall be final and binding on the Participant. The foregoing definition does not in any way limit the Company’s ability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terminate a Participant’s employment or consulting relationship at any time as provided in Section 5(d) below, and the term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Company” will be interpreted to include any Subsidiary, Parent or Affiliate, as appropriate.</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(j)</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Change in Control” means the occurrence of any of the following events: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(i)A change in the composition of the Board occurs, as a result of which fewer than one-half of the incumbent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directors are directors who either: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(A)Had been directors of the Company on the “look-back date” (as defined below) (the “original directors”); or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(B)Were elected, or nominated for election, to the Board with the affirmative votes of at least a majority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aggregate of the original directors who were still in office at the time of the election or nomination and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directors whose election or nomination was previously so approved (the “continuing directors”);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provided, however, that for this purpose, the “original directors” and “continuing directors” shall not include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individual whose initial assumption of office occurred as a result of an actual or threatened election contest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respect to the election or removal of directors or other actual or threatened solicitation of proxies or consents, by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on behalf of a person other than the Board;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(ii)Any “person” (as defined below) who by the acquisition or aggregation of securities, is or becomes the “beneficial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owner” (as defined in Rule 13d-3 under the Exchange Act), directly or indirectly, of securities of the Company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representing 50% or more of the combined voting power of the Company’s then outstanding securities ordinarily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apart from rights accruing under special circumstances) having the right to vote at elections of directors (the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Base Capital Stock”); except that any change in the relative beneficial ownership of the Company’s securities by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any person resulting solely from a reduction in the aggregate number of outstanding Shares of Base Capital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any decrease thereafter in such person’s ownership of securities, shall be disregarded until such person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increases in any manner, directly or indirectly, such person’s beneficial ownership of any securities of the Company;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(iii)The consummation of a merger or consolidation of the Company or a Subsidiary of the Company with or into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another entity or any other corporate reorganization, if persons who were not stockholders of the Company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immediately prior to such merger, consolidation or other reorganization own immediately after such merger,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consolidation or other reorganization 50% or more of the voting power of the outstanding securities of each of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 (or its successor) and (B) any direct or indirect parent corporation of the Company (or its successor);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(iv)The sale, transfer, or other disposition of all or substantially all of the Company’s assets.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 purposes of subsection (j)(i) above, the term “look-back” date means the later of  (1) the Effective Date and (2) the date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that is 24 months prior to the date of the event that may constitute a Change in Control.</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 purposes of subsection (j)(ii) above, the term “person” shall have the same meaning as when used in Sections 13(d)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14(d) of the Exchange Act, but shall exclude (1) a trustee or other fiduciary holding securities under an employee benefit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plan maintained by the Company or a Parent or Subsidiary and (2) a corporation owned directly or indirectly by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stockholders of the Company in substantially the same proportions as their ownership of the Stock.</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Any other provision of this Section 2(j) notwithstanding, a transaction shall not constitute a Change in Control if its sole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purpose is to change the state of the Company’s incorporation or to create a holding company that will be owned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substantially the same proportions by the persons who held the Company’s securities immediately before such transaction,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a Change in Control shall not be deemed to occur if the Company files a registration statement with the United States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Securities and Exchange Commission in connection with an initial or secondary public offering of securities or debt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Company to the public.</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(k)</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Code” means the United States Internal Revenue Code of 1986, as amended, and the rules and regulations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promulgated thereunder.</w:t>
      </w:r>
    </w:p>
    <w:tbl>
      <w:tblPr>
        <w:tblW w:w="1971" w:type="dxa"/>
        <w:jc w:val="left"/>
        <w:tblInd w:w="0" w:type="dxa"/>
        <w:tblLayout w:type="fixed"/>
        <w:tblCellMar>
          <w:top w:w="28" w:type="dxa"/>
          <w:left w:w="28" w:type="dxa"/>
          <w:bottom w:w="28" w:type="dxa"/>
          <w:right w:w="28" w:type="dxa"/>
        </w:tblCellMar>
      </w:tblPr>
      <w:tblGrid>
        <w:gridCol w:w="1501"/>
        <w:gridCol w:w="109"/>
        <w:gridCol w:w="36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A-3</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(l)</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Committee” means the Compensation and Human Capital Committee as designated by the Board, which 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authorized to administer the Plan, as described in Section 3 hereof.</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(m)</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Company” means Lucid Group, Inc., a Delaware corporation, or any successor thereto.</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(n)</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Consultant” means a natural person who is a consultant or advisor and who provides bona fide services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 a Parent, a Subsidiary, or an Affiliate as an independent contractor (not including service as a member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Board) or a member of the Board of a Parent or a Subsidiary, in each case who is not an Employee, provided that such bona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fide services shall not be in connection with the offer or sale of securities in a capital-raising transaction and do not directly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or indirectly promote or maintain a market for the Company’s securities.</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(o)</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Disability” means any permanent and total disability as defined by Section 22(e)(3) of the Code.</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(p)</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Effective Date” means the original effective date of this Plan, which was July 23, 2021, the date of the closing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transactions contemplated by the Agreement and Plan of Merger by and among Churchill Capital Corp IV, a Delaware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corporation (the “SPAC”), a new wholly-owned subsidiary of the SPAC and the Company, dated as of February 22, 2021 (the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Merger Agreement”).</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(q)</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Employee” means any individual who is a common-law employee of the Company, a Parent, a Subsidiary, or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Affiliate.</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(r)</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ESPP Addendum” means the Lucid Group, Inc. Amended and Restated 2021 Employee Stock Purchase Plan </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 xml:space="preserve">attached to this Plan as </w:t>
      </w:r>
      <w:r>
        <w:rPr>
          <w:rFonts w:ascii="Arial;sans-serif" w:hAnsi="Arial;sans-serif"/>
          <w:b w:val="false"/>
          <w:i w:val="false"/>
          <w:caps w:val="false"/>
          <w:smallCaps w:val="false"/>
          <w:sz w:val="18"/>
          <w:u w:val="single"/>
        </w:rPr>
        <w:t>Exhibit A</w:t>
      </w:r>
      <w:r>
        <w:rPr>
          <w:rFonts w:ascii="Arial;sans-serif" w:hAnsi="Arial;sans-serif"/>
          <w:b w:val="false"/>
          <w:i w:val="false"/>
          <w:caps w:val="false"/>
          <w:smallCaps w:val="false"/>
          <w:strike w:val="false"/>
          <w:dstrike w:val="false"/>
          <w:sz w:val="18"/>
          <w:u w:val="none"/>
          <w:effect w:val="none"/>
        </w:rPr>
        <w:t>.</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(s)</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Exchange Act” means the United States Securities Exchange Act of 1934, as amended, and the rules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regulations promulgated thereunder.</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(t)</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Exercise Price” means, in the case of an Option, the amount for which one Share may be purchased upon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exercise of such Option, as specified in the applicable Option Award Agreement. “Exercise Price” means, in the case of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SAR, an amount, as specified in the applicable SAR Award Agreement, which is subtracted from the Fair Market Value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one Share in determining the amount payable upon exercise of such SAR.</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(u)</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Fair Market Value” with respect to a Share, means the market price of one Share, determined by the Committee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follows: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(i)If the Stock was traded over-the-counter on the date in question, then the Fair Market Value shall be equal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last transaction price quoted for such date by the OTC Bulletin Board or, if not so quoted, shall be equal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mean between the last reported representative bid and asked prices quoted for such date by the principal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automated inter-dealer quotation system on which the Stock is quoted or, if the Stock is not quoted on any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system, by the Pink Quote system;</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(ii)If the Stock was traded on any established stock exchange (such as the New York Stock Exchange, The Nasdaq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Global Market or The Nasdaq Global Select Market) or national market system on the date in question, then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Fair Market Value shall be equal to the closing price reported for such date by the applicable exchange or system;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(iii)If none of the foregoing provisions is applicable, then the Fair Market Value shall be determined by the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 good faith on such basis as it deems appropriate.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 all cases, the determination of Fair Market Value by the Committee shall be conclusive and binding on all persons.</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(v)</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ISO” means an employee incentive stock option described in Section 422 of the Code.</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(w)</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Nonstatutory Option” or “NSO” means an employee stock option that is not an ISO or a Stock Purchase Right.</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(x)</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Option” means an ISO or NSO granted under the Plan and entitling the holder to purchase Shares.</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(y)</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Outside Director” means a member of the Board who is not a common-law employee of, or paid consultant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Company, a Parent or a Subsidiary.</w:t>
      </w:r>
    </w:p>
    <w:tbl>
      <w:tblPr>
        <w:tblW w:w="1971" w:type="dxa"/>
        <w:jc w:val="left"/>
        <w:tblInd w:w="0" w:type="dxa"/>
        <w:tblLayout w:type="fixed"/>
        <w:tblCellMar>
          <w:top w:w="28" w:type="dxa"/>
          <w:left w:w="28" w:type="dxa"/>
          <w:bottom w:w="28" w:type="dxa"/>
          <w:right w:w="28" w:type="dxa"/>
        </w:tblCellMar>
      </w:tblPr>
      <w:tblGrid>
        <w:gridCol w:w="331"/>
        <w:gridCol w:w="109"/>
        <w:gridCol w:w="1531"/>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A-4</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(z)</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Parent” means any corporation (other than the Company) in an unbroken chain of corporations ending with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 if each of the corporations other than the Company owns stock possessing 50% or more of the total combined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voting power of all classes of stock in one of the other corporations in such chain. A corporation that attains the status of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Parent on a date after the adoption of the Plan shall be a Parent commencing as of such date.</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(aa)</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Participant” means a person who holds an Award.</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(bb)</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Plan” means this Amended and Restated 2021 Stock Incentive Plan of Lucid Group, Inc., as amended from time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time.</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(cc)</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Purchase Price” means the consideration for which one Share may be acquired under the Plan (other than upon (i)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exercise of an Option or (ii) exercise of any Stock Purchase Right under the ESPP Addendum), as specified by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Committee.</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(dd)</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Restatement Date” means the date of the Company’s 2022 Annual Meeting of Stockholders, “Second Restatement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Date” means the date of the Company’s 2023 Annual Meeting of Stockholders, “Third Restatement Date” means the date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Company’s 2024 Annual Meeting of Stockholders, “Fourth Restatement Date” means the date of the Company’s 2025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Annual Meeting of Stockholders, and “Fifth Restatement Date” means the date of the Company’s 2026 Annual Meeting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Stockholders.</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(ee)</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Restricted Share” means a Share awarded under the Plan.</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(ff)</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Restricted Stock Unit” means a bookkeeping entry representing the Company’s obligation to deliver one Share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distribute cash) on a future date in accordance with the provisions of a Restricted Stock Unit Award Agreement.</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(gg)</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SAR” means a stock appreciation right granted under the Plan.</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(hh)</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Section 409A” means Section 409A of the Code and any regulations or guidance promulgated thereunder.</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(ii)</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Securities Act” means the United States Securities Act of 1933, as amended, the rules and regulations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promulgated thereunder.</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(jj)</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Service” means service as an Employee, Consultant or Outside Director, subject to such further limitations as may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 set forth in the Plan or the applicable Award Agreement. Service does not terminate when an Employee goes on a bona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fide leave of absence that was approved by the Company in writing, if the terms of the leave provide for continued Service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crediting, or when continued Service crediting is required by applicable law. However, for purposes of determining whether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 Option is entitled to ISO status, an Employee’s employment will be treated as terminating three months after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Employee went on leave, unless such Employee’s right to return to active work is guaranteed by law or by a contract.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Service terminates in any event when the approved leave ends, unless such Employee immediately returns to active work.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 determines which leaves of absence count toward Service, and when Service terminates for all purposes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under the Plan.</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(kk)</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Share” means one Share of Stock, as adjusted in accordance with Section 13 (if applicable).</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(ll)</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Stock” means the common stock of the Company, par value $0.0001.</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(mm)</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Stock Purchase Right” means an option to purchase Shares granted pursuant to the ESPP Addendum.</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(nn)</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Subsidiary” means any corporation, if the Company owns and/or one or more other Subsidiaries own not less than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50% of the total combined voting power of all classes of outstanding stock of such corporation. A corporation that attains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status of a Subsidiary on a date after the adoption of the Plan shall be considered a Subsidiary commencing as of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date. The determination of whether an entity is a “Subsidiary” shall be made in accordance with Section 424(f)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3.  ADMINISTRATION.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w:t>
      </w:r>
      <w:r>
        <w:rPr>
          <w:rFonts w:ascii="Arial;sans-serif" w:hAnsi="Arial;sans-serif"/>
          <w:b w:val="false"/>
          <w:i/>
          <w:strike w:val="false"/>
          <w:dstrike w:val="false"/>
          <w:sz w:val="18"/>
          <w:u w:val="none"/>
          <w:effect w:val="none"/>
        </w:rPr>
        <w:t>Committee Composition</w:t>
      </w:r>
      <w:r>
        <w:rPr>
          <w:rFonts w:ascii="Arial;sans-serif" w:hAnsi="Arial;sans-serif"/>
          <w:b w:val="false"/>
          <w:i w:val="false"/>
          <w:caps w:val="false"/>
          <w:smallCaps w:val="false"/>
          <w:strike w:val="false"/>
          <w:dstrike w:val="false"/>
          <w:sz w:val="18"/>
          <w:u w:val="none"/>
          <w:effect w:val="none"/>
        </w:rPr>
        <w:t xml:space="preserve">.  The Plan shall be administered by a Committee appointed by the Board, or by the Board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acting as the Committee. The Committee shall consist of two or more directors of the Company. In addition, to the extent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required by the Board, the composition of the Committee shall satisfy such requirements of the New York Stock Exchange </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w:t>
      </w:r>
      <w:r>
        <w:rPr>
          <w:rFonts w:ascii="Arial;sans-serif" w:hAnsi="Arial;sans-serif"/>
          <w:b/>
          <w:i w:val="false"/>
          <w:caps w:val="false"/>
          <w:smallCaps w:val="false"/>
          <w:strike w:val="false"/>
          <w:dstrike w:val="false"/>
          <w:sz w:val="18"/>
          <w:u w:val="none"/>
          <w:effect w:val="none"/>
        </w:rPr>
        <w:t>NYSE</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or the Nasdaq Stock Market (“</w:t>
      </w:r>
      <w:r>
        <w:rPr>
          <w:rFonts w:ascii="Arial;sans-serif" w:hAnsi="Arial;sans-serif"/>
          <w:b/>
          <w:i w:val="false"/>
          <w:caps w:val="false"/>
          <w:smallCaps w:val="false"/>
          <w:strike w:val="false"/>
          <w:dstrike w:val="false"/>
          <w:sz w:val="18"/>
          <w:u w:val="none"/>
          <w:effect w:val="none"/>
        </w:rPr>
        <w:t>Nasdaq</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 as applicable, and as the Securities and Exchange Commission may </w:t>
      </w:r>
    </w:p>
    <w:tbl>
      <w:tblPr>
        <w:tblW w:w="1971" w:type="dxa"/>
        <w:jc w:val="left"/>
        <w:tblInd w:w="0" w:type="dxa"/>
        <w:tblLayout w:type="fixed"/>
        <w:tblCellMar>
          <w:top w:w="28" w:type="dxa"/>
          <w:left w:w="28" w:type="dxa"/>
          <w:bottom w:w="28" w:type="dxa"/>
          <w:right w:w="28" w:type="dxa"/>
        </w:tblCellMar>
      </w:tblPr>
      <w:tblGrid>
        <w:gridCol w:w="1501"/>
        <w:gridCol w:w="109"/>
        <w:gridCol w:w="36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A-5</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establish for administrators acting under plans intended to qualify for exemption under Rule 16b-3 (or its successor) under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w:t>
      </w:r>
      <w:r>
        <w:rPr>
          <w:rFonts w:ascii="Arial;sans-serif" w:hAnsi="Arial;sans-serif"/>
          <w:b w:val="false"/>
          <w:i/>
          <w:strike w:val="false"/>
          <w:dstrike w:val="false"/>
          <w:sz w:val="18"/>
          <w:u w:val="none"/>
          <w:effect w:val="none"/>
        </w:rPr>
        <w:t>Committee Appointment</w:t>
      </w:r>
      <w:r>
        <w:rPr>
          <w:rFonts w:ascii="Arial;sans-serif" w:hAnsi="Arial;sans-serif"/>
          <w:b w:val="false"/>
          <w:i w:val="false"/>
          <w:caps w:val="false"/>
          <w:smallCaps w:val="false"/>
          <w:strike w:val="false"/>
          <w:dstrike w:val="false"/>
          <w:sz w:val="18"/>
          <w:u w:val="none"/>
          <w:effect w:val="none"/>
        </w:rPr>
        <w:t xml:space="preserve">.  The Board may also appoint one or more separate committees of the Board, each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composed of one or more directors of the Company who need not satisfy the requirements of Section 3(a), who may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administer the Plan, grant Awards under the Plan and determine all terms of such grants, in each case with respect to 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Employees, Consultants and Outside Directors (except such as may be on such committee), provided that such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committees may perform these functions only with respect to Employees who are not considered officers or directors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 under Section 16 of the Exchange Act. Within the limitations of the preceding sentence, any reference 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Plan to the Committee shall include such committee or committees appointed pursuant to the preceding sentence.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extent permitted by applicable laws, the Board or Committee may also authorize one or more officers of the Company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designate Employees, other than officers under Section 16 of the Exchange Act, to receive Awards and/or to determine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number of such Awards to be received by such persons; provided, however, that the Board or Committee shall specify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total number of Awards that such officers may so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w:t>
      </w:r>
      <w:r>
        <w:rPr>
          <w:rFonts w:ascii="Arial;sans-serif" w:hAnsi="Arial;sans-serif"/>
          <w:b w:val="false"/>
          <w:i/>
          <w:strike w:val="false"/>
          <w:dstrike w:val="false"/>
          <w:sz w:val="18"/>
          <w:u w:val="none"/>
          <w:effect w:val="none"/>
        </w:rPr>
        <w:t>Committee Responsibilities</w:t>
      </w:r>
      <w:r>
        <w:rPr>
          <w:rFonts w:ascii="Arial;sans-serif" w:hAnsi="Arial;sans-serif"/>
          <w:b w:val="false"/>
          <w:i w:val="false"/>
          <w:caps w:val="false"/>
          <w:smallCaps w:val="false"/>
          <w:strike w:val="false"/>
          <w:dstrike w:val="false"/>
          <w:sz w:val="18"/>
          <w:u w:val="none"/>
          <w:effect w:val="none"/>
        </w:rPr>
        <w:t xml:space="preserve">.  Subject to the provisions of the Plan, the Committee shall have full authority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discretion to take the following actions: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(i)To interpret the Plan and to apply its provisions;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(ii)To adopt, amend, or rescind rules, procedures, and forms relating to the Plan;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(iii)To adopt, amend, or terminate (A) the ESPP Addendum and (B) any sub-plans established for the purpose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satisfying applicable foreign laws including qualifying for preferred tax treatment under applicable foreign tax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laws;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(iv)To authorize any person to execute, on behalf of the Company, any instrument required to carry out the purposes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of the Plan;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(v)To determine when Awards are to be granted under the Plan;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(vi)To select the Participants to whom Awards are to be granted;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(vii)To determine the type of Award and number of Shares or amount of cash to be made subject to each Award;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(viii)To prescribe the terms and conditions of each Award, including (without limitation) the Exercise Price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Purchase Price of any Award, and the vesting or duration of the Award (including accelerating the vesting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Awards, either at the time of the Award or thereafter, without the consent of the Participant), to determine whether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 Option is to be classified as an ISO or as an NSO, to specify the provisions of the agreement relating to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 and to determine and establish the terms and conditions of any Stock Purchase Right granted pursuant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ESPP Addendum;</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(ix)To amend any outstanding Award Agreement, subject to applicable legal restrictions and to the consent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Participant if the Participant’s rights or obligations would be materially impaired;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(x)To prescribe the consideration for the grant of each Award or other right under the Plan and to determine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sufficiency of such consideration;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(xi)To determine the disposition of each Award or other right under the Plan in the event of a Participant’s divorce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dissolution of marriage;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(xii)To determine whether Awards under the Plan will be granted in replacement of other grants under an incentive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other compensation plan of an acquired business;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(xiii)To correct any defect, supply any omission, or reconcile any inconsistency in the Plan or any Award Agreement;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(xiv)To establish or verify the extent of satisfaction of any performance goals or other conditions applicable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grant, issuance, exercisability, vesting, and/or ability to retain any Award;</w:t>
      </w:r>
    </w:p>
    <w:tbl>
      <w:tblPr>
        <w:tblW w:w="1971" w:type="dxa"/>
        <w:jc w:val="left"/>
        <w:tblInd w:w="0" w:type="dxa"/>
        <w:tblLayout w:type="fixed"/>
        <w:tblCellMar>
          <w:top w:w="28" w:type="dxa"/>
          <w:left w:w="28" w:type="dxa"/>
          <w:bottom w:w="28" w:type="dxa"/>
          <w:right w:w="28" w:type="dxa"/>
        </w:tblCellMar>
      </w:tblPr>
      <w:tblGrid>
        <w:gridCol w:w="331"/>
        <w:gridCol w:w="109"/>
        <w:gridCol w:w="1531"/>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A-6</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(xv)to administer the ESPP Addendum and exercise such authority and take such actions as set forth in the ESPP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Addendum; and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(xvi)To take any other actions deemed necessary or advisable for the administration of the Plan.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Subject to the requirements of applicable law, the Committee may designate persons other than members of the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carry out its responsibilities and may prescribe such conditions and limitations as it may deem appropriate, except that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may not delegate its authority with regard to the selection for participation of or the granting of Awards under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Plan to persons subject to Section 16 of the Exchange Act. All decisions, interpretations and other actions of the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shall be final and binding on all Participants and all persons deriving their rights from a Participant. Consistent with Article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VIII of the Company’s Third Amended and Restated Certificate of Incorporation (or any successor provision), and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fullest extent permitted by applicable law (as it now exists and as it may hereafter be amended), no member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shall be liable for any action that he has taken or has failed to take in good faith with respect to the Plan or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Award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4.  ELIGIBILITY.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w:t>
      </w:r>
      <w:r>
        <w:rPr>
          <w:rFonts w:ascii="Arial;sans-serif" w:hAnsi="Arial;sans-serif"/>
          <w:b w:val="false"/>
          <w:i/>
          <w:strike w:val="false"/>
          <w:dstrike w:val="false"/>
          <w:sz w:val="18"/>
          <w:u w:val="none"/>
          <w:effect w:val="none"/>
        </w:rPr>
        <w:t>General Rule</w:t>
      </w:r>
      <w:r>
        <w:rPr>
          <w:rFonts w:ascii="Arial;sans-serif" w:hAnsi="Arial;sans-serif"/>
          <w:b w:val="false"/>
          <w:i w:val="false"/>
          <w:caps w:val="false"/>
          <w:smallCaps w:val="false"/>
          <w:strike w:val="false"/>
          <w:dstrike w:val="false"/>
          <w:sz w:val="18"/>
          <w:u w:val="none"/>
          <w:effect w:val="none"/>
        </w:rPr>
        <w:t xml:space="preserve">.  Only Employees, Consultants and Outside Directors shall be eligible for the grant of Awards. Only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common- law employees of the Company, a Parent, or a Subsidiary shall be eligible for the grant of ISOs and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Purchase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w:t>
      </w:r>
      <w:r>
        <w:rPr>
          <w:rFonts w:ascii="Arial;sans-serif" w:hAnsi="Arial;sans-serif"/>
          <w:b w:val="false"/>
          <w:i/>
          <w:strike w:val="false"/>
          <w:dstrike w:val="false"/>
          <w:sz w:val="18"/>
          <w:u w:val="none"/>
          <w:effect w:val="none"/>
        </w:rPr>
        <w:t>Ten-Percent Stockholders</w:t>
      </w:r>
      <w:r>
        <w:rPr>
          <w:rFonts w:ascii="Arial;sans-serif" w:hAnsi="Arial;sans-serif"/>
          <w:b w:val="false"/>
          <w:i w:val="false"/>
          <w:caps w:val="false"/>
          <w:smallCaps w:val="false"/>
          <w:strike w:val="false"/>
          <w:dstrike w:val="false"/>
          <w:sz w:val="18"/>
          <w:u w:val="none"/>
          <w:effect w:val="none"/>
        </w:rPr>
        <w:t xml:space="preserve">.  An Employee who owns more than 10% of the total combined voting power of 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classes of outstanding stock of the Company, a Parent or Subsidiary shall not be eligible for the grant of an ISO unless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grant satisfies the requirements of Section 422(c)(5)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w:t>
      </w:r>
      <w:r>
        <w:rPr>
          <w:rFonts w:ascii="Arial;sans-serif" w:hAnsi="Arial;sans-serif"/>
          <w:b w:val="false"/>
          <w:i/>
          <w:strike w:val="false"/>
          <w:dstrike w:val="false"/>
          <w:sz w:val="18"/>
          <w:u w:val="none"/>
          <w:effect w:val="none"/>
        </w:rPr>
        <w:t>Attribution Rules</w:t>
      </w:r>
      <w:r>
        <w:rPr>
          <w:rFonts w:ascii="Arial;sans-serif" w:hAnsi="Arial;sans-serif"/>
          <w:b w:val="false"/>
          <w:i w:val="false"/>
          <w:caps w:val="false"/>
          <w:smallCaps w:val="false"/>
          <w:strike w:val="false"/>
          <w:dstrike w:val="false"/>
          <w:sz w:val="18"/>
          <w:u w:val="none"/>
          <w:effect w:val="none"/>
        </w:rPr>
        <w:t xml:space="preserve">.  For purposes of Section 4(b) above, in determining stock ownership, an Employee shall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deemed to own the stock owned, directly or indirectly, by or for such Employee’s brothers, sisters, spouse, ancestors,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lineal descendants. Stock owned, directly or indirectly, by or for a corporation, partnership, estate, or trust shall be deemed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to be owned proportionately by or for its stockholders, partners, or beneficiaries.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(d)</w:t>
      </w:r>
      <w:r>
        <w:rPr>
          <w:rFonts w:ascii="Arial;sans-serif" w:hAnsi="Arial;sans-serif"/>
          <w:b w:val="false"/>
          <w:i/>
          <w:strike w:val="false"/>
          <w:dstrike w:val="false"/>
          <w:sz w:val="18"/>
          <w:u w:val="none"/>
          <w:effect w:val="none"/>
        </w:rPr>
        <w:t>Outstanding Stock</w:t>
      </w:r>
      <w:r>
        <w:rPr>
          <w:rFonts w:ascii="Arial;sans-serif" w:hAnsi="Arial;sans-serif"/>
          <w:b w:val="false"/>
          <w:i w:val="false"/>
          <w:caps w:val="false"/>
          <w:smallCaps w:val="false"/>
          <w:strike w:val="false"/>
          <w:dstrike w:val="false"/>
          <w:sz w:val="18"/>
          <w:u w:val="none"/>
          <w:effect w:val="none"/>
        </w:rPr>
        <w:t xml:space="preserve">.  For purposes of Section 4(b) above, “outstanding stock” shall include all stock actually issued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outstanding immediately after the grant. “Outstanding stock” shall not include Shares authorized for issuance under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outstanding options held by the Employee or by any other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5.  STOCK SUBJECT TO PLAN; DIRECTOR COMPENSATION LIMIT.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pPr>
      <w:r>
        <w:rPr>
          <w:rFonts w:ascii="Times New Roman;serif" w:hAnsi="Times New Roman;serif"/>
          <w:b w:val="false"/>
          <w:i w:val="false"/>
          <w:caps w:val="false"/>
          <w:smallCaps w:val="false"/>
          <w:strike w:val="false"/>
          <w:dstrike w:val="false"/>
          <w:sz w:val="24"/>
          <w:u w:val="none"/>
          <w:effect w:val="none"/>
        </w:rPr>
        <w:t>(a)</w:t>
      </w:r>
      <w:r>
        <w:rPr>
          <w:rFonts w:ascii="Arial;sans-serif" w:hAnsi="Arial;sans-serif"/>
          <w:b w:val="false"/>
          <w:i/>
          <w:strike w:val="false"/>
          <w:dstrike w:val="false"/>
          <w:sz w:val="18"/>
          <w:u w:val="none"/>
          <w:effect w:val="none"/>
        </w:rPr>
        <w:t>Basic Limitation</w:t>
      </w:r>
      <w:r>
        <w:rPr>
          <w:rFonts w:ascii="Arial;sans-serif" w:hAnsi="Arial;sans-serif"/>
          <w:b w:val="false"/>
          <w:i w:val="false"/>
          <w:caps w:val="false"/>
          <w:smallCaps w:val="false"/>
          <w:strike w:val="false"/>
          <w:dstrike w:val="false"/>
          <w:sz w:val="18"/>
          <w:u w:val="none"/>
          <w:effect w:val="none"/>
        </w:rPr>
        <w:t xml:space="preserve">.  Shares offered under the Plan shall be authorized but unissued Shares or treasury Shares. As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Fifth Restatement Date, the maximum aggregate number of Shares authorized for issuance as Awards under the Plan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or after the Effective Date shall not exceed the sum of  (x) 61,366,924 Shares (consisting of the following amounts,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equitably adjusted to reflect the reverse stock split at a ratio of one-for-ten of the Company’s Stock effected on August 29,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2025 with respect to increases approved by the Board prior to August 29, 2025: (i) 23,500,000 Shares approved by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Board on April 21, 2026; (ii) 18,400,000 Shares approved by the Board on April 22, 2025, (iii) 11,900,000 Shares approved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by the Board on April 22, 2024, (iv) 3,916,657 Shares approved by the Board on March 2, 2023, (v) 1,500,000 Shares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approved by the Board on April 27, 2022, (vi) 1,250,000 Shares initially authorized for issuance under the Plan as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Effective Date and (vii) an additional 900,267 Shares initially authorized under the Plan as of the Effective Date which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represents the number of Shares equal to the number of unallocated shares of stock of Atieva, Inc. remaining available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issuance under the 2021 Plan, 2014 Plan and 2009 Plan as of the Effective Date (as adjusted by the conversion ratio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pursuant to the terms of the Merger Agreement in connection with the consummation of the transactions contemplated by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Merger Agreement)), plus (y) the Returning Shares, if any, which become available for grant under this Plan from time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time on or after the Effective Date. Notwithstanding the foregoing, the number of Shares that may be delivered 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aggregate pursuant to the exercise of ISOs granted under the Plan on or after the Effective Date shall not exceed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61,336,924 Shares (on a reverse stock split-adjusted basis) plus, to the extent allowable under Section 422 of the Code,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that become available for issuance under the Plan pursuant to Section 5(c). In addition, notwithstanding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foregoing, the number of Shares that may be delivered in the aggregate pursuant to the exercise of Stock Purchase Rights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granted under the Plan and the ESPP Addendum on or after the Effective Date shall not exceed 61,366,924 Shares.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limitations of this Section 5(a) shall be subject to adjustment pursuant to Section 13. The number of Shares that are subject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Awards outstanding at any time under the Plan shall not exceed the number of Shares which then remain available for </w:t>
      </w:r>
    </w:p>
    <w:tbl>
      <w:tblPr>
        <w:tblW w:w="1971" w:type="dxa"/>
        <w:jc w:val="left"/>
        <w:tblInd w:w="0" w:type="dxa"/>
        <w:tblLayout w:type="fixed"/>
        <w:tblCellMar>
          <w:top w:w="28" w:type="dxa"/>
          <w:left w:w="28" w:type="dxa"/>
          <w:bottom w:w="28" w:type="dxa"/>
          <w:right w:w="28" w:type="dxa"/>
        </w:tblCellMar>
      </w:tblPr>
      <w:tblGrid>
        <w:gridCol w:w="1501"/>
        <w:gridCol w:w="109"/>
        <w:gridCol w:w="36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A-7</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issuance under the Plan. The Company shall at all times reserve and keep available sufficient Shares to satisfy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requirements of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w:t>
      </w:r>
      <w:r>
        <w:rPr>
          <w:rFonts w:ascii="Arial;sans-serif" w:hAnsi="Arial;sans-serif"/>
          <w:b w:val="false"/>
          <w:i/>
          <w:strike w:val="false"/>
          <w:dstrike w:val="false"/>
          <w:sz w:val="18"/>
          <w:u w:val="none"/>
          <w:effect w:val="none"/>
        </w:rPr>
        <w:t>Additional Shares</w:t>
      </w:r>
      <w:r>
        <w:rPr>
          <w:rFonts w:ascii="Arial;sans-serif" w:hAnsi="Arial;sans-serif"/>
          <w:b w:val="false"/>
          <w:i w:val="false"/>
          <w:caps w:val="false"/>
          <w:smallCaps w:val="false"/>
          <w:strike w:val="false"/>
          <w:dstrike w:val="false"/>
          <w:sz w:val="18"/>
          <w:u w:val="none"/>
          <w:effect w:val="none"/>
        </w:rPr>
        <w:t xml:space="preserve">.  If Restricted Shares or Shares issued upon the exercise of options are forfeited, then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shall again become available for Awards under the Plan. If Restricted Stock Units, Options, SARs or Stock Purchase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Rights are forfeited or terminate for any reason before being exercised or settled, or an Award is settled in cash without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delivery of Shares to the holder, then the corresponding Shares shall again become available for Awards under the Plan. If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Restricted Stock Units or SARs are settled, then only the number of Shares (if any) actually issued in settlement of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Restricted Stock Units or SARs shall reduce the number available in Section 5(a) and the balance (including any Shares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withheld to satisfy tax withholding obligations) shall again become available for Awards under the Plan. Any Shares withheld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satisfy the Exercise Price or tax withholding obligation pursuant to any Award of Options or SARs shall be added back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Shares available for Awards under the Plan. Notwithstanding the foregoing provisions of this Section 5(b), Shares that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have actually been issued shall not again become available for Awards under the Plan, except for Shares that are forfeited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do not become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w:t>
      </w:r>
      <w:r>
        <w:rPr>
          <w:rFonts w:ascii="Arial;sans-serif" w:hAnsi="Arial;sans-serif"/>
          <w:b w:val="false"/>
          <w:i/>
          <w:strike w:val="false"/>
          <w:dstrike w:val="false"/>
          <w:sz w:val="18"/>
          <w:u w:val="none"/>
          <w:effect w:val="none"/>
        </w:rPr>
        <w:t>Substitution and Assumption of Awards</w:t>
      </w:r>
      <w:r>
        <w:rPr>
          <w:rFonts w:ascii="Arial;sans-serif" w:hAnsi="Arial;sans-serif"/>
          <w:b w:val="false"/>
          <w:i w:val="false"/>
          <w:caps w:val="false"/>
          <w:smallCaps w:val="false"/>
          <w:strike w:val="false"/>
          <w:dstrike w:val="false"/>
          <w:sz w:val="18"/>
          <w:u w:val="none"/>
          <w:effect w:val="none"/>
        </w:rPr>
        <w:t xml:space="preserve">.  The Committee may make Awards under the Plan by assumption,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substitution, or replacement of stock options, stock appreciation rights, restricted stock units, or similar awards granted by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another entity (including a Parent or Subsidiary), if such assumption, substitution, or replacement is in connection with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asset acquisition, stock acquisition, merger, consolidation, or similar transaction involving the Company (and/or its Parent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Subsidiary) and such other entity (and/or its affiliate). The terms of such assumed, substituted, or replaced Awards shall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the Committee, in its discretion, determines is appropriate, notwithstanding limitations on Awards in the Plan. Any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substitute or assumed Awards shall not count against the Share limitation set forth in Section 5(a) (nor shall Shares subject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such Awards be added to the Shares available for Awards under the Plan as provided in Section 5(b) above), except that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acquired by exercise of substitute ISOs will count against the maximum number of Shares that may be issued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pursuant to the exercise of ISOs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(d)</w:t>
      </w:r>
      <w:r>
        <w:rPr>
          <w:rFonts w:ascii="Arial;sans-serif" w:hAnsi="Arial;sans-serif"/>
          <w:b w:val="false"/>
          <w:i/>
          <w:strike w:val="false"/>
          <w:dstrike w:val="false"/>
          <w:sz w:val="18"/>
          <w:u w:val="none"/>
          <w:effect w:val="none"/>
        </w:rPr>
        <w:t>Outside Director Compensation Limit</w:t>
      </w:r>
      <w:r>
        <w:rPr>
          <w:rFonts w:ascii="Arial;sans-serif" w:hAnsi="Arial;sans-serif"/>
          <w:b w:val="false"/>
          <w:i w:val="false"/>
          <w:caps w:val="false"/>
          <w:smallCaps w:val="false"/>
          <w:strike w:val="false"/>
          <w:dstrike w:val="false"/>
          <w:sz w:val="18"/>
          <w:u w:val="none"/>
          <w:effect w:val="none"/>
        </w:rPr>
        <w:t xml:space="preserve">.  The maximum number of Shares subject to Awards granted under the Plan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otherwise during any one calendar year to any Outside Director, taken together with any cash fees paid by the Company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such Outside Director during such calendar year for service on the Board (excluding any arrangements entered into prior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the Effective Date), will not exceed seven-hundred and fifty thousand dollars ($750,000) in total value (calculating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value of any such Awards based on the grant date fair value of such Awards for financial reporting purposes, or, with respect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to the calendar year in which an Outside Director is first appointed or elected to the Board, one-million dollars ($1,000,000)).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(e)</w:t>
      </w:r>
      <w:r>
        <w:rPr>
          <w:rFonts w:ascii="Arial;sans-serif" w:hAnsi="Arial;sans-serif"/>
          <w:b w:val="false"/>
          <w:i/>
          <w:strike w:val="false"/>
          <w:dstrike w:val="false"/>
          <w:sz w:val="18"/>
          <w:u w:val="none"/>
          <w:effect w:val="none"/>
        </w:rPr>
        <w:t>No Repricing</w:t>
      </w:r>
      <w:r>
        <w:rPr>
          <w:rFonts w:ascii="Arial;sans-serif" w:hAnsi="Arial;sans-serif"/>
          <w:b w:val="false"/>
          <w:i w:val="false"/>
          <w:caps w:val="false"/>
          <w:smallCaps w:val="false"/>
          <w:strike w:val="false"/>
          <w:dstrike w:val="false"/>
          <w:sz w:val="18"/>
          <w:u w:val="none"/>
          <w:effect w:val="none"/>
        </w:rPr>
        <w:t xml:space="preserve">.  Notwithstanding any other provision of the Plan to the contrary, except in connection with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corporate transaction involving the Company (including, without limitation, a Change in Control and any transaction or event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described in Section 13), the Committee may not, without stockholder approval, (X) effect any re-pricing or buyout of any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underwater” Option or SAR, including by: (i) amending or modifying the terms of the Option or SAR to lower the exercise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price; (ii) cancelling the underwater Option or SAR and granting in exchange therefor either (A) replacement Options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SARs having a lower exercise price or (B) Restricted Shares or Restricted Stock Units; or (iii) cancelling or repurchasing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underwater Options or SARs for cash or other securities or (Y) take any other action with respect to an Option or SAR that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would be treated as a repricing under the rules and regulations of the principal securities market on which Stock is traded.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Any amendment or repeal of this Section 5(e) shall require the approval of the stockholders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(f)</w:t>
      </w:r>
      <w:r>
        <w:rPr>
          <w:rFonts w:ascii="Arial;sans-serif" w:hAnsi="Arial;sans-serif"/>
          <w:b w:val="false"/>
          <w:i/>
          <w:strike w:val="false"/>
          <w:dstrike w:val="false"/>
          <w:sz w:val="18"/>
          <w:u w:val="none"/>
          <w:effect w:val="none"/>
        </w:rPr>
        <w:t>Prohibition on Dividends on Unvested Awards</w:t>
      </w:r>
      <w:r>
        <w:rPr>
          <w:rFonts w:ascii="Arial;sans-serif" w:hAnsi="Arial;sans-serif"/>
          <w:b w:val="false"/>
          <w:i w:val="false"/>
          <w:caps w:val="false"/>
          <w:smallCaps w:val="false"/>
          <w:strike w:val="false"/>
          <w:dstrike w:val="false"/>
          <w:sz w:val="18"/>
          <w:u w:val="none"/>
          <w:effect w:val="none"/>
        </w:rPr>
        <w:t xml:space="preserve">.  Dividends or dividend equivalents may be credited on behalf of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 with respect to the unvested portion of an Award, in accordance with the other terms of the Plan (and applicable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 Agreement). However, for the avoidance of doubt, in no event shall any dividends or dividend equivalents credited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with respect to the unvested portion of an Award be distributed to the Participant unless or until such unvested portion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Award has been earned (if applicable) and has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6.  RESTRICTED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w:t>
      </w:r>
      <w:r>
        <w:rPr>
          <w:rFonts w:ascii="Arial;sans-serif" w:hAnsi="Arial;sans-serif"/>
          <w:b w:val="false"/>
          <w:i/>
          <w:strike w:val="false"/>
          <w:dstrike w:val="false"/>
          <w:sz w:val="18"/>
          <w:u w:val="none"/>
          <w:effect w:val="none"/>
        </w:rPr>
        <w:t>Restricted Share Award Agreement</w:t>
      </w:r>
      <w:r>
        <w:rPr>
          <w:rFonts w:ascii="Arial;sans-serif" w:hAnsi="Arial;sans-serif"/>
          <w:b w:val="false"/>
          <w:i w:val="false"/>
          <w:caps w:val="false"/>
          <w:smallCaps w:val="false"/>
          <w:strike w:val="false"/>
          <w:dstrike w:val="false"/>
          <w:sz w:val="18"/>
          <w:u w:val="none"/>
          <w:effect w:val="none"/>
        </w:rPr>
        <w:t xml:space="preserve">.   Each grant of Restricted Shares under the Plan shall be evidenced by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Restricted Share Award Agreement between the Participant and the Company. Such Restricted Shares shall be subject to 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applicable terms of the Plan and may be subject to any other terms that are not inconsistent with the Plan. The provisions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various Restricted Share Award Agreements entered into under the Plan need not be identical.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w:t>
      </w:r>
      <w:r>
        <w:rPr>
          <w:rFonts w:ascii="Arial;sans-serif" w:hAnsi="Arial;sans-serif"/>
          <w:b w:val="false"/>
          <w:i/>
          <w:strike w:val="false"/>
          <w:dstrike w:val="false"/>
          <w:sz w:val="18"/>
          <w:u w:val="none"/>
          <w:effect w:val="none"/>
        </w:rPr>
        <w:t>Payment for Awards</w:t>
      </w:r>
      <w:r>
        <w:rPr>
          <w:rFonts w:ascii="Arial;sans-serif" w:hAnsi="Arial;sans-serif"/>
          <w:b w:val="false"/>
          <w:i w:val="false"/>
          <w:caps w:val="false"/>
          <w:smallCaps w:val="false"/>
          <w:strike w:val="false"/>
          <w:dstrike w:val="false"/>
          <w:sz w:val="18"/>
          <w:u w:val="none"/>
          <w:effect w:val="none"/>
        </w:rPr>
        <w:t xml:space="preserve">.   Restricted Shares may be sold or awarded under the Plan for such consideration as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may determine, including (without limitation) cash, cash equivalents, full-recourse promissory notes, past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services, and future services.</w:t>
      </w:r>
    </w:p>
    <w:tbl>
      <w:tblPr>
        <w:tblW w:w="1971" w:type="dxa"/>
        <w:jc w:val="left"/>
        <w:tblInd w:w="0" w:type="dxa"/>
        <w:tblLayout w:type="fixed"/>
        <w:tblCellMar>
          <w:top w:w="28" w:type="dxa"/>
          <w:left w:w="28" w:type="dxa"/>
          <w:bottom w:w="28" w:type="dxa"/>
          <w:right w:w="28" w:type="dxa"/>
        </w:tblCellMar>
      </w:tblPr>
      <w:tblGrid>
        <w:gridCol w:w="331"/>
        <w:gridCol w:w="109"/>
        <w:gridCol w:w="1531"/>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A-8</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w:t>
      </w:r>
      <w:r>
        <w:rPr>
          <w:rFonts w:ascii="Arial;sans-serif" w:hAnsi="Arial;sans-serif"/>
          <w:b w:val="false"/>
          <w:i/>
          <w:strike w:val="false"/>
          <w:dstrike w:val="false"/>
          <w:sz w:val="18"/>
          <w:u w:val="none"/>
          <w:effect w:val="none"/>
        </w:rPr>
        <w:t>Vesting</w:t>
      </w:r>
      <w:r>
        <w:rPr>
          <w:rFonts w:ascii="Arial;sans-serif" w:hAnsi="Arial;sans-serif"/>
          <w:b w:val="false"/>
          <w:i w:val="false"/>
          <w:caps w:val="false"/>
          <w:smallCaps w:val="false"/>
          <w:strike w:val="false"/>
          <w:dstrike w:val="false"/>
          <w:sz w:val="18"/>
          <w:u w:val="none"/>
          <w:effect w:val="none"/>
        </w:rPr>
        <w:t xml:space="preserve">.   Each Award of Restricted Shares may or may not be subject to vesting. Vesting shall occur, in full or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installments, upon satisfaction of the conditions specified in the Restricted Share Award Agreement. A Restricted Share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 Agreement may provide for accelerated vesting in the event of the Participant’s death, Disability or retirement or other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(d)</w:t>
      </w:r>
      <w:r>
        <w:rPr>
          <w:rFonts w:ascii="Arial;sans-serif" w:hAnsi="Arial;sans-serif"/>
          <w:b w:val="false"/>
          <w:i/>
          <w:strike w:val="false"/>
          <w:dstrike w:val="false"/>
          <w:sz w:val="18"/>
          <w:u w:val="none"/>
          <w:effect w:val="none"/>
        </w:rPr>
        <w:t>Voting and Dividend Rights</w:t>
      </w:r>
      <w:r>
        <w:rPr>
          <w:rFonts w:ascii="Arial;sans-serif" w:hAnsi="Arial;sans-serif"/>
          <w:b w:val="false"/>
          <w:i w:val="false"/>
          <w:caps w:val="false"/>
          <w:smallCaps w:val="false"/>
          <w:strike w:val="false"/>
          <w:dstrike w:val="false"/>
          <w:sz w:val="18"/>
          <w:u w:val="none"/>
          <w:effect w:val="none"/>
        </w:rPr>
        <w:t xml:space="preserve">.   A holder of Restricted Shares awarded under the Plan shall have the same voting,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dividend, and other rights as the Company’s other stockholders, except that in the case of any unvested Restricted Shares,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holder shall not be entitled to any dividends or other distributions paid or distributed by the Company in respect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outstanding Shares. Notwithstanding the foregoing, at the Committee’s discretion, the holder of unvested Restricted Shares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may be credited with such dividends and other distributions, provided that such dividends and other distributions shall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paid or distributed to the holder only if, when and to the extent such unvested Restricted Shares vest. The value of dividends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other distributions payable or distributable with respect to any unvested Restricted Shares that do not vest shall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forfeited. At the Committee’s discretion, the Restricted Share Award Agreement may require that the holder of Restricted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invest any cash dividends received in additional Restricted Shares. Such additional Restricted Shares shall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subject to the same conditions as the Award with respect which the dividend was paid. For the avoidance of doubt, other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than with respect to the right to receive dividends and other distributions, the holders of unvested Restricted Shares shall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have the same voting rights and other rights as the Company’s other stockholders in respect of such unvested Restricted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(e)</w:t>
      </w:r>
      <w:r>
        <w:rPr>
          <w:rFonts w:ascii="Arial;sans-serif" w:hAnsi="Arial;sans-serif"/>
          <w:b w:val="false"/>
          <w:i/>
          <w:strike w:val="false"/>
          <w:dstrike w:val="false"/>
          <w:sz w:val="18"/>
          <w:u w:val="none"/>
          <w:effect w:val="none"/>
        </w:rPr>
        <w:t>Restrictions on Transfer of Shares</w:t>
      </w:r>
      <w:r>
        <w:rPr>
          <w:rFonts w:ascii="Arial;sans-serif" w:hAnsi="Arial;sans-serif"/>
          <w:b w:val="false"/>
          <w:i w:val="false"/>
          <w:caps w:val="false"/>
          <w:smallCaps w:val="false"/>
          <w:strike w:val="false"/>
          <w:dstrike w:val="false"/>
          <w:sz w:val="18"/>
          <w:u w:val="none"/>
          <w:effect w:val="none"/>
        </w:rPr>
        <w:t xml:space="preserve">.   Restricted Shares shall be subject to such rights of repurchase, rights of first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refusal, or other restrictions as the Committee may determine. Such restrictions shall be set forth in the applicable Restricted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Share Award Agreement and shall apply in addition to any general restrictions that may apply to all holders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7.  TERMS AND CONDITIONS OF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w:t>
      </w:r>
      <w:r>
        <w:rPr>
          <w:rFonts w:ascii="Arial;sans-serif" w:hAnsi="Arial;sans-serif"/>
          <w:b w:val="false"/>
          <w:i/>
          <w:strike w:val="false"/>
          <w:dstrike w:val="false"/>
          <w:sz w:val="18"/>
          <w:u w:val="none"/>
          <w:effect w:val="none"/>
        </w:rPr>
        <w:t>Option Award Agreement</w:t>
      </w:r>
      <w:r>
        <w:rPr>
          <w:rFonts w:ascii="Arial;sans-serif" w:hAnsi="Arial;sans-serif"/>
          <w:b w:val="false"/>
          <w:i w:val="false"/>
          <w:caps w:val="false"/>
          <w:smallCaps w:val="false"/>
          <w:strike w:val="false"/>
          <w:dstrike w:val="false"/>
          <w:sz w:val="18"/>
          <w:u w:val="none"/>
          <w:effect w:val="none"/>
        </w:rPr>
        <w:t xml:space="preserve">.   Each grant of an Option under the Plan shall be evidenced by an Option Award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Agreement between the Participant and the Company. Such Option shall be subject to all applicable terms and conditions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Plan and may be subject to any other terms and conditions which are not inconsistent with the Plan and which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deems appropriate for inclusion in an Option Award Agreement. The Option Award Agreement shall specify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whether the Option is an ISO or an NSO. The provisions of the various Option Award Agreements entered into under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Plan need not be identical.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w:t>
      </w:r>
      <w:r>
        <w:rPr>
          <w:rFonts w:ascii="Arial;sans-serif" w:hAnsi="Arial;sans-serif"/>
          <w:b w:val="false"/>
          <w:i/>
          <w:strike w:val="false"/>
          <w:dstrike w:val="false"/>
          <w:sz w:val="18"/>
          <w:u w:val="none"/>
          <w:effect w:val="none"/>
        </w:rPr>
        <w:t>Number of Shares</w:t>
      </w:r>
      <w:r>
        <w:rPr>
          <w:rFonts w:ascii="Arial;sans-serif" w:hAnsi="Arial;sans-serif"/>
          <w:b w:val="false"/>
          <w:i w:val="false"/>
          <w:caps w:val="false"/>
          <w:smallCaps w:val="false"/>
          <w:strike w:val="false"/>
          <w:dstrike w:val="false"/>
          <w:sz w:val="18"/>
          <w:u w:val="none"/>
          <w:effect w:val="none"/>
        </w:rPr>
        <w:t xml:space="preserve">.   Each Option Award Agreement shall specify the number of Shares that are subject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Option and shall provide for the adjustment of such number in accordance with Section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w:t>
      </w:r>
      <w:r>
        <w:rPr>
          <w:rFonts w:ascii="Arial;sans-serif" w:hAnsi="Arial;sans-serif"/>
          <w:b w:val="false"/>
          <w:i/>
          <w:strike w:val="false"/>
          <w:dstrike w:val="false"/>
          <w:sz w:val="18"/>
          <w:u w:val="none"/>
          <w:effect w:val="none"/>
        </w:rPr>
        <w:t>Exercise Price</w:t>
      </w:r>
      <w:r>
        <w:rPr>
          <w:rFonts w:ascii="Arial;sans-serif" w:hAnsi="Arial;sans-serif"/>
          <w:b w:val="false"/>
          <w:i w:val="false"/>
          <w:caps w:val="false"/>
          <w:smallCaps w:val="false"/>
          <w:strike w:val="false"/>
          <w:dstrike w:val="false"/>
          <w:sz w:val="18"/>
          <w:u w:val="none"/>
          <w:effect w:val="none"/>
        </w:rPr>
        <w:t xml:space="preserve">.   Each Option Award Agreement shall specify the Exercise Price. The Exercise Price of an ISO shall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not be less than 100% of the Fair Market Value of a Share on the date of grant, and the Exercise Price of an NSO shall not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 less than 100% of the Fair Market Value of a Share on the date of grant. Notwithstanding the foregoing, Options may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granted with an Exercise Price of less than 100% of the Fair Market Value per Share on the date of grant pursuant to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transaction described in, and in a manner consistent with, Section 424(a) of the Code. Subject to the foregoing in this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Section 7(c), the Exercise Price under any Option shall be determined by the Committee in its sole discretion. The Exercise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Price shall be payable in one of the forms described in Section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(d)</w:t>
      </w:r>
      <w:r>
        <w:rPr>
          <w:rFonts w:ascii="Arial;sans-serif" w:hAnsi="Arial;sans-serif"/>
          <w:b w:val="false"/>
          <w:i/>
          <w:strike w:val="false"/>
          <w:dstrike w:val="false"/>
          <w:sz w:val="18"/>
          <w:u w:val="none"/>
          <w:effect w:val="none"/>
        </w:rPr>
        <w:t>Withholding Taxes</w:t>
      </w:r>
      <w:r>
        <w:rPr>
          <w:rFonts w:ascii="Arial;sans-serif" w:hAnsi="Arial;sans-serif"/>
          <w:b w:val="false"/>
          <w:i w:val="false"/>
          <w:caps w:val="false"/>
          <w:smallCaps w:val="false"/>
          <w:strike w:val="false"/>
          <w:dstrike w:val="false"/>
          <w:sz w:val="18"/>
          <w:u w:val="none"/>
          <w:effect w:val="none"/>
        </w:rPr>
        <w:t xml:space="preserve">.   As a condition to the exercise of an Option, the Participant shall make such arrangements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Committee may require for the satisfaction of any federal, state, local or foreign withholding tax obligations that may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arise in connection with such exercise. The Participant shall also make such arrangements as the Committee may require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 the satisfaction of any federal, state, local or foreign withholding tax obligations that may arise in connection with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disposition of Shares acquired by exercising an 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(e)</w:t>
      </w:r>
      <w:r>
        <w:rPr>
          <w:rFonts w:ascii="Arial;sans-serif" w:hAnsi="Arial;sans-serif"/>
          <w:b w:val="false"/>
          <w:i/>
          <w:strike w:val="false"/>
          <w:dstrike w:val="false"/>
          <w:sz w:val="18"/>
          <w:u w:val="none"/>
          <w:effect w:val="none"/>
        </w:rPr>
        <w:t>Exercisability and Term</w:t>
      </w:r>
      <w:r>
        <w:rPr>
          <w:rFonts w:ascii="Arial;sans-serif" w:hAnsi="Arial;sans-serif"/>
          <w:b w:val="false"/>
          <w:i w:val="false"/>
          <w:caps w:val="false"/>
          <w:smallCaps w:val="false"/>
          <w:strike w:val="false"/>
          <w:dstrike w:val="false"/>
          <w:sz w:val="18"/>
          <w:u w:val="none"/>
          <w:effect w:val="none"/>
        </w:rPr>
        <w:t xml:space="preserve">.   Each Option Award Agreement shall specify the date when all or any installment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Option is to become exercisable. The Option Award Agreement shall also specify the term of the Option; provided that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 of an ISO shall in no event exceed 10 years from the date of grant (five years for ISOs granted to Employees described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Section 4(b)). An Option Award Agreement may provide for accelerated exercisability in the event of the Participant’s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death, Disability, or retirement or other events and may provide for expiration prior to the end of its term in the event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termination of the Participant’s Service. Options may be awarded in combination with SARs, and such an Award may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provide that the Options will not be exercisable unless the related SARs are forfeited. Subject to the foregoing in this Section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7(e), the Committee in its sole discretion shall determine when all or any installment of an Option is to become exercisable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when an Option is to expire.</w:t>
      </w:r>
    </w:p>
    <w:tbl>
      <w:tblPr>
        <w:tblW w:w="1971" w:type="dxa"/>
        <w:jc w:val="left"/>
        <w:tblInd w:w="0" w:type="dxa"/>
        <w:tblLayout w:type="fixed"/>
        <w:tblCellMar>
          <w:top w:w="28" w:type="dxa"/>
          <w:left w:w="28" w:type="dxa"/>
          <w:bottom w:w="28" w:type="dxa"/>
          <w:right w:w="28" w:type="dxa"/>
        </w:tblCellMar>
      </w:tblPr>
      <w:tblGrid>
        <w:gridCol w:w="1501"/>
        <w:gridCol w:w="109"/>
        <w:gridCol w:w="36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A-9</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(f)</w:t>
      </w:r>
      <w:r>
        <w:rPr>
          <w:rFonts w:ascii="Arial;sans-serif" w:hAnsi="Arial;sans-serif"/>
          <w:b w:val="false"/>
          <w:i/>
          <w:strike w:val="false"/>
          <w:dstrike w:val="false"/>
          <w:sz w:val="18"/>
          <w:u w:val="none"/>
          <w:effect w:val="none"/>
        </w:rPr>
        <w:t>Exercise of Options</w:t>
      </w:r>
      <w:r>
        <w:rPr>
          <w:rFonts w:ascii="Arial;sans-serif" w:hAnsi="Arial;sans-serif"/>
          <w:b w:val="false"/>
          <w:i w:val="false"/>
          <w:caps w:val="false"/>
          <w:smallCaps w:val="false"/>
          <w:strike w:val="false"/>
          <w:dstrike w:val="false"/>
          <w:sz w:val="18"/>
          <w:u w:val="none"/>
          <w:effect w:val="none"/>
        </w:rPr>
        <w:t xml:space="preserve">.   Each Option Award Agreement shall set forth the extent to which the Participant shall have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right to exercise the Option following termination of the Participant’s Service with the Company and its Subsidiaries,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right to exercise the Option of any executors or administrators of the Participant’s estate or any person who has acquired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such Option(s) directly from the Participant by bequest or inheritance. Such provisions shall be determined in the sole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discretion of the Committee, need not be uniform among all Options issued pursuant to the Plan, and may reflect distinctions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based on the reasons for termination of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(g)</w:t>
      </w:r>
      <w:r>
        <w:rPr>
          <w:rFonts w:ascii="Arial;sans-serif" w:hAnsi="Arial;sans-serif"/>
          <w:b w:val="false"/>
          <w:i/>
          <w:strike w:val="false"/>
          <w:dstrike w:val="false"/>
          <w:sz w:val="18"/>
          <w:u w:val="none"/>
          <w:effect w:val="none"/>
        </w:rPr>
        <w:t>No Rights as a Stockholder</w:t>
      </w:r>
      <w:r>
        <w:rPr>
          <w:rFonts w:ascii="Arial;sans-serif" w:hAnsi="Arial;sans-serif"/>
          <w:b w:val="false"/>
          <w:i w:val="false"/>
          <w:caps w:val="false"/>
          <w:smallCaps w:val="false"/>
          <w:strike w:val="false"/>
          <w:dstrike w:val="false"/>
          <w:sz w:val="18"/>
          <w:u w:val="none"/>
          <w:effect w:val="none"/>
        </w:rPr>
        <w:t xml:space="preserve">.   A Participant shall have no rights as a stockholder with respect to any Shares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covered by his Option until the date of the issuance of a share certificate for such Shares. No adjustments shall be made,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except as provided in Section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(h)</w:t>
      </w:r>
      <w:r>
        <w:rPr>
          <w:rFonts w:ascii="Arial;sans-serif" w:hAnsi="Arial;sans-serif"/>
          <w:b w:val="false"/>
          <w:i/>
          <w:strike w:val="false"/>
          <w:dstrike w:val="false"/>
          <w:sz w:val="18"/>
          <w:u w:val="none"/>
          <w:effect w:val="none"/>
        </w:rPr>
        <w:t>Modification, Extension and Renewal of Options</w:t>
      </w:r>
      <w:r>
        <w:rPr>
          <w:rFonts w:ascii="Arial;sans-serif" w:hAnsi="Arial;sans-serif"/>
          <w:b w:val="false"/>
          <w:i w:val="false"/>
          <w:caps w:val="false"/>
          <w:smallCaps w:val="false"/>
          <w:strike w:val="false"/>
          <w:dstrike w:val="false"/>
          <w:sz w:val="18"/>
          <w:u w:val="none"/>
          <w:effect w:val="none"/>
        </w:rPr>
        <w:t xml:space="preserve">.   Subject to Section 5(e), within the limitations of the Plan,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may modify, extend, or renew outstanding options or may accept the cancellation of outstanding options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extent not previously exercised), whether or not granted hereunder, in return for the grant of new Options for the same or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different number of Shares and at the same or a different Exercise Price, or in return for the grant of a different Award for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same or a different number of Shares or for cash. The foregoing notwithstanding, no modification of an Option shall, without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consent of the Participant, materially impair his or her rights or obligations under such Option; provided, however, that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amendment or modification that may cause an ISO to become a NSO, and any amendment or modification that is required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comply with the rules applicable to ISOs, shall not be treated as materially impairing the rights or obligations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Participant.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(i)</w:t>
      </w:r>
      <w:r>
        <w:rPr>
          <w:rFonts w:ascii="Arial;sans-serif" w:hAnsi="Arial;sans-serif"/>
          <w:b w:val="false"/>
          <w:i/>
          <w:strike w:val="false"/>
          <w:dstrike w:val="false"/>
          <w:sz w:val="18"/>
          <w:u w:val="none"/>
          <w:effect w:val="none"/>
        </w:rPr>
        <w:t>Restrictions on Transfer of Shares</w:t>
      </w:r>
      <w:r>
        <w:rPr>
          <w:rFonts w:ascii="Arial;sans-serif" w:hAnsi="Arial;sans-serif"/>
          <w:b w:val="false"/>
          <w:i w:val="false"/>
          <w:caps w:val="false"/>
          <w:smallCaps w:val="false"/>
          <w:strike w:val="false"/>
          <w:dstrike w:val="false"/>
          <w:sz w:val="18"/>
          <w:u w:val="none"/>
          <w:effect w:val="none"/>
        </w:rPr>
        <w:t xml:space="preserve">.  Any Shares issued upon exercise of an Option shall be subject to such special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forfeiture conditions, rights of repurchase, rights of first refusal, and other transfer restrictions as the Committee may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determine. Such restrictions shall be set forth in the applicable Option Award Agreement and shall apply in addition to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general restrictions that may apply to all holders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(j)</w:t>
      </w:r>
      <w:r>
        <w:rPr>
          <w:rFonts w:ascii="Arial;sans-serif" w:hAnsi="Arial;sans-serif"/>
          <w:b w:val="false"/>
          <w:i/>
          <w:strike w:val="false"/>
          <w:dstrike w:val="false"/>
          <w:sz w:val="18"/>
          <w:u w:val="none"/>
          <w:effect w:val="none"/>
        </w:rPr>
        <w:t>Buyout Provisions</w:t>
      </w:r>
      <w:r>
        <w:rPr>
          <w:rFonts w:ascii="Arial;sans-serif" w:hAnsi="Arial;sans-serif"/>
          <w:b w:val="false"/>
          <w:i w:val="false"/>
          <w:caps w:val="false"/>
          <w:smallCaps w:val="false"/>
          <w:strike w:val="false"/>
          <w:dstrike w:val="false"/>
          <w:sz w:val="18"/>
          <w:u w:val="none"/>
          <w:effect w:val="none"/>
        </w:rPr>
        <w:t xml:space="preserve">.   Subject to Section 5(e), the Committee may at any time (i) offer to buy out for a payment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cash or cash equivalents an Option previously granted or (ii) authorize a Participant to elect to cash out an Option previously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granted, in either case at such time and based upon such terms and conditions as the Committee shall establish.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(k)</w:t>
      </w:r>
      <w:r>
        <w:rPr>
          <w:rFonts w:ascii="Arial;sans-serif" w:hAnsi="Arial;sans-serif"/>
          <w:b w:val="false"/>
          <w:i/>
          <w:strike w:val="false"/>
          <w:dstrike w:val="false"/>
          <w:sz w:val="18"/>
          <w:u w:val="none"/>
          <w:effect w:val="none"/>
        </w:rPr>
        <w:t>No Dividend Equivalents on Options</w:t>
      </w:r>
      <w:r>
        <w:rPr>
          <w:rFonts w:ascii="Arial;sans-serif" w:hAnsi="Arial;sans-serif"/>
          <w:b w:val="false"/>
          <w:i w:val="false"/>
          <w:caps w:val="false"/>
          <w:smallCaps w:val="false"/>
          <w:strike w:val="false"/>
          <w:dstrike w:val="false"/>
          <w:sz w:val="18"/>
          <w:u w:val="none"/>
          <w:effect w:val="none"/>
        </w:rPr>
        <w:t xml:space="preserve">.   No grant of Options may be accompanied by a tandem award of dividend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equivalents or provide for dividends, dividend equivalents or other distributions to be paid on such Options (except pursuant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to an adjustment or other action contemplated by Section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8.  PAYMENT FOR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w:t>
      </w:r>
      <w:r>
        <w:rPr>
          <w:rFonts w:ascii="Arial;sans-serif" w:hAnsi="Arial;sans-serif"/>
          <w:b w:val="false"/>
          <w:i/>
          <w:strike w:val="false"/>
          <w:dstrike w:val="false"/>
          <w:sz w:val="18"/>
          <w:u w:val="none"/>
          <w:effect w:val="none"/>
        </w:rPr>
        <w:t>General Rule</w:t>
      </w:r>
      <w:r>
        <w:rPr>
          <w:rFonts w:ascii="Arial;sans-serif" w:hAnsi="Arial;sans-serif"/>
          <w:b w:val="false"/>
          <w:i w:val="false"/>
          <w:caps w:val="false"/>
          <w:smallCaps w:val="false"/>
          <w:strike w:val="false"/>
          <w:dstrike w:val="false"/>
          <w:sz w:val="18"/>
          <w:u w:val="none"/>
          <w:effect w:val="none"/>
        </w:rPr>
        <w:t xml:space="preserve">.   The entire Exercise Price or Purchase Price of Shares issued under the Plan (other than Shares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issued under the ESPP Addendum which shall be governed by the terms of the ESPP Addendum) shall be payable in lawful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money of the United States of America at the time when such Shares are purchased, except as provided in Section 8(b)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through Section 8(h) below. The payment for Shares issuable pursuant to the ESPP Addendum shall be subject to the terms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conditions as set forth in the ESPP Addendum.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w:t>
      </w:r>
      <w:r>
        <w:rPr>
          <w:rFonts w:ascii="Arial;sans-serif" w:hAnsi="Arial;sans-serif"/>
          <w:b w:val="false"/>
          <w:i/>
          <w:strike w:val="false"/>
          <w:dstrike w:val="false"/>
          <w:sz w:val="18"/>
          <w:u w:val="none"/>
          <w:effect w:val="none"/>
        </w:rPr>
        <w:t>Surrender of Stock</w:t>
      </w:r>
      <w:r>
        <w:rPr>
          <w:rFonts w:ascii="Arial;sans-serif" w:hAnsi="Arial;sans-serif"/>
          <w:b w:val="false"/>
          <w:i w:val="false"/>
          <w:caps w:val="false"/>
          <w:smallCaps w:val="false"/>
          <w:strike w:val="false"/>
          <w:dstrike w:val="false"/>
          <w:sz w:val="18"/>
          <w:u w:val="none"/>
          <w:effect w:val="none"/>
        </w:rPr>
        <w:t xml:space="preserve">.   To the extent that an Option Award Agreement so provides, payment may be made all or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 by surrendering, or attesting to the ownership of, Shares which have already been owned by the Participant or his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her representative. Such Shares shall be valued at their Fair Market Value on the date when the new Shares are purchased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the Plan. The Participant shall not surrender, or attest to the ownership of, Shares in payment of the Exercise Price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 Option if such action would cause the Company to recognize compensation expense (or additional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expense) with respect to the Option for financial reporting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w:t>
      </w:r>
      <w:r>
        <w:rPr>
          <w:rFonts w:ascii="Arial;sans-serif" w:hAnsi="Arial;sans-serif"/>
          <w:b w:val="false"/>
          <w:i/>
          <w:strike w:val="false"/>
          <w:dstrike w:val="false"/>
          <w:sz w:val="18"/>
          <w:u w:val="none"/>
          <w:effect w:val="none"/>
        </w:rPr>
        <w:t>Services Rendered</w:t>
      </w:r>
      <w:r>
        <w:rPr>
          <w:rFonts w:ascii="Arial;sans-serif" w:hAnsi="Arial;sans-serif"/>
          <w:b w:val="false"/>
          <w:i w:val="false"/>
          <w:caps w:val="false"/>
          <w:smallCaps w:val="false"/>
          <w:strike w:val="false"/>
          <w:dstrike w:val="false"/>
          <w:sz w:val="18"/>
          <w:u w:val="none"/>
          <w:effect w:val="none"/>
        </w:rPr>
        <w:t xml:space="preserve">.   At the discretion of the Committee, Shares may be awarded under the Plan in consideration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services rendered to the Company or a Subsidiary. If Shares are awarded without the payment of a Purchase Price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cash, the Committee shall make a determination (at the time of the Award) of the value of the services rendered by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Participant and the sufficiency of the consideration to meet the requirements of Section 6(b).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(d)</w:t>
      </w:r>
      <w:r>
        <w:rPr>
          <w:rFonts w:ascii="Arial;sans-serif" w:hAnsi="Arial;sans-serif"/>
          <w:b w:val="false"/>
          <w:i/>
          <w:strike w:val="false"/>
          <w:dstrike w:val="false"/>
          <w:sz w:val="18"/>
          <w:u w:val="none"/>
          <w:effect w:val="none"/>
        </w:rPr>
        <w:t>Cashless Exercise</w:t>
      </w:r>
      <w:r>
        <w:rPr>
          <w:rFonts w:ascii="Arial;sans-serif" w:hAnsi="Arial;sans-serif"/>
          <w:b w:val="false"/>
          <w:i w:val="false"/>
          <w:caps w:val="false"/>
          <w:smallCaps w:val="false"/>
          <w:strike w:val="false"/>
          <w:dstrike w:val="false"/>
          <w:sz w:val="18"/>
          <w:u w:val="none"/>
          <w:effect w:val="none"/>
        </w:rPr>
        <w:t xml:space="preserve">.   To the extent that an Option Award Agreement so provides, if the Stock is traded on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established securities market, payment may be made all or in part by delivery (on a form prescribed by the Committee) of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irrevocable direction to a securities broker to sell Shares and to deliver all or part of the sale proceeds to the Company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payment of the aggregate Exercise Price.</w:t>
      </w:r>
    </w:p>
    <w:tbl>
      <w:tblPr>
        <w:tblW w:w="2046" w:type="dxa"/>
        <w:jc w:val="left"/>
        <w:tblInd w:w="0" w:type="dxa"/>
        <w:tblLayout w:type="fixed"/>
        <w:tblCellMar>
          <w:top w:w="28" w:type="dxa"/>
          <w:left w:w="28" w:type="dxa"/>
          <w:bottom w:w="28" w:type="dxa"/>
          <w:right w:w="28" w:type="dxa"/>
        </w:tblCellMar>
      </w:tblPr>
      <w:tblGrid>
        <w:gridCol w:w="406"/>
        <w:gridCol w:w="109"/>
        <w:gridCol w:w="1531"/>
      </w:tblGrid>
      <w:tr>
        <w:trPr/>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A-10</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(e)</w:t>
      </w:r>
      <w:r>
        <w:rPr>
          <w:rFonts w:ascii="Arial;sans-serif" w:hAnsi="Arial;sans-serif"/>
          <w:b w:val="false"/>
          <w:i/>
          <w:strike w:val="false"/>
          <w:dstrike w:val="false"/>
          <w:sz w:val="18"/>
          <w:u w:val="none"/>
          <w:effect w:val="none"/>
        </w:rPr>
        <w:t>Exercise/Pledge</w:t>
      </w:r>
      <w:r>
        <w:rPr>
          <w:rFonts w:ascii="Arial;sans-serif" w:hAnsi="Arial;sans-serif"/>
          <w:b w:val="false"/>
          <w:i w:val="false"/>
          <w:caps w:val="false"/>
          <w:smallCaps w:val="false"/>
          <w:strike w:val="false"/>
          <w:dstrike w:val="false"/>
          <w:sz w:val="18"/>
          <w:u w:val="none"/>
          <w:effect w:val="none"/>
        </w:rPr>
        <w:t xml:space="preserve">.   To the extent that an Option Award Agreement so provides, payment may be made all or in part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by delivery (on a form prescribed by the Committee) of an irrevocable direction to a securities broker or lender to pledge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as security for a loan, and to deliver all or part of the loan proceeds to the Company in payment of the aggregate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Exercise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(f)</w:t>
      </w:r>
      <w:r>
        <w:rPr>
          <w:rFonts w:ascii="Arial;sans-serif" w:hAnsi="Arial;sans-serif"/>
          <w:b w:val="false"/>
          <w:i/>
          <w:strike w:val="false"/>
          <w:dstrike w:val="false"/>
          <w:sz w:val="18"/>
          <w:u w:val="none"/>
          <w:effect w:val="none"/>
        </w:rPr>
        <w:t>Net Exercise</w:t>
      </w:r>
      <w:r>
        <w:rPr>
          <w:rFonts w:ascii="Arial;sans-serif" w:hAnsi="Arial;sans-serif"/>
          <w:b w:val="false"/>
          <w:i w:val="false"/>
          <w:caps w:val="false"/>
          <w:smallCaps w:val="false"/>
          <w:strike w:val="false"/>
          <w:dstrike w:val="false"/>
          <w:sz w:val="18"/>
          <w:u w:val="none"/>
          <w:effect w:val="none"/>
        </w:rPr>
        <w:t xml:space="preserve">.   To the extent that an Option Award Agreement so provides, by a “net exercise” arrangement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pursuant to which the number of Shares issuable upon exercise of the Option shall be reduced by the largest whole number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Shares having an aggregate Fair Market Value that does not exceed the aggregate Exercise Price (plus tax withholdings,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if applicable) and any remaining balance of the aggregate Exercise Price (and/or applicable tax withholdings) not satisfied by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such reduction in the number of whole Shares to be issued shall be paid by the Participant in cash or any other form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payment permitted under the Option Award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(g)</w:t>
      </w:r>
      <w:r>
        <w:rPr>
          <w:rFonts w:ascii="Arial;sans-serif" w:hAnsi="Arial;sans-serif"/>
          <w:b w:val="false"/>
          <w:i/>
          <w:strike w:val="false"/>
          <w:dstrike w:val="false"/>
          <w:sz w:val="18"/>
          <w:u w:val="none"/>
          <w:effect w:val="none"/>
        </w:rPr>
        <w:t>Promissory Note</w:t>
      </w:r>
      <w:r>
        <w:rPr>
          <w:rFonts w:ascii="Arial;sans-serif" w:hAnsi="Arial;sans-serif"/>
          <w:b w:val="false"/>
          <w:i w:val="false"/>
          <w:caps w:val="false"/>
          <w:smallCaps w:val="false"/>
          <w:strike w:val="false"/>
          <w:dstrike w:val="false"/>
          <w:sz w:val="18"/>
          <w:u w:val="none"/>
          <w:effect w:val="none"/>
        </w:rPr>
        <w:t xml:space="preserve">.   To the extent that an Option Award Agreement or Restricted Share Award Agreement so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provides, payment may be made all or in part by delivering (on a form prescribed by the Company) a full-recourse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promissory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(h)</w:t>
      </w:r>
      <w:r>
        <w:rPr>
          <w:rFonts w:ascii="Arial;sans-serif" w:hAnsi="Arial;sans-serif"/>
          <w:b w:val="false"/>
          <w:i/>
          <w:strike w:val="false"/>
          <w:dstrike w:val="false"/>
          <w:sz w:val="18"/>
          <w:u w:val="none"/>
          <w:effect w:val="none"/>
        </w:rPr>
        <w:t>Other Forms of Payment</w:t>
      </w:r>
      <w:r>
        <w:rPr>
          <w:rFonts w:ascii="Arial;sans-serif" w:hAnsi="Arial;sans-serif"/>
          <w:b w:val="false"/>
          <w:i w:val="false"/>
          <w:caps w:val="false"/>
          <w:smallCaps w:val="false"/>
          <w:strike w:val="false"/>
          <w:dstrike w:val="false"/>
          <w:sz w:val="18"/>
          <w:u w:val="none"/>
          <w:effect w:val="none"/>
        </w:rPr>
        <w:t xml:space="preserve">.   To the extent that an Option Award Agreement or Restricted Share Award Agreement so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provides, payment may be made in any other form that is consistent with applicable laws, regulations, and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(i)</w:t>
      </w:r>
      <w:r>
        <w:rPr>
          <w:rFonts w:ascii="Arial;sans-serif" w:hAnsi="Arial;sans-serif"/>
          <w:b w:val="false"/>
          <w:i/>
          <w:strike w:val="false"/>
          <w:dstrike w:val="false"/>
          <w:sz w:val="18"/>
          <w:u w:val="none"/>
          <w:effect w:val="none"/>
        </w:rPr>
        <w:t>Limitations under Applicable Law</w:t>
      </w:r>
      <w:r>
        <w:rPr>
          <w:rFonts w:ascii="Arial;sans-serif" w:hAnsi="Arial;sans-serif"/>
          <w:b w:val="false"/>
          <w:i w:val="false"/>
          <w:caps w:val="false"/>
          <w:smallCaps w:val="false"/>
          <w:strike w:val="false"/>
          <w:dstrike w:val="false"/>
          <w:sz w:val="18"/>
          <w:u w:val="none"/>
          <w:effect w:val="none"/>
        </w:rPr>
        <w:t xml:space="preserve">.   Notwithstanding anything herein or in an Option Award Agreement or Restricted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 Award Agreement to the contrary, payment may not be made in any form that is unlawful, as determined by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Committee in its sole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9.  STOCK APPRECIATION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w:t>
      </w:r>
      <w:r>
        <w:rPr>
          <w:rFonts w:ascii="Arial;sans-serif" w:hAnsi="Arial;sans-serif"/>
          <w:b w:val="false"/>
          <w:i/>
          <w:strike w:val="false"/>
          <w:dstrike w:val="false"/>
          <w:sz w:val="18"/>
          <w:u w:val="none"/>
          <w:effect w:val="none"/>
        </w:rPr>
        <w:t>SAR Award Agreement</w:t>
      </w:r>
      <w:r>
        <w:rPr>
          <w:rFonts w:ascii="Arial;sans-serif" w:hAnsi="Arial;sans-serif"/>
          <w:b w:val="false"/>
          <w:i w:val="false"/>
          <w:caps w:val="false"/>
          <w:smallCaps w:val="false"/>
          <w:strike w:val="false"/>
          <w:dstrike w:val="false"/>
          <w:sz w:val="18"/>
          <w:u w:val="none"/>
          <w:effect w:val="none"/>
        </w:rPr>
        <w:t xml:space="preserve">.  Each grant of a SAR under the Plan shall be evidenced by a SAR Award Agreement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between the Participant and the Company. Such SAR shall be subject to all applicable terms of the Plan and may be subject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any other terms that are not inconsistent with the Plan. The provisions of the various SAR Award Agreements entered into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under the Plan need not be identical.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w:t>
      </w:r>
      <w:r>
        <w:rPr>
          <w:rFonts w:ascii="Arial;sans-serif" w:hAnsi="Arial;sans-serif"/>
          <w:b w:val="false"/>
          <w:i/>
          <w:strike w:val="false"/>
          <w:dstrike w:val="false"/>
          <w:sz w:val="18"/>
          <w:u w:val="none"/>
          <w:effect w:val="none"/>
        </w:rPr>
        <w:t>Number of Shares</w:t>
      </w:r>
      <w:r>
        <w:rPr>
          <w:rFonts w:ascii="Arial;sans-serif" w:hAnsi="Arial;sans-serif"/>
          <w:b w:val="false"/>
          <w:i w:val="false"/>
          <w:caps w:val="false"/>
          <w:smallCaps w:val="false"/>
          <w:strike w:val="false"/>
          <w:dstrike w:val="false"/>
          <w:sz w:val="18"/>
          <w:u w:val="none"/>
          <w:effect w:val="none"/>
        </w:rPr>
        <w:t xml:space="preserve">.  Each SAR Award Agreement shall specify the number of Shares to which the SAR pertains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shall provide for the adjustment of such number in accordance with Section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w:t>
      </w:r>
      <w:r>
        <w:rPr>
          <w:rFonts w:ascii="Arial;sans-serif" w:hAnsi="Arial;sans-serif"/>
          <w:b w:val="false"/>
          <w:i/>
          <w:strike w:val="false"/>
          <w:dstrike w:val="false"/>
          <w:sz w:val="18"/>
          <w:u w:val="none"/>
          <w:effect w:val="none"/>
        </w:rPr>
        <w:t>Exercise Price</w:t>
      </w:r>
      <w:r>
        <w:rPr>
          <w:rFonts w:ascii="Arial;sans-serif" w:hAnsi="Arial;sans-serif"/>
          <w:b w:val="false"/>
          <w:i w:val="false"/>
          <w:caps w:val="false"/>
          <w:smallCaps w:val="false"/>
          <w:strike w:val="false"/>
          <w:dstrike w:val="false"/>
          <w:sz w:val="18"/>
          <w:u w:val="none"/>
          <w:effect w:val="none"/>
        </w:rPr>
        <w:t xml:space="preserve">.  Each SAR Award Agreement shall specify the Exercise Price. The Exercise Price of a SAR shall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not be less than 100% of the Fair Market Value of a Share on the date of grant. Notwithstanding the foregoing, SARs may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 granted with an Exercise Price of less than 100% of the Fair Market Value per Share on the date of grant pursuant to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transaction described in, and in a manner consistent with, Section 424(a) of the Code. Subject to the foregoing in this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Section 9(c), the Exercise Price under any SAR shall be determined by the Committee in its sole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(d)</w:t>
      </w:r>
      <w:r>
        <w:rPr>
          <w:rFonts w:ascii="Arial;sans-serif" w:hAnsi="Arial;sans-serif"/>
          <w:b w:val="false"/>
          <w:i/>
          <w:strike w:val="false"/>
          <w:dstrike w:val="false"/>
          <w:sz w:val="18"/>
          <w:u w:val="none"/>
          <w:effect w:val="none"/>
        </w:rPr>
        <w:t>Exercisability and Term</w:t>
      </w:r>
      <w:r>
        <w:rPr>
          <w:rFonts w:ascii="Arial;sans-serif" w:hAnsi="Arial;sans-serif"/>
          <w:b w:val="false"/>
          <w:i w:val="false"/>
          <w:caps w:val="false"/>
          <w:smallCaps w:val="false"/>
          <w:strike w:val="false"/>
          <w:dstrike w:val="false"/>
          <w:sz w:val="18"/>
          <w:u w:val="none"/>
          <w:effect w:val="none"/>
        </w:rPr>
        <w:t xml:space="preserve">.  Each SAR Award Agreement shall specify the date when all or any installment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SAR is to become exercisable. The SAR Award Agreement shall also specify the term of the SAR. A SAR Award Agreement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may provide for accelerated exercisability in the event of the Participant’s death, Disability, retirement, or other events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may provide for expiration prior to the end of its term in the event of the termination of the Participant’s Service. SARs may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 awarded in combination with Options, and such an Award may provide that the SARs will not be exercisable unless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related Options are forfeited. A SAR may be included in an ISO only at the time of grant but may be included in an NSO 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time of grant or thereafter. A SAR granted under the Plan may provide that it will be exercisable only in the event of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(e)</w:t>
      </w:r>
      <w:r>
        <w:rPr>
          <w:rFonts w:ascii="Arial;sans-serif" w:hAnsi="Arial;sans-serif"/>
          <w:b w:val="false"/>
          <w:i/>
          <w:strike w:val="false"/>
          <w:dstrike w:val="false"/>
          <w:sz w:val="18"/>
          <w:u w:val="none"/>
          <w:effect w:val="none"/>
        </w:rPr>
        <w:t>Exercise of SARs</w:t>
      </w:r>
      <w:r>
        <w:rPr>
          <w:rFonts w:ascii="Arial;sans-serif" w:hAnsi="Arial;sans-serif"/>
          <w:b w:val="false"/>
          <w:i w:val="false"/>
          <w:caps w:val="false"/>
          <w:smallCaps w:val="false"/>
          <w:strike w:val="false"/>
          <w:dstrike w:val="false"/>
          <w:sz w:val="18"/>
          <w:u w:val="none"/>
          <w:effect w:val="none"/>
        </w:rPr>
        <w:t xml:space="preserve">.  Upon exercise of a SAR, the Participant (or any person having the right to exercise the SAR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after his or her death) shall receive from the Company (i) Shares, (ii) cash or (iii) a combination of Shares and cash, as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shall determine. The amount of cash and/or the Fair Market Value of Shares received upon exercise of SARs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shall, in the aggregate, be equal to the amount by which the Fair Market Value (on the date of surrender) of the Shares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subject to the SARs exceeds the Exercise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(f)</w:t>
      </w:r>
      <w:r>
        <w:rPr>
          <w:rFonts w:ascii="Arial;sans-serif" w:hAnsi="Arial;sans-serif"/>
          <w:b w:val="false"/>
          <w:i/>
          <w:strike w:val="false"/>
          <w:dstrike w:val="false"/>
          <w:sz w:val="18"/>
          <w:u w:val="none"/>
          <w:effect w:val="none"/>
        </w:rPr>
        <w:t>Modification, Extension or Assumption of SARs</w:t>
      </w:r>
      <w:r>
        <w:rPr>
          <w:rFonts w:ascii="Arial;sans-serif" w:hAnsi="Arial;sans-serif"/>
          <w:b w:val="false"/>
          <w:i w:val="false"/>
          <w:caps w:val="false"/>
          <w:smallCaps w:val="false"/>
          <w:strike w:val="false"/>
          <w:dstrike w:val="false"/>
          <w:sz w:val="18"/>
          <w:u w:val="none"/>
          <w:effect w:val="none"/>
        </w:rPr>
        <w:t xml:space="preserve">.  Subject to Section 5(e), within the limitations of the Plan,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may modify, extend, or assume outstanding SARs or may accept the cancellation of outstanding SARs (whether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granted by the Company or by another issuer) in return for the grant of new SARs for the same or a different number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and at the same or a different Exercise Price, or in return for the grant of a different Award for the same or a different </w:t>
      </w:r>
    </w:p>
    <w:tbl>
      <w:tblPr>
        <w:tblW w:w="2046" w:type="dxa"/>
        <w:jc w:val="left"/>
        <w:tblInd w:w="0" w:type="dxa"/>
        <w:tblLayout w:type="fixed"/>
        <w:tblCellMar>
          <w:top w:w="28" w:type="dxa"/>
          <w:left w:w="28" w:type="dxa"/>
          <w:bottom w:w="28" w:type="dxa"/>
          <w:right w:w="28" w:type="dxa"/>
        </w:tblCellMar>
      </w:tblPr>
      <w:tblGrid>
        <w:gridCol w:w="1501"/>
        <w:gridCol w:w="109"/>
        <w:gridCol w:w="436"/>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A-11</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number of Shares or cash. The foregoing notwithstanding, no modification of a SAR shall, without the consent of the holder,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materially impair his or her rights or obligations under such SAR.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(g)</w:t>
      </w:r>
      <w:r>
        <w:rPr>
          <w:rFonts w:ascii="Arial;sans-serif" w:hAnsi="Arial;sans-serif"/>
          <w:b w:val="false"/>
          <w:i/>
          <w:strike w:val="false"/>
          <w:dstrike w:val="false"/>
          <w:sz w:val="18"/>
          <w:u w:val="none"/>
          <w:effect w:val="none"/>
        </w:rPr>
        <w:t>Buyout Provisions</w:t>
      </w:r>
      <w:r>
        <w:rPr>
          <w:rFonts w:ascii="Arial;sans-serif" w:hAnsi="Arial;sans-serif"/>
          <w:b w:val="false"/>
          <w:i w:val="false"/>
          <w:caps w:val="false"/>
          <w:smallCaps w:val="false"/>
          <w:strike w:val="false"/>
          <w:dstrike w:val="false"/>
          <w:sz w:val="18"/>
          <w:u w:val="none"/>
          <w:effect w:val="none"/>
        </w:rPr>
        <w:t xml:space="preserve">.  Subject to Section 5(e), the Committee may at any time (i) offer to buy out for a payment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cash or cash equivalents a SAR previously granted, or (ii) authorize a Participant to elect to cash out a SAR previously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granted, in either case at such time and based upon such terms and conditions as the Committee shall establish.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(h)</w:t>
      </w:r>
      <w:r>
        <w:rPr>
          <w:rFonts w:ascii="Arial;sans-serif" w:hAnsi="Arial;sans-serif"/>
          <w:b w:val="false"/>
          <w:i/>
          <w:strike w:val="false"/>
          <w:dstrike w:val="false"/>
          <w:sz w:val="18"/>
          <w:u w:val="none"/>
          <w:effect w:val="none"/>
        </w:rPr>
        <w:t>No Dividend Equivalents on SARs</w:t>
      </w:r>
      <w:r>
        <w:rPr>
          <w:rFonts w:ascii="Arial;sans-serif" w:hAnsi="Arial;sans-serif"/>
          <w:b w:val="false"/>
          <w:i w:val="false"/>
          <w:caps w:val="false"/>
          <w:smallCaps w:val="false"/>
          <w:strike w:val="false"/>
          <w:dstrike w:val="false"/>
          <w:sz w:val="18"/>
          <w:u w:val="none"/>
          <w:effect w:val="none"/>
        </w:rPr>
        <w:t xml:space="preserve">.  No grant of SARs may be accompanied by a tandem award of dividend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equivalents or provide for dividends, dividend equivalents or other distributions to be paid on such SARs (except pursuant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 adjustment or other action contemplated by Section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SECTION 10.  RESTRICTED STOCK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w:t>
      </w:r>
      <w:r>
        <w:rPr>
          <w:rFonts w:ascii="Arial;sans-serif" w:hAnsi="Arial;sans-serif"/>
          <w:b w:val="false"/>
          <w:i/>
          <w:strike w:val="false"/>
          <w:dstrike w:val="false"/>
          <w:sz w:val="18"/>
          <w:u w:val="none"/>
          <w:effect w:val="none"/>
        </w:rPr>
        <w:t>Restricted Stock Unit Award Agreement</w:t>
      </w:r>
      <w:r>
        <w:rPr>
          <w:rFonts w:ascii="Arial;sans-serif" w:hAnsi="Arial;sans-serif"/>
          <w:b w:val="false"/>
          <w:i w:val="false"/>
          <w:caps w:val="false"/>
          <w:smallCaps w:val="false"/>
          <w:strike w:val="false"/>
          <w:dstrike w:val="false"/>
          <w:sz w:val="18"/>
          <w:u w:val="none"/>
          <w:effect w:val="none"/>
        </w:rPr>
        <w:t xml:space="preserve">.  Each grant of Restricted Stock Units under the Plan shall be evidenced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by a Restricted Stock Unit Award Agreement between the Participant and the Company. Such Restricted Stock Units shall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 subject to all applicable terms of the Plan and may be subject to any other terms that are not inconsistent with the Plan.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provisions of the various Restricted Stock Unit Award Agreements entered into under the Plan need not be identical.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w:t>
      </w:r>
      <w:r>
        <w:rPr>
          <w:rFonts w:ascii="Arial;sans-serif" w:hAnsi="Arial;sans-serif"/>
          <w:b w:val="false"/>
          <w:i/>
          <w:strike w:val="false"/>
          <w:dstrike w:val="false"/>
          <w:sz w:val="18"/>
          <w:u w:val="none"/>
          <w:effect w:val="none"/>
        </w:rPr>
        <w:t>Payment for Awards</w:t>
      </w:r>
      <w:r>
        <w:rPr>
          <w:rFonts w:ascii="Arial;sans-serif" w:hAnsi="Arial;sans-serif"/>
          <w:b w:val="false"/>
          <w:i w:val="false"/>
          <w:caps w:val="false"/>
          <w:smallCaps w:val="false"/>
          <w:strike w:val="false"/>
          <w:dstrike w:val="false"/>
          <w:sz w:val="18"/>
          <w:u w:val="none"/>
          <w:effect w:val="none"/>
        </w:rPr>
        <w:t xml:space="preserve">.  To the extent that an Award is granted in the form of Restricted Stock Units, no cash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consideration shall be required of the Award recipients.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w:t>
      </w:r>
      <w:r>
        <w:rPr>
          <w:rFonts w:ascii="Arial;sans-serif" w:hAnsi="Arial;sans-serif"/>
          <w:b w:val="false"/>
          <w:i/>
          <w:strike w:val="false"/>
          <w:dstrike w:val="false"/>
          <w:sz w:val="18"/>
          <w:u w:val="none"/>
          <w:effect w:val="none"/>
        </w:rPr>
        <w:t>Vesting Conditions</w:t>
      </w:r>
      <w:r>
        <w:rPr>
          <w:rFonts w:ascii="Arial;sans-serif" w:hAnsi="Arial;sans-serif"/>
          <w:b w:val="false"/>
          <w:i w:val="false"/>
          <w:caps w:val="false"/>
          <w:smallCaps w:val="false"/>
          <w:strike w:val="false"/>
          <w:dstrike w:val="false"/>
          <w:sz w:val="18"/>
          <w:u w:val="none"/>
          <w:effect w:val="none"/>
        </w:rPr>
        <w:t xml:space="preserve">.  Each Award of Restricted Stock Units may or may not be subject to vesting. Vesting shall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occur, in full or in installments, upon satisfaction of the conditions specified in the Restricted Stock Unit Award Agreement.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Restricted Stock Unit Award Agreement may provide for accelerated vesting in the event of the Participant’s death, Disability,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retirement, or other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(d)</w:t>
      </w:r>
      <w:r>
        <w:rPr>
          <w:rFonts w:ascii="Arial;sans-serif" w:hAnsi="Arial;sans-serif"/>
          <w:b w:val="false"/>
          <w:i/>
          <w:strike w:val="false"/>
          <w:dstrike w:val="false"/>
          <w:sz w:val="18"/>
          <w:u w:val="none"/>
          <w:effect w:val="none"/>
        </w:rPr>
        <w:t>Voting and Dividend Rights</w:t>
      </w:r>
      <w:r>
        <w:rPr>
          <w:rFonts w:ascii="Arial;sans-serif" w:hAnsi="Arial;sans-serif"/>
          <w:b w:val="false"/>
          <w:i w:val="false"/>
          <w:caps w:val="false"/>
          <w:smallCaps w:val="false"/>
          <w:strike w:val="false"/>
          <w:dstrike w:val="false"/>
          <w:sz w:val="18"/>
          <w:u w:val="none"/>
          <w:effect w:val="none"/>
        </w:rPr>
        <w:t xml:space="preserve">.  The holders of Restricted Stock Units shall have no voting rights. Prior to settlement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forfeiture, any Restricted Stock Unit awarded under the Plan may, at the Committee’s discretion, carry with it a right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dividend equivalents. Such right, if awarded, entitles the holder to be credited with an amount equal to all cash dividends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paid on one Share while the Restricted Stock Unit is outstanding. Settlement of dividend equivalents may be made 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form of cash, in the form of Shares, or in a combination of both. Dividend equivalents may also be converted into additional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Restricted Stock Units at the Committee’s discretion. Dividend equivalents shall not be distributed prior to settlement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Restricted Stock Unit to which the dividend equivalents pertain. Prior to distribution, any dividend equivalents shall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subject to the same conditions and restrictions (including without limitation, any forfeiture conditions) as the Restricted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Units to which they attach. The value of dividend equivalents payable or distributable with respect to any unvested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Restricted Stock Units that do not vest shall be forfeited.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(e)</w:t>
      </w:r>
      <w:r>
        <w:rPr>
          <w:rFonts w:ascii="Arial;sans-serif" w:hAnsi="Arial;sans-serif"/>
          <w:b w:val="false"/>
          <w:i/>
          <w:strike w:val="false"/>
          <w:dstrike w:val="false"/>
          <w:sz w:val="18"/>
          <w:u w:val="none"/>
          <w:effect w:val="none"/>
        </w:rPr>
        <w:t>Form and Time of Settlement of Restricted Stock Units</w:t>
      </w:r>
      <w:r>
        <w:rPr>
          <w:rFonts w:ascii="Arial;sans-serif" w:hAnsi="Arial;sans-serif"/>
          <w:b w:val="false"/>
          <w:i w:val="false"/>
          <w:caps w:val="false"/>
          <w:smallCaps w:val="false"/>
          <w:strike w:val="false"/>
          <w:dstrike w:val="false"/>
          <w:sz w:val="18"/>
          <w:u w:val="none"/>
          <w:effect w:val="none"/>
        </w:rPr>
        <w:t xml:space="preserve">.  Settlement of vested Restricted Stock Units may be made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the form of  (i) cash, (ii) Shares or (iii) any combination of both, as determined by the Committee. The actual number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Restricted Stock Units eligible for settlement may be larger or smaller than the number included in the original Award, based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on predetermined performance factors. Methods of converting Restricted Stock Units into cash may include (without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limitation) a method based on the average Fair Market Value of Shares over a series of trading days. A Restricted Stock Unit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 Agreement may provide that vested Restricted Stock Units may be settled in a lump sum or in installments.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Restricted Stock Unit Award Agreement may provide that the distribution may occur or commence when all vesting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conditions applicable to the Restricted Stock Units have been satisfied or have lapsed, or it may be deferred to any later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date, subject to compliance with Section 409A. The amount of a deferred distribution may be increased by an interest factor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by dividend equivalents. Until an Award of Restricted Stock Units is settled, the number of such Restricted Stock Units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shall be subject to adjustment pursuant to Section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(f)</w:t>
      </w:r>
      <w:r>
        <w:rPr>
          <w:rFonts w:ascii="Arial;sans-serif" w:hAnsi="Arial;sans-serif"/>
          <w:b w:val="false"/>
          <w:i/>
          <w:strike w:val="false"/>
          <w:dstrike w:val="false"/>
          <w:sz w:val="18"/>
          <w:u w:val="none"/>
          <w:effect w:val="none"/>
        </w:rPr>
        <w:t>Death of Participant</w:t>
      </w:r>
      <w:r>
        <w:rPr>
          <w:rFonts w:ascii="Arial;sans-serif" w:hAnsi="Arial;sans-serif"/>
          <w:b w:val="false"/>
          <w:i w:val="false"/>
          <w:caps w:val="false"/>
          <w:smallCaps w:val="false"/>
          <w:strike w:val="false"/>
          <w:dstrike w:val="false"/>
          <w:sz w:val="18"/>
          <w:u w:val="none"/>
          <w:effect w:val="none"/>
        </w:rPr>
        <w:t xml:space="preserve">.  Any Restricted Stock Unit Award that becomes payable after the Participant’s death shall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distributed to the Participant’s beneficiary or beneficiaries. Each recipient of a Restricted Stock Unit Award under the Plan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shall designate one or more beneficiaries for this purpose by filing the prescribed form with the Company. A beneficiary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designation may be changed by filing the prescribed form with the Company at any time before the Participant’s death. If no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beneficiary was designated or if no designated beneficiary survives the Participant, then any Restricted Stock Units Award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that becomes payable after the Participant’s death shall be distributed to the Participant’s estate.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(g)</w:t>
      </w:r>
      <w:r>
        <w:rPr>
          <w:rFonts w:ascii="Arial;sans-serif" w:hAnsi="Arial;sans-serif"/>
          <w:b w:val="false"/>
          <w:i/>
          <w:strike w:val="false"/>
          <w:dstrike w:val="false"/>
          <w:sz w:val="18"/>
          <w:u w:val="none"/>
          <w:effect w:val="none"/>
        </w:rPr>
        <w:t>Creditors’ Rights</w:t>
      </w:r>
      <w:r>
        <w:rPr>
          <w:rFonts w:ascii="Arial;sans-serif" w:hAnsi="Arial;sans-serif"/>
          <w:b w:val="false"/>
          <w:i w:val="false"/>
          <w:caps w:val="false"/>
          <w:smallCaps w:val="false"/>
          <w:strike w:val="false"/>
          <w:dstrike w:val="false"/>
          <w:sz w:val="18"/>
          <w:u w:val="none"/>
          <w:effect w:val="none"/>
        </w:rPr>
        <w:t xml:space="preserve">.  A holder of Restricted Stock Units shall have no rights other than those of a general creditor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 Restricted Stock Units represent an unfunded and unsecured obligation of the Company, subject to the terms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and conditions of the applicable Restricted Stock Unit Award Agreement.</w:t>
      </w:r>
    </w:p>
    <w:tbl>
      <w:tblPr>
        <w:tblW w:w="2046" w:type="dxa"/>
        <w:jc w:val="left"/>
        <w:tblInd w:w="0" w:type="dxa"/>
        <w:tblLayout w:type="fixed"/>
        <w:tblCellMar>
          <w:top w:w="28" w:type="dxa"/>
          <w:left w:w="28" w:type="dxa"/>
          <w:bottom w:w="28" w:type="dxa"/>
          <w:right w:w="28" w:type="dxa"/>
        </w:tblCellMar>
      </w:tblPr>
      <w:tblGrid>
        <w:gridCol w:w="406"/>
        <w:gridCol w:w="109"/>
        <w:gridCol w:w="1531"/>
      </w:tblGrid>
      <w:tr>
        <w:trPr/>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A-12</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11.  CASH-BASED AWARDS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Committee may, in its sole discretion, grant Cash-Based Awards to any Participant in such number or amount and upon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such terms, and subject to such conditions, as the Committee shall determine at the time of grant and specify in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applicable Award Agreement. The Committee shall determine the maximum duration of the Cash-Based Award, the amount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cash which may be payable pursuant to the Cash-Based Award, the conditions upon which the Cash-Based Award shall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become vested or payable, and such other provisions as the Committee shall determine. Each Cash-Based Award shall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specify a cash-denominated payment amount, formula, or payment ranges as determined by the Committee. Payment, if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any, with respect to a Cash-Based Award shall be made in accordance with the terms of the Award and may be made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cash or in Shares, as the Committee determines.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12.  STOCK PURCHASE RIGHTS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Committee may, in its sole discretion, grant Stock Purchase Rights under the Plan to any Participant that is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Employee in such number or amount and upon such terms, and subject to such conditions, as set forth in the ESPP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Addendum. To the extent any term of the ESPP Addendum conflicts with this Plan, the terms of the ESPP Addendum shall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control; provided, however, notwithstanding the foregoing, the issuance of Stock Purchase Rights pursuant to the ESPP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Addendum and the purchase of Shares thereunder shall be subject to the terms, conditions and limitations set forth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Section 5 of the Plan, including but not limited to the maximum number of Shares that may be issued pursuant to the ESPP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Addendum. The ESPP Addendum is intended to comply with the requirements of Section 423 of the Code to the maximum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extent permitted by law as further set forth in the ESPP Addendum. The Committee may adopt such additional documents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referenced in the ESPP Addendum and may adopt such rules and conditions related to the ESPP Addendum, as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deems necessary and advisable to administer the ESPP Addendum in accordance with its terms. The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may further take such actions and adopt such documents with respect to the ESPP Addendum as required for the ESPP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Addendum to satisfy the requirements of Section 423 of the Code to the extent required by appliable law and as set forth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ESPP Addendum. Payment with respect to a Stock Purchase Right shall be made in accordance with the terms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ESPP Addendum and any other documents governing such Stock Purchase Rights adopted by the Committee. Shares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issued under the ESPP Addendum shall reduce the number of Shares available under Section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13.  ADJUSTMENT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w:t>
      </w:r>
      <w:r>
        <w:rPr>
          <w:rFonts w:ascii="Arial;sans-serif" w:hAnsi="Arial;sans-serif"/>
          <w:b w:val="false"/>
          <w:i/>
          <w:strike w:val="false"/>
          <w:dstrike w:val="false"/>
          <w:sz w:val="18"/>
          <w:u w:val="none"/>
          <w:effect w:val="none"/>
        </w:rPr>
        <w:t>Adjustments</w:t>
      </w:r>
      <w:r>
        <w:rPr>
          <w:rFonts w:ascii="Arial;sans-serif" w:hAnsi="Arial;sans-serif"/>
          <w:b w:val="false"/>
          <w:i w:val="false"/>
          <w:caps w:val="false"/>
          <w:smallCaps w:val="false"/>
          <w:strike w:val="false"/>
          <w:dstrike w:val="false"/>
          <w:sz w:val="18"/>
          <w:u w:val="none"/>
          <w:effect w:val="none"/>
        </w:rPr>
        <w:t xml:space="preserve">.  In the event of a subdivision of the outstanding Stock, a declaration of a dividend payable in Shares,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 declaration of a dividend payable in a form other than Shares in an amount that has a material effect on the price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a combination or consolidation of the outstanding Stock (by reclassification or otherwise) into a lesser number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a recapitalization, a spin-off or a similar occurrence, the Committee shall make appropriate and equitable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adjustments in: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(i)The class(es) and number of securities available for future Awards and the limitations set forth under Section 5;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(ii)The class(es) and number of securities covered by each outstanding Award;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(iii)The Exercise Price under each outstanding Option and SAR; and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(iv)Stock Purchase Rights to the extent set forth in the ESPP Addendum.</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Committee will make such adjustments, and its determination will be final, binding and conclusive.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w:t>
      </w:r>
      <w:r>
        <w:rPr>
          <w:rFonts w:ascii="Arial;sans-serif" w:hAnsi="Arial;sans-serif"/>
          <w:b w:val="false"/>
          <w:i/>
          <w:strike w:val="false"/>
          <w:dstrike w:val="false"/>
          <w:sz w:val="18"/>
          <w:u w:val="none"/>
          <w:effect w:val="none"/>
        </w:rPr>
        <w:t>Dissolution or Liquidation</w:t>
      </w:r>
      <w:r>
        <w:rPr>
          <w:rFonts w:ascii="Arial;sans-serif" w:hAnsi="Arial;sans-serif"/>
          <w:b w:val="false"/>
          <w:i w:val="false"/>
          <w:caps w:val="false"/>
          <w:smallCaps w:val="false"/>
          <w:strike w:val="false"/>
          <w:dstrike w:val="false"/>
          <w:sz w:val="18"/>
          <w:u w:val="none"/>
          <w:effect w:val="none"/>
        </w:rPr>
        <w:t xml:space="preserve">.  To the extent not previously exercised or settled, Options, SARs, and Restricted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Units shall terminate immediately prior to the dissolution or liquidation of the Company and Stock Purchase Rights shall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subject to such treatment as set forth in the ESPP Addendum.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w:t>
      </w:r>
      <w:r>
        <w:rPr>
          <w:rFonts w:ascii="Arial;sans-serif" w:hAnsi="Arial;sans-serif"/>
          <w:b w:val="false"/>
          <w:i/>
          <w:strike w:val="false"/>
          <w:dstrike w:val="false"/>
          <w:sz w:val="18"/>
          <w:u w:val="none"/>
          <w:effect w:val="none"/>
        </w:rPr>
        <w:t>Merger or Reorganization</w:t>
      </w:r>
      <w:r>
        <w:rPr>
          <w:rFonts w:ascii="Arial;sans-serif" w:hAnsi="Arial;sans-serif"/>
          <w:b w:val="false"/>
          <w:i w:val="false"/>
          <w:caps w:val="false"/>
          <w:smallCaps w:val="false"/>
          <w:strike w:val="false"/>
          <w:dstrike w:val="false"/>
          <w:sz w:val="18"/>
          <w:u w:val="none"/>
          <w:effect w:val="none"/>
        </w:rPr>
        <w:t xml:space="preserve">.  In the event that the Company is a party to a merger or other reorganization,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outstanding Awards shall be subject to the agreement of merger or reorganization. Subject to compliance with Section 409A,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such agreement may provide for one or more of the following with respect to Awards other than Stock Purchase Rights,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without limitation: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(i)The continuation of the outstanding Awards by the Company, if the Company is a surviving corporation;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(ii)The assumption of the outstanding Awards by the surviving corporation or its parent or subsidiary;</w:t>
      </w:r>
    </w:p>
    <w:tbl>
      <w:tblPr>
        <w:tblW w:w="2046" w:type="dxa"/>
        <w:jc w:val="left"/>
        <w:tblInd w:w="0" w:type="dxa"/>
        <w:tblLayout w:type="fixed"/>
        <w:tblCellMar>
          <w:top w:w="28" w:type="dxa"/>
          <w:left w:w="28" w:type="dxa"/>
          <w:bottom w:w="28" w:type="dxa"/>
          <w:right w:w="28" w:type="dxa"/>
        </w:tblCellMar>
      </w:tblPr>
      <w:tblGrid>
        <w:gridCol w:w="1501"/>
        <w:gridCol w:w="109"/>
        <w:gridCol w:w="436"/>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A-13</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(iii)The substitution by the surviving corporation or its parent or subsidiary of its own awards for the outstanding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Awards;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(iv)Immediate vesting, exercisability, or settlement of outstanding Awards followed by the cancellation of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Awards upon or immediately prior to the effectiveness of such transaction;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(v)Cancellation of the Award, to the extent not vested or not exercised prior to the effective time of the merger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reorganization, in exchange for such cash or equity consideration (including no consideration) as the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 its sole discretion, may consider appropriate; or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(vi)Settlement of the intrinsic value of the outstanding Awards (whether or not then vested or exercisable) in cash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cash equivalents or equity (including cash or equity subject to deferred vesting and delivery consistent with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vesting restrictions applicable to such Awards or the underlying Shares) followed by the cancellation of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Awards (and, for the avoidance of doubt, if as of the date of the occurrence of the transaction the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determines in good faith that no amount would have been attained upon the exercise of such Award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realization of the Participant’s rights, then such Award may be terminated by the Company without payment),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provided that any such amount may be delayed to the same extent that payment of consideration to the holders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Stock in connection with the merger or reorganization is delayed as a result of escrows, earnouts, holdbacks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or other contingencies;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each case without the Participant’s consent. Any acceleration of payment of an amount that is subject to Section 409A will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 delayed, if necessary, until the earliest time that such payment would be permissible under Section 409A without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triggering any additional taxes applicable under Section 409A. In addition, in the event that the Company is a party to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merger or other reorganization, outstanding Stock Purchase Rights shall be subject to the terms of the ESPP Addendum.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 will have no obligation to treat all Awards, all Awards held by a Participant, or all Awards of the same type,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similarly.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(d)</w:t>
      </w:r>
      <w:r>
        <w:rPr>
          <w:rFonts w:ascii="Arial;sans-serif" w:hAnsi="Arial;sans-serif"/>
          <w:b w:val="false"/>
          <w:i/>
          <w:strike w:val="false"/>
          <w:dstrike w:val="false"/>
          <w:sz w:val="18"/>
          <w:u w:val="none"/>
          <w:effect w:val="none"/>
        </w:rPr>
        <w:t>Change in Control</w:t>
      </w:r>
      <w:r>
        <w:rPr>
          <w:rFonts w:ascii="Arial;sans-serif" w:hAnsi="Arial;sans-serif"/>
          <w:b w:val="false"/>
          <w:i w:val="false"/>
          <w:caps w:val="false"/>
          <w:smallCaps w:val="false"/>
          <w:strike w:val="false"/>
          <w:dstrike w:val="false"/>
          <w:sz w:val="18"/>
          <w:u w:val="none"/>
          <w:effect w:val="none"/>
        </w:rPr>
        <w:t xml:space="preserve">.  In addition to (and without limiting) the actions that may be taken under Section 13(c), 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event of a Change in Control in which the surviving corporation or acquiring corporation (or the surviving or acquiring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corporation’s parent company) does not continue, assume or settle (subject to vesting) outstanding Awards (other than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 Purchase Rights), or substitute similar stock awards for outstanding Awards (other than Stock Purchase Rights), then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with respect to any such Awards that have not been continued, assumed, settled or substituted, the Committee may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determine, at the time of granting an Award or thereafter, that the vesting (and exercisability, if applicable) of any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Awards (or portion thereof) will be accelerated in full (and with respect to any such Awards subject to performance-based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vesting, that vesting shall be deemed satisfied at the target level or based on actual performance measured in accordance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with the applicable performance goals as of the date of the Change in Control, or the greater thereof) to a date prior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effective time of the Change in Control (contingent upon the closing or completion of the Change in Control) as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will determine (or, if the Committee does not determine such a date, to the date that is five days prior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effective time of the Change in Control), and any reacquisition or repurchase rights held by the Company with respect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such vested Awards will lapse (contingent upon the closing or completion of the Change in Control). In addition,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may determine, at the time of granting an Award (other than Stock Purchase Rights) or thereafter, that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 shall become exercisable or vested as to all or part of the Shares subject to such Award in the event that a Change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Control occurs with respect to the Company. The Committee will have no obligation to treat all Awards, all Awards held by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 or all Awards of the same type, similarly. Notwithstanding the foregoing, upon a Change in Control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Purchase Rights shall be subject to the terms of the ESPP Addendum.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(e)</w:t>
      </w:r>
      <w:r>
        <w:rPr>
          <w:rFonts w:ascii="Arial;sans-serif" w:hAnsi="Arial;sans-serif"/>
          <w:b w:val="false"/>
          <w:i/>
          <w:strike w:val="false"/>
          <w:dstrike w:val="false"/>
          <w:sz w:val="18"/>
          <w:u w:val="none"/>
          <w:effect w:val="none"/>
        </w:rPr>
        <w:t>Reservation of Rights</w:t>
      </w:r>
      <w:r>
        <w:rPr>
          <w:rFonts w:ascii="Arial;sans-serif" w:hAnsi="Arial;sans-serif"/>
          <w:b w:val="false"/>
          <w:i w:val="false"/>
          <w:caps w:val="false"/>
          <w:smallCaps w:val="false"/>
          <w:strike w:val="false"/>
          <w:dstrike w:val="false"/>
          <w:sz w:val="18"/>
          <w:u w:val="none"/>
          <w:effect w:val="none"/>
        </w:rPr>
        <w:t xml:space="preserve">.  Except as provided in this Section 13, a Participant shall have no rights by reason of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subdivision or consolidation of Shares of stock of any class, the payment of any dividend or any other increase or decrease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the number of Shares of stock of any class. Any issue by the Company of Shares of stock of any class, or securities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convertible into Shares of stock of any class, shall not affect, and no adjustment by reason thereof shall be made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respect to, the number or Exercise Price (or purchase price with respect to any Stock Purchase Right) of Shares subject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 Award. The grant of an Award pursuant to the Plan shall not affect in any way the right or power of the Company to make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adjustments, reclassifications, reorganizations, or changes of its capital or business structure, to merge or consolidate or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dissolve, liquidate, sell, or transfer all or any part of its business or assets. In the event of any change affecting the Shares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Exercise Price (or purchase price with respect to any Stock Purchase Right) of Shares subject to an Award, including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merger or other reorganization, for reasons of administrative convenience, the Company in its sole discretion may refuse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permit the exercise of any Award during a period of up to 30 days prior to the occurrence of such event. Notwithstanding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foregoing, Stock Purchase Rights shall be subject to the terms of the ESPP Addendum. </w:t>
      </w:r>
    </w:p>
    <w:tbl>
      <w:tblPr>
        <w:tblW w:w="2046" w:type="dxa"/>
        <w:jc w:val="left"/>
        <w:tblInd w:w="0" w:type="dxa"/>
        <w:tblLayout w:type="fixed"/>
        <w:tblCellMar>
          <w:top w:w="28" w:type="dxa"/>
          <w:left w:w="28" w:type="dxa"/>
          <w:bottom w:w="28" w:type="dxa"/>
          <w:right w:w="28" w:type="dxa"/>
        </w:tblCellMar>
      </w:tblPr>
      <w:tblGrid>
        <w:gridCol w:w="406"/>
        <w:gridCol w:w="109"/>
        <w:gridCol w:w="1531"/>
      </w:tblGrid>
      <w:tr>
        <w:trPr/>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A-14</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14.  DEFERRAL OF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w:t>
      </w:r>
      <w:r>
        <w:rPr>
          <w:rFonts w:ascii="Arial;sans-serif" w:hAnsi="Arial;sans-serif"/>
          <w:b w:val="false"/>
          <w:i/>
          <w:strike w:val="false"/>
          <w:dstrike w:val="false"/>
          <w:sz w:val="18"/>
          <w:u w:val="none"/>
          <w:effect w:val="none"/>
        </w:rPr>
        <w:t>Committee Powers</w:t>
      </w:r>
      <w:r>
        <w:rPr>
          <w:rFonts w:ascii="Arial;sans-serif" w:hAnsi="Arial;sans-serif"/>
          <w:b w:val="false"/>
          <w:i w:val="false"/>
          <w:caps w:val="false"/>
          <w:smallCaps w:val="false"/>
          <w:strike w:val="false"/>
          <w:dstrike w:val="false"/>
          <w:sz w:val="18"/>
          <w:u w:val="none"/>
          <w:effect w:val="none"/>
        </w:rPr>
        <w:t xml:space="preserve">.  Subject to compliance with Section 409A, the Committee (in its sole discretion) may permit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require a Participant to:</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(i)Have cash that otherwise would be paid to such Participant as a result of the exercise of a SAR or the settlement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Restricted Stock Units credited to a deferred compensation account established for such Participant by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Committee as an entry on the Company’s books;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(ii)Have Shares that otherwise would be delivered to such Participant as a result of the exercise of an Option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SAR converted into an equal number of Restricted Stock Units; or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(iii)Have Shares that otherwise would be delivered to such Participant as a result of the exercise of an Option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SAR or the settlement of Restricted Stock Units converted into amounts credited to a deferred compensation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account established for such Participant by the Committee as an entry on the Company’s books.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Such amounts shall be determined by reference to the Fair Market Value of such Shares as of the date when they otherwise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would have been delivered to such Participant.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w:t>
      </w:r>
      <w:r>
        <w:rPr>
          <w:rFonts w:ascii="Arial;sans-serif" w:hAnsi="Arial;sans-serif"/>
          <w:b w:val="false"/>
          <w:i/>
          <w:strike w:val="false"/>
          <w:dstrike w:val="false"/>
          <w:sz w:val="18"/>
          <w:u w:val="none"/>
          <w:effect w:val="none"/>
        </w:rPr>
        <w:t>General Rules</w:t>
      </w:r>
      <w:r>
        <w:rPr>
          <w:rFonts w:ascii="Arial;sans-serif" w:hAnsi="Arial;sans-serif"/>
          <w:b w:val="false"/>
          <w:i w:val="false"/>
          <w:caps w:val="false"/>
          <w:smallCaps w:val="false"/>
          <w:strike w:val="false"/>
          <w:dstrike w:val="false"/>
          <w:sz w:val="18"/>
          <w:u w:val="none"/>
          <w:effect w:val="none"/>
        </w:rPr>
        <w:t xml:space="preserve">.  A deferred compensation account established under this Section 14 may be credited with interest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other forms of investment return, as determined by the Committee. A Participant for whom such an account is established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shall have no rights other than those of a general creditor of the Company. Such an account shall represent an unfunded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unsecured obligation of the Company and shall be subject to the terms and conditions of the applicable agreement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between such Participant and the Company. If the deferral or conversion of Awards is permitted or required, the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its sole discretion) may establish rules, procedures, and forms pertaining to such Awards, including (without limitation)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settlement of deferred compensation accounts established under this Section 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15.  AWARDS UNDER OTHER PLANS.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 may grant awards under other plans or programs. Such awards may be settled in the form of Shares issued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the Plan. Such Shares shall be treated for all purposes under the Plan like Shares issued in settlement of Restricted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Stock Units and shall, when issued, reduce the number of Shares available under Section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16.  PAYMENT OF DIRECTOR’S FEES IN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w:t>
      </w:r>
      <w:r>
        <w:rPr>
          <w:rFonts w:ascii="Arial;sans-serif" w:hAnsi="Arial;sans-serif"/>
          <w:b w:val="false"/>
          <w:i/>
          <w:strike w:val="false"/>
          <w:dstrike w:val="false"/>
          <w:sz w:val="18"/>
          <w:u w:val="none"/>
          <w:effect w:val="none"/>
        </w:rPr>
        <w:t>Effective Date</w:t>
      </w:r>
      <w:r>
        <w:rPr>
          <w:rFonts w:ascii="Arial;sans-serif" w:hAnsi="Arial;sans-serif"/>
          <w:b w:val="false"/>
          <w:i w:val="false"/>
          <w:caps w:val="false"/>
          <w:smallCaps w:val="false"/>
          <w:strike w:val="false"/>
          <w:dstrike w:val="false"/>
          <w:sz w:val="18"/>
          <w:u w:val="none"/>
          <w:effect w:val="none"/>
        </w:rPr>
        <w:t xml:space="preserve">.  No provision of this Section 16 shall be effective unless and until the Board has determined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implement such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w:t>
      </w:r>
      <w:r>
        <w:rPr>
          <w:rFonts w:ascii="Arial;sans-serif" w:hAnsi="Arial;sans-serif"/>
          <w:b w:val="false"/>
          <w:i/>
          <w:strike w:val="false"/>
          <w:dstrike w:val="false"/>
          <w:sz w:val="18"/>
          <w:u w:val="none"/>
          <w:effect w:val="none"/>
        </w:rPr>
        <w:t>Elections to Receive NSOs, SARs, Restricted Shares, or Restricted Stock Units</w:t>
      </w:r>
      <w:r>
        <w:rPr>
          <w:rFonts w:ascii="Arial;sans-serif" w:hAnsi="Arial;sans-serif"/>
          <w:b w:val="false"/>
          <w:i w:val="false"/>
          <w:caps w:val="false"/>
          <w:smallCaps w:val="false"/>
          <w:strike w:val="false"/>
          <w:dstrike w:val="false"/>
          <w:sz w:val="18"/>
          <w:u w:val="none"/>
          <w:effect w:val="none"/>
        </w:rPr>
        <w:t xml:space="preserve">.  An Outside Director may elect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receive his or her annual retainer payments and/or meeting fees from the Company in the form of cash, NSOs, SARs,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Restricted Shares, Restricted Stock Units, or a combination thereof, as determined by the Board. Alternatively, the Board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may mandate payment in any of such alternative forms. Such NSOs, SARs, Restricted Shares, and Restricted Stock Units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shall be issued under the Plan. An election under this Section 16 shall be filed with the Company on the prescribed 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w:t>
      </w:r>
      <w:r>
        <w:rPr>
          <w:rFonts w:ascii="Arial;sans-serif" w:hAnsi="Arial;sans-serif"/>
          <w:b w:val="false"/>
          <w:i/>
          <w:strike w:val="false"/>
          <w:dstrike w:val="false"/>
          <w:sz w:val="18"/>
          <w:u w:val="none"/>
          <w:effect w:val="none"/>
        </w:rPr>
        <w:t>Number and Terms of NSOs, SARs, Restricted Shares or Restricted Stock Units</w:t>
      </w:r>
      <w:r>
        <w:rPr>
          <w:rFonts w:ascii="Arial;sans-serif" w:hAnsi="Arial;sans-serif"/>
          <w:b w:val="false"/>
          <w:i w:val="false"/>
          <w:caps w:val="false"/>
          <w:smallCaps w:val="false"/>
          <w:strike w:val="false"/>
          <w:dstrike w:val="false"/>
          <w:sz w:val="18"/>
          <w:u w:val="none"/>
          <w:effect w:val="none"/>
        </w:rPr>
        <w:t xml:space="preserve">.  The number of NSOs, SARs,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Restricted Shares, or Restricted Stock Units to be granted to Outside Directors in lieu of annual retainers and meeting fees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that would otherwise be paid in cash shall be calculated in a manner determined by the Board. The terms of such NSOs,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SARs, Restricted Shares, or Restricted Stock Units shall also be determined by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17.  LEGAL AND REGULATORY REQUIREMENTS.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shall not be issued under the Plan unless the issuance and delivery of such Shares complies with (or is exempt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from) all applicable requirements of law, including (without limitation) the United States Securities Act, state securities laws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regulations and the regulations of any stock exchange on which the Company’s securities may then be listed, and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 has obtained the approval or favorable ruling from any governmental agency which the Company determines 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necessary or advisable. The Company shall not be liable to a Participant or other persons as to: (a) the non-issuance or sale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Shares as to which the Company has not obtained from any regulatory body having jurisdiction the authority deemed by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Company’s counsel to be necessary to the lawful issuance and sale of any Shares under the Plan; and (b) any tax </w:t>
      </w:r>
    </w:p>
    <w:tbl>
      <w:tblPr>
        <w:tblW w:w="2046" w:type="dxa"/>
        <w:jc w:val="left"/>
        <w:tblInd w:w="0" w:type="dxa"/>
        <w:tblLayout w:type="fixed"/>
        <w:tblCellMar>
          <w:top w:w="28" w:type="dxa"/>
          <w:left w:w="28" w:type="dxa"/>
          <w:bottom w:w="28" w:type="dxa"/>
          <w:right w:w="28" w:type="dxa"/>
        </w:tblCellMar>
      </w:tblPr>
      <w:tblGrid>
        <w:gridCol w:w="1501"/>
        <w:gridCol w:w="109"/>
        <w:gridCol w:w="436"/>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A-15</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consequences expected, but not realized, by any Participant or other person due to the receipt, exercise or settlement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any Award granted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18.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w:t>
      </w:r>
      <w:r>
        <w:rPr>
          <w:rFonts w:ascii="Arial;sans-serif" w:hAnsi="Arial;sans-serif"/>
          <w:b w:val="false"/>
          <w:i/>
          <w:strike w:val="false"/>
          <w:dstrike w:val="false"/>
          <w:sz w:val="18"/>
          <w:u w:val="none"/>
          <w:effect w:val="none"/>
        </w:rPr>
        <w:t>Withholding Taxes</w:t>
      </w:r>
      <w:r>
        <w:rPr>
          <w:rFonts w:ascii="Arial;sans-serif" w:hAnsi="Arial;sans-serif"/>
          <w:b w:val="false"/>
          <w:i w:val="false"/>
          <w:caps w:val="false"/>
          <w:smallCaps w:val="false"/>
          <w:strike w:val="false"/>
          <w:dstrike w:val="false"/>
          <w:sz w:val="18"/>
          <w:u w:val="none"/>
          <w:effect w:val="none"/>
        </w:rPr>
        <w:t xml:space="preserve">.  To the extent required by applicable federal, state, local, or foreign law, a Participant or his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her successor shall make arrangements satisfactory to the Company for the satisfaction of any withholding tax obligations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that arise in connection with the Plan. The Company shall not be required to issue any Shares or make any cash payment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under the Plan until such obligations are satisfied.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w:t>
      </w:r>
      <w:r>
        <w:rPr>
          <w:rFonts w:ascii="Arial;sans-serif" w:hAnsi="Arial;sans-serif"/>
          <w:b w:val="false"/>
          <w:i/>
          <w:strike w:val="false"/>
          <w:dstrike w:val="false"/>
          <w:sz w:val="18"/>
          <w:u w:val="none"/>
          <w:effect w:val="none"/>
        </w:rPr>
        <w:t>Share Withholding</w:t>
      </w:r>
      <w:r>
        <w:rPr>
          <w:rFonts w:ascii="Arial;sans-serif" w:hAnsi="Arial;sans-serif"/>
          <w:b w:val="false"/>
          <w:i w:val="false"/>
          <w:caps w:val="false"/>
          <w:smallCaps w:val="false"/>
          <w:strike w:val="false"/>
          <w:dstrike w:val="false"/>
          <w:sz w:val="18"/>
          <w:u w:val="none"/>
          <w:effect w:val="none"/>
        </w:rPr>
        <w:t xml:space="preserve">.  The Committee may permit a Participant to satisfy all or part of his or her withholding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income tax obligations by having the Company withhold all or a portion of any Shares that otherwise would be issued to him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her or by surrendering all or a portion of any Shares that he or she previously acquired. Such Shares shall be valued 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their Fair Market Value on the date when taxes otherwise would be withheld in cash. In no event may a Participant have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withheld that would otherwise be issued to him or her in excess of the number necessary to satisfy the maximum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legally required tax withholding.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w:t>
      </w:r>
      <w:r>
        <w:rPr>
          <w:rFonts w:ascii="Arial;sans-serif" w:hAnsi="Arial;sans-serif"/>
          <w:b w:val="false"/>
          <w:i/>
          <w:strike w:val="false"/>
          <w:dstrike w:val="false"/>
          <w:sz w:val="18"/>
          <w:u w:val="none"/>
          <w:effect w:val="none"/>
        </w:rPr>
        <w:t>Section 409A</w:t>
      </w:r>
      <w:r>
        <w:rPr>
          <w:rFonts w:ascii="Arial;sans-serif" w:hAnsi="Arial;sans-serif"/>
          <w:b w:val="false"/>
          <w:i w:val="false"/>
          <w:caps w:val="false"/>
          <w:smallCaps w:val="false"/>
          <w:strike w:val="false"/>
          <w:dstrike w:val="false"/>
          <w:sz w:val="18"/>
          <w:u w:val="none"/>
          <w:effect w:val="none"/>
        </w:rPr>
        <w:t xml:space="preserve">.  The Plan as well as payments and benefits under the Plan are intended to be exempt from, or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extent subject thereto, to comply with Section 409A, and, accordingly, to the maximum extent permitted, the Plan shall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 interpreted in accordance therewith. Each Award that provides for “nonqualified deferred compensation” within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meaning of Section 409A shall be subject to such additional rules and requirements as specified by the Committee from time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time in order to comply with Section 409A. If any amount under such an Award is payable upon a “separation from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service” (within the meaning of Section 409A) to a Participant who is then considered a “specified employee” (within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meaning of Section 409A), then no such payment shall be made prior to the date that is the earlier of (i) six months and one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day after the Participant’s separation from service, or (ii) the Participant’s death, but only to the extent such delay is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necessary to prevent such payment from being subject to interest, penalties, and/or additional tax imposed pursuant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Section 409A. In addition, the settlement of any such Award may not be accelerated except to the extent permitted by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Section 409A. Notwithstanding anything contained herein to the contrary, to the extent required in order to avoid accelerated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taxation and/or tax penalties under Section 409A, a Participant shall not be considered to have terminated employment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service with the Company or a Parent or Subsidiary, for purposes of the Plan and no payment shall be due to the Participant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the Plan or any Award until the Participant would be considered to have incurred a “separation from service” from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 or a Parent or Subsidiary within the meaning of Section 409A. Each amount to be paid or benefit to be provided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this Plan shall be construed as a separate identified payment for purposes of Section 409A. The Company makes no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representation that any or all of the payments or benefits described in this Plan will be exempt from or comply with Section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409A and makes no undertaking to preclude Section 409A from applying to any such payment. The Participant shall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solely responsible for the payment of any taxes and penalties incurred under Section 409A.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19.  TRANSFERABILITY.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Unless the agreement evidencing an Award (or an amendment thereto authorized by the Committee) expressly provides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otherwise, no Award granted under the Plan, nor any interest in such Award, may be sold, assigned, conveyed, gifted,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pledged, hypothecated, or otherwise transferred in any manner (prior to the vesting and lapse of any and all restrictions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applicable to Shares issued under such Award), other than by will or the laws of descent and distribution; provided, however,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that an ISO may be transferred or assigned only to the extent consistent with Section 422 of the Code. Any purported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assignment, transfer, or encumbrance in violation of this Section 19 shall be void and unenforceable against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20.  PERFORMANCE BASED AWARDS.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number of Shares or other benefits granted, issued, retained, and/or vested under an Award may be made subject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attainment of performance goals. The Committee may utilize any performance criteria selected by it in its sole discretion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to establish performance goals.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21.  FORFEITURE, CANCELLATION OR RECOUPMENT OF AWARDS.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Committee shall have the authority, to the extent permitted by applicable law, to specify in an Award Agreement,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exercise notice or share purchase agreement that the Participant’s rights, payments and benefits with respect to an Award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shall be subject to reduction, cancellation, forfeiture, or recoupment upon the occurrence of specified events, in addition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any otherwise applicable vesting or performance conditions of an Award. Such events may include, but shall not be limited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in each case to the extent permitted by applicable law, termination of Service for Cause or any act by a Participant,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whether before or after termination of Service, that would constitute Cause for termination of Service, a Participant’s </w:t>
      </w:r>
    </w:p>
    <w:tbl>
      <w:tblPr>
        <w:tblW w:w="2046" w:type="dxa"/>
        <w:jc w:val="left"/>
        <w:tblInd w:w="0" w:type="dxa"/>
        <w:tblLayout w:type="fixed"/>
        <w:tblCellMar>
          <w:top w:w="28" w:type="dxa"/>
          <w:left w:w="28" w:type="dxa"/>
          <w:bottom w:w="28" w:type="dxa"/>
          <w:right w:w="28" w:type="dxa"/>
        </w:tblCellMar>
      </w:tblPr>
      <w:tblGrid>
        <w:gridCol w:w="406"/>
        <w:gridCol w:w="109"/>
        <w:gridCol w:w="1531"/>
      </w:tblGrid>
      <w:tr>
        <w:trPr/>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A-16</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noncompliance with applicable restrictive covenants and conditions, and any other events set forth in a clawback,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recoupment or similar policy adopted or amended by the Company from time to time, including, without limitation,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Company’s Compensation Recoupment Policy. Notwithstanding the foregoing, Stock Purchase Rights shall be subject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terms of the ESPP Addendum.</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Company will recoup incentive-based compensation from executive officers to the extent required under the Dodd-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Frank Wall Street Reform and Consumer Protection Act and any rules, regulations and listing standards that may be issued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that act. Any right of recoupment under this provision will be in addition to, and not in lieu of, any other rights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recoupment that may be available to the Company. No recovery of compensation under any clawback policy or this Section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21 will be an event giving rise to a right to resign for “good reason” or “constructive termination” (or similar term) under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agreement with the Company or any of its Subsidiaries or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22.  NO EMPLOYMENT RIGHTS.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 provision of the Plan, nor any Award granted under the Plan, shall be construed to give any person any right to become,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to be treated as, or to remain an Employee, Outside Director or Consultant. The Company and its Subsidiaries reserve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right to terminate any person’s Service at any time and for any reason, with or without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23.  DURATION AND AMENDMENTS.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w:t>
      </w:r>
      <w:r>
        <w:rPr>
          <w:rFonts w:ascii="Arial;sans-serif" w:hAnsi="Arial;sans-serif"/>
          <w:b w:val="false"/>
          <w:i/>
          <w:strike w:val="false"/>
          <w:dstrike w:val="false"/>
          <w:sz w:val="18"/>
          <w:u w:val="none"/>
          <w:effect w:val="none"/>
        </w:rPr>
        <w:t>Term of the Plan</w:t>
      </w:r>
      <w:r>
        <w:rPr>
          <w:rFonts w:ascii="Arial;sans-serif" w:hAnsi="Arial;sans-serif"/>
          <w:b w:val="false"/>
          <w:i w:val="false"/>
          <w:caps w:val="false"/>
          <w:smallCaps w:val="false"/>
          <w:strike w:val="false"/>
          <w:dstrike w:val="false"/>
          <w:sz w:val="18"/>
          <w:u w:val="none"/>
          <w:effect w:val="none"/>
        </w:rPr>
        <w:t xml:space="preserve">.  The Plan, as set forth herein, shall come into existence on the date of its adoption by the Board;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provided, however, that no Award may be granted hereunder prior to the Effective Date. The Board may suspend or </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terminate the Plan at any time. No ISOs may be granted after the tenth (10</w:t>
      </w:r>
      <w:r>
        <w:rPr>
          <w:rFonts w:ascii="Arial;sans-serif" w:hAnsi="Arial;sans-serif"/>
          <w:b w:val="false"/>
          <w:i w:val="false"/>
          <w:caps w:val="false"/>
          <w:smallCaps w:val="false"/>
          <w:strike w:val="false"/>
          <w:dstrike w:val="false"/>
          <w:sz w:val="12"/>
          <w:u w:val="none"/>
          <w:effect w:val="none"/>
        </w:rPr>
        <w:t>th</w:t>
      </w:r>
      <w:r>
        <w:rPr>
          <w:rFonts w:ascii="Arial;sans-serif" w:hAnsi="Arial;sans-serif"/>
          <w:b w:val="false"/>
          <w:i w:val="false"/>
          <w:caps w:val="false"/>
          <w:smallCaps w:val="false"/>
          <w:strike w:val="false"/>
          <w:dstrike w:val="false"/>
          <w:sz w:val="18"/>
          <w:u w:val="none"/>
          <w:effect w:val="none"/>
        </w:rPr>
        <w:t xml:space="preserve">) anniversary of the earlier of  (i) the date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Plan is adopted by the Board, or (ii) the date the Plan is approved by the stockholders of the Company. The grant of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Purchase Rights shall be subject to such further restrictions as set forth in the ESPP Addendum.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w:t>
      </w:r>
      <w:r>
        <w:rPr>
          <w:rFonts w:ascii="Arial;sans-serif" w:hAnsi="Arial;sans-serif"/>
          <w:b w:val="false"/>
          <w:i/>
          <w:strike w:val="false"/>
          <w:dstrike w:val="false"/>
          <w:sz w:val="18"/>
          <w:u w:val="none"/>
          <w:effect w:val="none"/>
        </w:rPr>
        <w:t>Right to Amend the Plan</w:t>
      </w:r>
      <w:r>
        <w:rPr>
          <w:rFonts w:ascii="Arial;sans-serif" w:hAnsi="Arial;sans-serif"/>
          <w:b w:val="false"/>
          <w:i w:val="false"/>
          <w:caps w:val="false"/>
          <w:smallCaps w:val="false"/>
          <w:strike w:val="false"/>
          <w:dstrike w:val="false"/>
          <w:sz w:val="18"/>
          <w:u w:val="none"/>
          <w:effect w:val="none"/>
        </w:rPr>
        <w:t xml:space="preserve">.  Subject to Section 5(e), the Board may amend the Plan or the ESPP Addendum at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time and from time to time. Rights and obligations under any Award granted before amendment of the Plan shall not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materially impaired by such amendment, except with consent of the Participant. An amendment of the Plan (and the ESPP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Addendum) shall be subject to the approval of the Company’s stockholders only to the extent required by applicable laws,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regulations or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w:t>
      </w:r>
      <w:r>
        <w:rPr>
          <w:rFonts w:ascii="Arial;sans-serif" w:hAnsi="Arial;sans-serif"/>
          <w:b w:val="false"/>
          <w:i/>
          <w:strike w:val="false"/>
          <w:dstrike w:val="false"/>
          <w:sz w:val="18"/>
          <w:u w:val="none"/>
          <w:effect w:val="none"/>
        </w:rPr>
        <w:t>Effect of Termination</w:t>
      </w:r>
      <w:r>
        <w:rPr>
          <w:rFonts w:ascii="Arial;sans-serif" w:hAnsi="Arial;sans-serif"/>
          <w:b w:val="false"/>
          <w:i w:val="false"/>
          <w:caps w:val="false"/>
          <w:smallCaps w:val="false"/>
          <w:strike w:val="false"/>
          <w:dstrike w:val="false"/>
          <w:sz w:val="18"/>
          <w:u w:val="none"/>
          <w:effect w:val="none"/>
        </w:rPr>
        <w:t xml:space="preserve">.  No Awards shall be granted under the Plan after the termination thereof. The termination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Plan shall not affect Awards previously granted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24.  AWARDS TO NON-U.S. PARTICIPANTS.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Awards may be granted to Participants who are non-United States nationals or employed or providing services outside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United States, or both, on such terms and conditions different from those applicable to Awards to Participants who are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employed or providing services in the United States as may, in the judgment of the Committee, be necessary or desirable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recognize differences in local law, tax policy, or custom. The Committee also may impose conditions on the exercise,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vesting, or settlement of Awards in order to minimize the Company’s obligation with respect to tax equalization for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Participants on assignments outside their home country.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25.  GOVERNING LAW.</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Plan, the ESPP Addendum and each Award Agreement shall be governed by the laws of the state of Delaware, without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application of the conflicts of law principles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26.  SUCCESSORS AND ASSIGNS.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terms of the Plan shall be binding upon and inure to the benefit of the Company and any successor entity, including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successor entity contemplated by Section 13(c).</w:t>
      </w:r>
    </w:p>
    <w:tbl>
      <w:tblPr>
        <w:tblW w:w="2046" w:type="dxa"/>
        <w:jc w:val="left"/>
        <w:tblInd w:w="0" w:type="dxa"/>
        <w:tblLayout w:type="fixed"/>
        <w:tblCellMar>
          <w:top w:w="28" w:type="dxa"/>
          <w:left w:w="28" w:type="dxa"/>
          <w:bottom w:w="28" w:type="dxa"/>
          <w:right w:w="28" w:type="dxa"/>
        </w:tblCellMar>
      </w:tblPr>
      <w:tblGrid>
        <w:gridCol w:w="1501"/>
        <w:gridCol w:w="109"/>
        <w:gridCol w:w="436"/>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A-17</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27.  EXECUTION.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To record the adoption of the Plan by the Board, the Company has caused its authorized officer to execute the same.</w:t>
      </w:r>
    </w:p>
    <w:tbl>
      <w:tblPr>
        <w:tblW w:w="2556" w:type="dxa"/>
        <w:jc w:val="left"/>
        <w:tblInd w:w="0" w:type="dxa"/>
        <w:tblLayout w:type="fixed"/>
        <w:tblCellMar>
          <w:top w:w="28" w:type="dxa"/>
          <w:left w:w="28" w:type="dxa"/>
          <w:bottom w:w="28" w:type="dxa"/>
          <w:right w:w="28" w:type="dxa"/>
        </w:tblCellMar>
      </w:tblPr>
      <w:tblGrid>
        <w:gridCol w:w="124"/>
        <w:gridCol w:w="361"/>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32" w:type="dxa"/>
            <w:gridSpan w:val="2"/>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LUCID GROUP, INC.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By:</w:t>
            </w:r>
          </w:p>
        </w:tc>
        <w:tc>
          <w:tcPr>
            <w:tcW w:w="2071" w:type="dxa"/>
            <w:tcBorders/>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 Brian K. Tomkiel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Name: Brian K. Tomkiel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Title: General Counsel</w:t>
            </w:r>
          </w:p>
        </w:tc>
      </w:tr>
    </w:tbl>
    <w:tbl>
      <w:tblPr>
        <w:tblW w:w="2046" w:type="dxa"/>
        <w:jc w:val="left"/>
        <w:tblInd w:w="0" w:type="dxa"/>
        <w:tblLayout w:type="fixed"/>
        <w:tblCellMar>
          <w:top w:w="28" w:type="dxa"/>
          <w:left w:w="28" w:type="dxa"/>
          <w:bottom w:w="28" w:type="dxa"/>
          <w:right w:w="28" w:type="dxa"/>
        </w:tblCellMar>
      </w:tblPr>
      <w:tblGrid>
        <w:gridCol w:w="406"/>
        <w:gridCol w:w="109"/>
        <w:gridCol w:w="1531"/>
      </w:tblGrid>
      <w:tr>
        <w:trPr/>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A-18</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88">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ADDENDUM TO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LUCID GROUP, INC. AMENDED AND RESTATED 2021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STOCK INCENTIVE PLAN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AMENDED AND RESTATED 2021 EMPLOYEE STOCK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PURCHASE PLAN </w:t>
      </w:r>
    </w:p>
    <w:tbl>
      <w:tblPr>
        <w:tblW w:w="2046" w:type="dxa"/>
        <w:jc w:val="left"/>
        <w:tblInd w:w="0" w:type="dxa"/>
        <w:tblLayout w:type="fixed"/>
        <w:tblCellMar>
          <w:top w:w="28" w:type="dxa"/>
          <w:left w:w="28" w:type="dxa"/>
          <w:bottom w:w="28" w:type="dxa"/>
          <w:right w:w="28" w:type="dxa"/>
        </w:tblCellMar>
      </w:tblPr>
      <w:tblGrid>
        <w:gridCol w:w="1501"/>
        <w:gridCol w:w="109"/>
        <w:gridCol w:w="436"/>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A-19</w:t>
            </w:r>
          </w:p>
        </w:tc>
      </w:tr>
    </w:tbl>
    <w:p>
      <w:pPr>
        <w:pStyle w:val="TextBody"/>
        <w:bidi w:val="0"/>
        <w:spacing w:lineRule="atLeast" w:line="160" w:before="0" w:after="0"/>
        <w:jc w:val="left"/>
        <w:rPr/>
      </w:pPr>
      <w:hyperlink w:anchor="i8e46ffef7ba64d5685b12ae81aaaa434_385">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Table of Contents</w:t>
      </w:r>
    </w:p>
    <w:tbl>
      <w:tblPr>
        <w:tblW w:w="5867" w:type="dxa"/>
        <w:jc w:val="left"/>
        <w:tblInd w:w="0" w:type="dxa"/>
        <w:tblLayout w:type="fixed"/>
        <w:tblCellMar>
          <w:top w:w="28" w:type="dxa"/>
          <w:left w:w="28" w:type="dxa"/>
          <w:bottom w:w="28" w:type="dxa"/>
          <w:right w:w="28" w:type="dxa"/>
        </w:tblCellMar>
      </w:tblPr>
      <w:tblGrid>
        <w:gridCol w:w="5311"/>
        <w:gridCol w:w="556"/>
      </w:tblGrid>
      <w:tr>
        <w:trPr/>
        <w:tc>
          <w:tcPr>
            <w:tcW w:w="53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53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4"/>
                <w:u w:val="none"/>
                <w:effect w:val="none"/>
              </w:rPr>
            </w:pPr>
            <w:r>
              <w:rPr>
                <w:rFonts w:ascii="Arial;sans-serif" w:hAnsi="Arial;sans-serif"/>
                <w:b/>
                <w:i w:val="false"/>
                <w:caps w:val="false"/>
                <w:smallCaps w:val="false"/>
                <w:strike w:val="false"/>
                <w:dstrike w:val="false"/>
                <w:color w:val="000000"/>
                <w:sz w:val="14"/>
                <w:u w:val="none"/>
                <w:effect w:val="none"/>
              </w:rPr>
              <w:t xml:space="preserve">Page </w:t>
            </w:r>
          </w:p>
        </w:tc>
      </w:tr>
      <w:tr>
        <w:trPr/>
        <w:tc>
          <w:tcPr>
            <w:tcW w:w="5311" w:type="dxa"/>
            <w:tcBorders/>
            <w:vAlign w:val="center"/>
          </w:tcPr>
          <w:p>
            <w:pPr>
              <w:pStyle w:val="TableContents"/>
              <w:bidi w:val="0"/>
              <w:spacing w:before="0" w:after="283"/>
              <w:jc w:val="left"/>
              <w:rPr>
                <w:sz w:val="4"/>
                <w:szCs w:val="4"/>
              </w:rPr>
            </w:pPr>
            <w:r>
              <w:rPr>
                <w:sz w:val="4"/>
                <w:szCs w:val="4"/>
              </w:rPr>
            </w:r>
          </w:p>
        </w:tc>
        <w:tc>
          <w:tcPr>
            <w:tcW w:w="55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tcBorders/>
            <w:shd w:fill="CCEEFF" w:val="clear"/>
            <w:vAlign w:val="center"/>
          </w:tcPr>
          <w:p>
            <w:pPr>
              <w:pStyle w:val="TableContents"/>
              <w:bidi w:val="0"/>
              <w:spacing w:lineRule="atLeast" w:line="180" w:before="0" w:after="0"/>
              <w:jc w:val="left"/>
              <w:rPr/>
            </w:pPr>
            <w:hyperlink w:anchor="i8e46ffef7ba64d5685b12ae81aaaa434_391">
              <w:r>
                <w:rPr>
                  <w:rStyle w:val="InternetLink"/>
                  <w:rFonts w:ascii="Arial;sans-serif" w:hAnsi="Arial;sans-serif"/>
                  <w:b/>
                  <w:i w:val="false"/>
                  <w:caps w:val="false"/>
                  <w:smallCaps w:val="false"/>
                  <w:color w:val="0000EE"/>
                  <w:sz w:val="18"/>
                  <w:u w:val="single"/>
                </w:rPr>
                <w:t>SECTION 1 PURPOSE OF THE PLAN</w:t>
              </w:r>
            </w:hyperlink>
          </w:p>
        </w:tc>
        <w:tc>
          <w:tcPr>
            <w:tcW w:w="556" w:type="dxa"/>
            <w:tcBorders>
              <w:top w:val="single" w:sz="12" w:space="0" w:color="000000"/>
            </w:tcBorders>
            <w:shd w:fill="CCEEFF" w:val="clear"/>
            <w:tcMar>
              <w:left w:w="0" w:type="dxa"/>
              <w:bottom w:w="0" w:type="dxa"/>
              <w:right w:w="0" w:type="dxa"/>
            </w:tcMar>
            <w:vAlign w:val="center"/>
          </w:tcPr>
          <w:p>
            <w:pPr>
              <w:pStyle w:val="TableContents"/>
              <w:bidi w:val="0"/>
              <w:spacing w:lineRule="atLeast" w:line="180" w:before="0" w:after="0"/>
              <w:jc w:val="left"/>
              <w:rPr/>
            </w:pPr>
            <w:hyperlink w:anchor="i8e46ffef7ba64d5685b12ae81aaaa434_391">
              <w:r>
                <w:rPr>
                  <w:rStyle w:val="InternetLink"/>
                  <w:rFonts w:ascii="Arial;sans-serif" w:hAnsi="Arial;sans-serif"/>
                  <w:b/>
                  <w:i w:val="false"/>
                  <w:caps w:val="false"/>
                  <w:smallCaps w:val="false"/>
                  <w:color w:val="0000EE"/>
                  <w:sz w:val="18"/>
                  <w:u w:val="single"/>
                </w:rPr>
                <w:t>A-21</w:t>
              </w:r>
            </w:hyperlink>
          </w:p>
        </w:tc>
      </w:tr>
      <w:tr>
        <w:trPr/>
        <w:tc>
          <w:tcPr>
            <w:tcW w:w="5311" w:type="dxa"/>
            <w:tcBorders/>
            <w:shd w:fill="FFFFFF" w:val="clear"/>
            <w:vAlign w:val="center"/>
          </w:tcPr>
          <w:p>
            <w:pPr>
              <w:pStyle w:val="TableContents"/>
              <w:bidi w:val="0"/>
              <w:spacing w:lineRule="atLeast" w:line="180" w:before="0" w:after="0"/>
              <w:jc w:val="left"/>
              <w:rPr/>
            </w:pPr>
            <w:hyperlink w:anchor="i8e46ffef7ba64d5685b12ae81aaaa434_97">
              <w:r>
                <w:rPr>
                  <w:rStyle w:val="InternetLink"/>
                  <w:rFonts w:ascii="Arial;sans-serif" w:hAnsi="Arial;sans-serif"/>
                  <w:b/>
                  <w:i w:val="false"/>
                  <w:caps w:val="false"/>
                  <w:smallCaps w:val="false"/>
                  <w:color w:val="0000EE"/>
                  <w:sz w:val="18"/>
                  <w:u w:val="single"/>
                </w:rPr>
                <w:t>SECTION 2 DEFINITIONS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394">
              <w:r>
                <w:rPr>
                  <w:rStyle w:val="InternetLink"/>
                  <w:rFonts w:ascii="Arial;sans-serif" w:hAnsi="Arial;sans-serif"/>
                  <w:b/>
                  <w:i w:val="false"/>
                  <w:caps w:val="false"/>
                  <w:smallCaps w:val="false"/>
                  <w:color w:val="0000EE"/>
                  <w:sz w:val="18"/>
                  <w:u w:val="single"/>
                </w:rPr>
                <w:t>A-21</w:t>
              </w:r>
            </w:hyperlink>
          </w:p>
        </w:tc>
      </w:tr>
      <w:tr>
        <w:trPr/>
        <w:tc>
          <w:tcPr>
            <w:tcW w:w="5311" w:type="dxa"/>
            <w:tcBorders/>
            <w:shd w:fill="CCEEFF" w:val="clear"/>
            <w:vAlign w:val="center"/>
          </w:tcPr>
          <w:p>
            <w:pPr>
              <w:pStyle w:val="TableContents"/>
              <w:bidi w:val="0"/>
              <w:spacing w:lineRule="atLeast" w:line="180" w:before="0" w:after="0"/>
              <w:jc w:val="left"/>
              <w:rPr/>
            </w:pPr>
            <w:hyperlink w:anchor="i8e46ffef7ba64d5685b12ae81aaaa434_397">
              <w:r>
                <w:rPr>
                  <w:rStyle w:val="InternetLink"/>
                  <w:rFonts w:ascii="Arial;sans-serif" w:hAnsi="Arial;sans-serif"/>
                  <w:b/>
                  <w:i w:val="false"/>
                  <w:caps w:val="false"/>
                  <w:smallCaps w:val="false"/>
                  <w:color w:val="0000EE"/>
                  <w:sz w:val="18"/>
                  <w:u w:val="single"/>
                </w:rPr>
                <w:t>SECTION 3 ADMINISTRATION OF THE PLAN</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397">
              <w:r>
                <w:rPr>
                  <w:rStyle w:val="InternetLink"/>
                  <w:rFonts w:ascii="Arial;sans-serif" w:hAnsi="Arial;sans-serif"/>
                  <w:b/>
                  <w:i w:val="false"/>
                  <w:caps w:val="false"/>
                  <w:smallCaps w:val="false"/>
                  <w:color w:val="0000EE"/>
                  <w:sz w:val="18"/>
                  <w:u w:val="single"/>
                </w:rPr>
                <w:t>A-22</w:t>
              </w:r>
            </w:hyperlink>
          </w:p>
        </w:tc>
      </w:tr>
      <w:tr>
        <w:trPr/>
        <w:tc>
          <w:tcPr>
            <w:tcW w:w="53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400">
              <w:r>
                <w:rPr>
                  <w:rStyle w:val="InternetLink"/>
                  <w:rFonts w:ascii="Arial;sans-serif" w:hAnsi="Arial;sans-serif"/>
                  <w:b w:val="false"/>
                  <w:i w:val="false"/>
                  <w:caps w:val="false"/>
                  <w:smallCaps w:val="false"/>
                  <w:color w:val="000080"/>
                  <w:sz w:val="18"/>
                  <w:u w:val="single"/>
                </w:rPr>
                <w:t>Administrative Powers and Responsibilities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00">
              <w:r>
                <w:rPr>
                  <w:rStyle w:val="InternetLink"/>
                  <w:rFonts w:ascii="Arial;sans-serif" w:hAnsi="Arial;sans-serif"/>
                  <w:b w:val="false"/>
                  <w:i w:val="false"/>
                  <w:caps w:val="false"/>
                  <w:smallCaps w:val="false"/>
                  <w:color w:val="0000EE"/>
                  <w:sz w:val="18"/>
                  <w:u w:val="single"/>
                </w:rPr>
                <w:t>A-22</w:t>
              </w:r>
            </w:hyperlink>
          </w:p>
        </w:tc>
      </w:tr>
      <w:tr>
        <w:trPr/>
        <w:tc>
          <w:tcPr>
            <w:tcW w:w="53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403">
              <w:r>
                <w:rPr>
                  <w:rStyle w:val="InternetLink"/>
                  <w:rFonts w:ascii="Arial;sans-serif" w:hAnsi="Arial;sans-serif"/>
                  <w:b w:val="false"/>
                  <w:i w:val="false"/>
                  <w:caps w:val="false"/>
                  <w:smallCaps w:val="false"/>
                  <w:color w:val="000080"/>
                  <w:sz w:val="18"/>
                  <w:u w:val="single"/>
                </w:rPr>
                <w:t>International Administration</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03">
              <w:r>
                <w:rPr>
                  <w:rStyle w:val="InternetLink"/>
                  <w:rFonts w:ascii="Arial;sans-serif" w:hAnsi="Arial;sans-serif"/>
                  <w:b w:val="false"/>
                  <w:i w:val="false"/>
                  <w:caps w:val="false"/>
                  <w:smallCaps w:val="false"/>
                  <w:color w:val="0000EE"/>
                  <w:sz w:val="18"/>
                  <w:u w:val="single"/>
                </w:rPr>
                <w:t>A-23</w:t>
              </w:r>
            </w:hyperlink>
          </w:p>
        </w:tc>
      </w:tr>
      <w:tr>
        <w:trPr/>
        <w:tc>
          <w:tcPr>
            <w:tcW w:w="5311" w:type="dxa"/>
            <w:tcBorders/>
            <w:shd w:fill="FFFFFF" w:val="clear"/>
            <w:vAlign w:val="center"/>
          </w:tcPr>
          <w:p>
            <w:pPr>
              <w:pStyle w:val="TableContents"/>
              <w:bidi w:val="0"/>
              <w:spacing w:lineRule="atLeast" w:line="180" w:before="0" w:after="0"/>
              <w:jc w:val="left"/>
              <w:rPr/>
            </w:pPr>
            <w:hyperlink w:anchor="i8e46ffef7ba64d5685b12ae81aaaa434_406">
              <w:r>
                <w:rPr>
                  <w:rStyle w:val="InternetLink"/>
                  <w:rFonts w:ascii="Arial;sans-serif" w:hAnsi="Arial;sans-serif"/>
                  <w:b/>
                  <w:i w:val="false"/>
                  <w:caps w:val="false"/>
                  <w:smallCaps w:val="false"/>
                  <w:color w:val="0000EE"/>
                  <w:sz w:val="18"/>
                  <w:u w:val="single"/>
                </w:rPr>
                <w:t>SECTION 4 ENROLLMENT AND PARTICIPATION</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06">
              <w:r>
                <w:rPr>
                  <w:rStyle w:val="InternetLink"/>
                  <w:rFonts w:ascii="Arial;sans-serif" w:hAnsi="Arial;sans-serif"/>
                  <w:b/>
                  <w:i w:val="false"/>
                  <w:caps w:val="false"/>
                  <w:smallCaps w:val="false"/>
                  <w:color w:val="0000EE"/>
                  <w:sz w:val="18"/>
                  <w:u w:val="single"/>
                </w:rPr>
                <w:t>A-23</w:t>
              </w:r>
            </w:hyperlink>
          </w:p>
        </w:tc>
      </w:tr>
      <w:tr>
        <w:trPr/>
        <w:tc>
          <w:tcPr>
            <w:tcW w:w="53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409">
              <w:r>
                <w:rPr>
                  <w:rStyle w:val="InternetLink"/>
                  <w:rFonts w:ascii="Arial;sans-serif" w:hAnsi="Arial;sans-serif"/>
                  <w:b w:val="false"/>
                  <w:i w:val="false"/>
                  <w:caps w:val="false"/>
                  <w:smallCaps w:val="false"/>
                  <w:color w:val="000080"/>
                  <w:sz w:val="18"/>
                  <w:u w:val="single"/>
                </w:rPr>
                <w:t>Offering Periods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09">
              <w:r>
                <w:rPr>
                  <w:rStyle w:val="InternetLink"/>
                  <w:rFonts w:ascii="Arial;sans-serif" w:hAnsi="Arial;sans-serif"/>
                  <w:b w:val="false"/>
                  <w:i w:val="false"/>
                  <w:caps w:val="false"/>
                  <w:smallCaps w:val="false"/>
                  <w:color w:val="0000EE"/>
                  <w:sz w:val="18"/>
                  <w:u w:val="single"/>
                </w:rPr>
                <w:t>A-23</w:t>
              </w:r>
            </w:hyperlink>
          </w:p>
        </w:tc>
      </w:tr>
      <w:tr>
        <w:trPr/>
        <w:tc>
          <w:tcPr>
            <w:tcW w:w="53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412">
              <w:r>
                <w:rPr>
                  <w:rStyle w:val="InternetLink"/>
                  <w:rFonts w:ascii="Arial;sans-serif" w:hAnsi="Arial;sans-serif"/>
                  <w:b w:val="false"/>
                  <w:i w:val="false"/>
                  <w:caps w:val="false"/>
                  <w:smallCaps w:val="false"/>
                  <w:color w:val="000080"/>
                  <w:sz w:val="18"/>
                  <w:u w:val="single"/>
                </w:rPr>
                <w:t>Enrollment</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12">
              <w:r>
                <w:rPr>
                  <w:rStyle w:val="InternetLink"/>
                  <w:rFonts w:ascii="Arial;sans-serif" w:hAnsi="Arial;sans-serif"/>
                  <w:b w:val="false"/>
                  <w:i w:val="false"/>
                  <w:caps w:val="false"/>
                  <w:smallCaps w:val="false"/>
                  <w:color w:val="0000EE"/>
                  <w:sz w:val="18"/>
                  <w:u w:val="single"/>
                </w:rPr>
                <w:t>A-23</w:t>
              </w:r>
            </w:hyperlink>
          </w:p>
        </w:tc>
      </w:tr>
      <w:tr>
        <w:trPr/>
        <w:tc>
          <w:tcPr>
            <w:tcW w:w="53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415">
              <w:r>
                <w:rPr>
                  <w:rStyle w:val="InternetLink"/>
                  <w:rFonts w:ascii="Arial;sans-serif" w:hAnsi="Arial;sans-serif"/>
                  <w:b w:val="false"/>
                  <w:i w:val="false"/>
                  <w:caps w:val="false"/>
                  <w:smallCaps w:val="false"/>
                  <w:color w:val="000080"/>
                  <w:sz w:val="18"/>
                  <w:u w:val="single"/>
                </w:rPr>
                <w:t>Duration of Participation</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15">
              <w:r>
                <w:rPr>
                  <w:rStyle w:val="InternetLink"/>
                  <w:rFonts w:ascii="Arial;sans-serif" w:hAnsi="Arial;sans-serif"/>
                  <w:b w:val="false"/>
                  <w:i w:val="false"/>
                  <w:caps w:val="false"/>
                  <w:smallCaps w:val="false"/>
                  <w:color w:val="0000EE"/>
                  <w:sz w:val="18"/>
                  <w:u w:val="single"/>
                </w:rPr>
                <w:t>A-23</w:t>
              </w:r>
            </w:hyperlink>
          </w:p>
        </w:tc>
      </w:tr>
      <w:tr>
        <w:trPr/>
        <w:tc>
          <w:tcPr>
            <w:tcW w:w="5311" w:type="dxa"/>
            <w:tcBorders/>
            <w:shd w:fill="FFFFFF" w:val="clear"/>
            <w:vAlign w:val="center"/>
          </w:tcPr>
          <w:p>
            <w:pPr>
              <w:pStyle w:val="TableContents"/>
              <w:bidi w:val="0"/>
              <w:spacing w:lineRule="atLeast" w:line="180" w:before="0" w:after="0"/>
              <w:jc w:val="left"/>
              <w:rPr/>
            </w:pPr>
            <w:hyperlink w:anchor="i8e46ffef7ba64d5685b12ae81aaaa434_418">
              <w:r>
                <w:rPr>
                  <w:rStyle w:val="InternetLink"/>
                  <w:rFonts w:ascii="Arial;sans-serif" w:hAnsi="Arial;sans-serif"/>
                  <w:b/>
                  <w:i w:val="false"/>
                  <w:caps w:val="false"/>
                  <w:smallCaps w:val="false"/>
                  <w:color w:val="0000EE"/>
                  <w:sz w:val="18"/>
                  <w:u w:val="single"/>
                </w:rPr>
                <w:t>SECTION 5 EMPLOYEE CONTRIBUTIONS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18">
              <w:r>
                <w:rPr>
                  <w:rStyle w:val="InternetLink"/>
                  <w:rFonts w:ascii="Arial;sans-serif" w:hAnsi="Arial;sans-serif"/>
                  <w:b/>
                  <w:i w:val="false"/>
                  <w:caps w:val="false"/>
                  <w:smallCaps w:val="false"/>
                  <w:color w:val="0000EE"/>
                  <w:sz w:val="18"/>
                  <w:u w:val="single"/>
                </w:rPr>
                <w:t>A-23</w:t>
              </w:r>
            </w:hyperlink>
          </w:p>
        </w:tc>
      </w:tr>
      <w:tr>
        <w:trPr/>
        <w:tc>
          <w:tcPr>
            <w:tcW w:w="53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421">
              <w:r>
                <w:rPr>
                  <w:rStyle w:val="InternetLink"/>
                  <w:rFonts w:ascii="Arial;sans-serif" w:hAnsi="Arial;sans-serif"/>
                  <w:b w:val="false"/>
                  <w:i w:val="false"/>
                  <w:caps w:val="false"/>
                  <w:smallCaps w:val="false"/>
                  <w:color w:val="000080"/>
                  <w:sz w:val="18"/>
                  <w:u w:val="single"/>
                </w:rPr>
                <w:t>Frequency of Payroll Deductions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21">
              <w:r>
                <w:rPr>
                  <w:rStyle w:val="InternetLink"/>
                  <w:rFonts w:ascii="Arial;sans-serif" w:hAnsi="Arial;sans-serif"/>
                  <w:b w:val="false"/>
                  <w:i w:val="false"/>
                  <w:caps w:val="false"/>
                  <w:smallCaps w:val="false"/>
                  <w:color w:val="0000EE"/>
                  <w:sz w:val="18"/>
                  <w:u w:val="single"/>
                </w:rPr>
                <w:t>A-23</w:t>
              </w:r>
            </w:hyperlink>
          </w:p>
        </w:tc>
      </w:tr>
      <w:tr>
        <w:trPr/>
        <w:tc>
          <w:tcPr>
            <w:tcW w:w="53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424">
              <w:r>
                <w:rPr>
                  <w:rStyle w:val="InternetLink"/>
                  <w:rFonts w:ascii="Arial;sans-serif" w:hAnsi="Arial;sans-serif"/>
                  <w:b w:val="false"/>
                  <w:i w:val="false"/>
                  <w:caps w:val="false"/>
                  <w:smallCaps w:val="false"/>
                  <w:color w:val="000080"/>
                  <w:sz w:val="18"/>
                  <w:u w:val="single"/>
                </w:rPr>
                <w:t>Amount of Payroll Deductions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24">
              <w:r>
                <w:rPr>
                  <w:rStyle w:val="InternetLink"/>
                  <w:rFonts w:ascii="Arial;sans-serif" w:hAnsi="Arial;sans-serif"/>
                  <w:b w:val="false"/>
                  <w:i w:val="false"/>
                  <w:caps w:val="false"/>
                  <w:smallCaps w:val="false"/>
                  <w:color w:val="0000EE"/>
                  <w:sz w:val="18"/>
                  <w:u w:val="single"/>
                </w:rPr>
                <w:t>A-23</w:t>
              </w:r>
            </w:hyperlink>
          </w:p>
        </w:tc>
      </w:tr>
      <w:tr>
        <w:trPr/>
        <w:tc>
          <w:tcPr>
            <w:tcW w:w="53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427">
              <w:r>
                <w:rPr>
                  <w:rStyle w:val="InternetLink"/>
                  <w:rFonts w:ascii="Arial;sans-serif" w:hAnsi="Arial;sans-serif"/>
                  <w:b w:val="false"/>
                  <w:i w:val="false"/>
                  <w:caps w:val="false"/>
                  <w:smallCaps w:val="false"/>
                  <w:color w:val="000080"/>
                  <w:sz w:val="18"/>
                  <w:u w:val="single"/>
                </w:rPr>
                <w:t>Changing Withholding Rate</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27">
              <w:r>
                <w:rPr>
                  <w:rStyle w:val="InternetLink"/>
                  <w:rFonts w:ascii="Arial;sans-serif" w:hAnsi="Arial;sans-serif"/>
                  <w:b w:val="false"/>
                  <w:i w:val="false"/>
                  <w:caps w:val="false"/>
                  <w:smallCaps w:val="false"/>
                  <w:color w:val="0000EE"/>
                  <w:sz w:val="18"/>
                  <w:u w:val="single"/>
                </w:rPr>
                <w:t>A-24</w:t>
              </w:r>
            </w:hyperlink>
          </w:p>
        </w:tc>
      </w:tr>
      <w:tr>
        <w:trPr/>
        <w:tc>
          <w:tcPr>
            <w:tcW w:w="53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(d)</w:t>
            </w:r>
            <w:hyperlink w:anchor="i8e46ffef7ba64d5685b12ae81aaaa434_430">
              <w:r>
                <w:rPr>
                  <w:rStyle w:val="InternetLink"/>
                  <w:rFonts w:ascii="Arial;sans-serif" w:hAnsi="Arial;sans-serif"/>
                  <w:b w:val="false"/>
                  <w:i w:val="false"/>
                  <w:caps w:val="false"/>
                  <w:smallCaps w:val="false"/>
                  <w:color w:val="000080"/>
                  <w:sz w:val="18"/>
                  <w:u w:val="single"/>
                </w:rPr>
                <w:t>Discontinuing Payroll Deductions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30">
              <w:r>
                <w:rPr>
                  <w:rStyle w:val="InternetLink"/>
                  <w:rFonts w:ascii="Arial;sans-serif" w:hAnsi="Arial;sans-serif"/>
                  <w:b w:val="false"/>
                  <w:i w:val="false"/>
                  <w:caps w:val="false"/>
                  <w:smallCaps w:val="false"/>
                  <w:color w:val="0000EE"/>
                  <w:sz w:val="18"/>
                  <w:u w:val="single"/>
                </w:rPr>
                <w:t>A-24</w:t>
              </w:r>
            </w:hyperlink>
          </w:p>
        </w:tc>
      </w:tr>
      <w:tr>
        <w:trPr/>
        <w:tc>
          <w:tcPr>
            <w:tcW w:w="5311" w:type="dxa"/>
            <w:tcBorders/>
            <w:shd w:fill="CCEEFF" w:val="clear"/>
            <w:vAlign w:val="center"/>
          </w:tcPr>
          <w:p>
            <w:pPr>
              <w:pStyle w:val="TableContents"/>
              <w:bidi w:val="0"/>
              <w:spacing w:lineRule="atLeast" w:line="180" w:before="0" w:after="0"/>
              <w:jc w:val="left"/>
              <w:rPr/>
            </w:pPr>
            <w:hyperlink w:anchor="i8e46ffef7ba64d5685b12ae81aaaa434_433">
              <w:r>
                <w:rPr>
                  <w:rStyle w:val="InternetLink"/>
                  <w:rFonts w:ascii="Arial;sans-serif" w:hAnsi="Arial;sans-serif"/>
                  <w:b/>
                  <w:i w:val="false"/>
                  <w:caps w:val="false"/>
                  <w:smallCaps w:val="false"/>
                  <w:color w:val="0000EE"/>
                  <w:sz w:val="18"/>
                  <w:u w:val="single"/>
                </w:rPr>
                <w:t>SECTION 6 WITHDRAWAL FROM THE PLAN</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33">
              <w:r>
                <w:rPr>
                  <w:rStyle w:val="InternetLink"/>
                  <w:rFonts w:ascii="Arial;sans-serif" w:hAnsi="Arial;sans-serif"/>
                  <w:b/>
                  <w:i w:val="false"/>
                  <w:caps w:val="false"/>
                  <w:smallCaps w:val="false"/>
                  <w:color w:val="0000EE"/>
                  <w:sz w:val="18"/>
                  <w:u w:val="single"/>
                </w:rPr>
                <w:t>A-24</w:t>
              </w:r>
            </w:hyperlink>
          </w:p>
        </w:tc>
      </w:tr>
      <w:tr>
        <w:trPr/>
        <w:tc>
          <w:tcPr>
            <w:tcW w:w="53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436">
              <w:r>
                <w:rPr>
                  <w:rStyle w:val="InternetLink"/>
                  <w:rFonts w:ascii="Arial;sans-serif" w:hAnsi="Arial;sans-serif"/>
                  <w:b w:val="false"/>
                  <w:i w:val="false"/>
                  <w:caps w:val="false"/>
                  <w:smallCaps w:val="false"/>
                  <w:color w:val="000080"/>
                  <w:sz w:val="18"/>
                  <w:u w:val="single"/>
                </w:rPr>
                <w:t>Withdrawal</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36">
              <w:r>
                <w:rPr>
                  <w:rStyle w:val="InternetLink"/>
                  <w:rFonts w:ascii="Arial;sans-serif" w:hAnsi="Arial;sans-serif"/>
                  <w:b w:val="false"/>
                  <w:i w:val="false"/>
                  <w:caps w:val="false"/>
                  <w:smallCaps w:val="false"/>
                  <w:color w:val="0000EE"/>
                  <w:sz w:val="18"/>
                  <w:u w:val="single"/>
                </w:rPr>
                <w:t>A-24</w:t>
              </w:r>
            </w:hyperlink>
          </w:p>
        </w:tc>
      </w:tr>
      <w:tr>
        <w:trPr/>
        <w:tc>
          <w:tcPr>
            <w:tcW w:w="53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439">
              <w:r>
                <w:rPr>
                  <w:rStyle w:val="InternetLink"/>
                  <w:rFonts w:ascii="Arial;sans-serif" w:hAnsi="Arial;sans-serif"/>
                  <w:b w:val="false"/>
                  <w:i w:val="false"/>
                  <w:caps w:val="false"/>
                  <w:smallCaps w:val="false"/>
                  <w:color w:val="000080"/>
                  <w:sz w:val="18"/>
                  <w:u w:val="single"/>
                </w:rPr>
                <w:t>Re-enrollment After Withdrawal</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39">
              <w:r>
                <w:rPr>
                  <w:rStyle w:val="InternetLink"/>
                  <w:rFonts w:ascii="Arial;sans-serif" w:hAnsi="Arial;sans-serif"/>
                  <w:b w:val="false"/>
                  <w:i w:val="false"/>
                  <w:caps w:val="false"/>
                  <w:smallCaps w:val="false"/>
                  <w:color w:val="0000EE"/>
                  <w:sz w:val="18"/>
                  <w:u w:val="single"/>
                </w:rPr>
                <w:t>A-24</w:t>
              </w:r>
            </w:hyperlink>
          </w:p>
        </w:tc>
      </w:tr>
      <w:tr>
        <w:trPr/>
        <w:tc>
          <w:tcPr>
            <w:tcW w:w="5311" w:type="dxa"/>
            <w:tcBorders/>
            <w:shd w:fill="FFFFFF" w:val="clear"/>
            <w:vAlign w:val="center"/>
          </w:tcPr>
          <w:p>
            <w:pPr>
              <w:pStyle w:val="TableContents"/>
              <w:bidi w:val="0"/>
              <w:spacing w:lineRule="atLeast" w:line="180" w:before="0" w:after="0"/>
              <w:jc w:val="left"/>
              <w:rPr/>
            </w:pPr>
            <w:hyperlink w:anchor="i8e46ffef7ba64d5685b12ae81aaaa434_442">
              <w:r>
                <w:rPr>
                  <w:rStyle w:val="InternetLink"/>
                  <w:rFonts w:ascii="Arial;sans-serif" w:hAnsi="Arial;sans-serif"/>
                  <w:b/>
                  <w:i w:val="false"/>
                  <w:caps w:val="false"/>
                  <w:smallCaps w:val="false"/>
                  <w:color w:val="0000EE"/>
                  <w:sz w:val="18"/>
                  <w:u w:val="single"/>
                </w:rPr>
                <w:t>SECTION 7 CHANGE IN EMPLOYMENT STATUS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42">
              <w:r>
                <w:rPr>
                  <w:rStyle w:val="InternetLink"/>
                  <w:rFonts w:ascii="Arial;sans-serif" w:hAnsi="Arial;sans-serif"/>
                  <w:b/>
                  <w:i w:val="false"/>
                  <w:caps w:val="false"/>
                  <w:smallCaps w:val="false"/>
                  <w:color w:val="0000EE"/>
                  <w:sz w:val="18"/>
                  <w:u w:val="single"/>
                </w:rPr>
                <w:t>A-24</w:t>
              </w:r>
            </w:hyperlink>
          </w:p>
        </w:tc>
      </w:tr>
      <w:tr>
        <w:trPr/>
        <w:tc>
          <w:tcPr>
            <w:tcW w:w="53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445">
              <w:r>
                <w:rPr>
                  <w:rStyle w:val="InternetLink"/>
                  <w:rFonts w:ascii="Arial;sans-serif" w:hAnsi="Arial;sans-serif"/>
                  <w:b w:val="false"/>
                  <w:i w:val="false"/>
                  <w:caps w:val="false"/>
                  <w:smallCaps w:val="false"/>
                  <w:color w:val="000080"/>
                  <w:sz w:val="18"/>
                  <w:u w:val="single"/>
                </w:rPr>
                <w:t>Termination of Employment</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45">
              <w:r>
                <w:rPr>
                  <w:rStyle w:val="InternetLink"/>
                  <w:rFonts w:ascii="Arial;sans-serif" w:hAnsi="Arial;sans-serif"/>
                  <w:b w:val="false"/>
                  <w:i w:val="false"/>
                  <w:caps w:val="false"/>
                  <w:smallCaps w:val="false"/>
                  <w:color w:val="0000EE"/>
                  <w:sz w:val="18"/>
                  <w:u w:val="single"/>
                </w:rPr>
                <w:t>A-24</w:t>
              </w:r>
            </w:hyperlink>
          </w:p>
        </w:tc>
      </w:tr>
      <w:tr>
        <w:trPr/>
        <w:tc>
          <w:tcPr>
            <w:tcW w:w="53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448">
              <w:r>
                <w:rPr>
                  <w:rStyle w:val="InternetLink"/>
                  <w:rFonts w:ascii="Arial;sans-serif" w:hAnsi="Arial;sans-serif"/>
                  <w:b w:val="false"/>
                  <w:i w:val="false"/>
                  <w:caps w:val="false"/>
                  <w:smallCaps w:val="false"/>
                  <w:color w:val="000080"/>
                  <w:sz w:val="18"/>
                  <w:u w:val="single"/>
                </w:rPr>
                <w:t>Leave of Absence</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48">
              <w:r>
                <w:rPr>
                  <w:rStyle w:val="InternetLink"/>
                  <w:rFonts w:ascii="Arial;sans-serif" w:hAnsi="Arial;sans-serif"/>
                  <w:b w:val="false"/>
                  <w:i w:val="false"/>
                  <w:caps w:val="false"/>
                  <w:smallCaps w:val="false"/>
                  <w:color w:val="0000EE"/>
                  <w:sz w:val="18"/>
                  <w:u w:val="single"/>
                </w:rPr>
                <w:t>A-24</w:t>
              </w:r>
            </w:hyperlink>
          </w:p>
        </w:tc>
      </w:tr>
      <w:tr>
        <w:trPr/>
        <w:tc>
          <w:tcPr>
            <w:tcW w:w="53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451">
              <w:r>
                <w:rPr>
                  <w:rStyle w:val="InternetLink"/>
                  <w:rFonts w:ascii="Arial;sans-serif" w:hAnsi="Arial;sans-serif"/>
                  <w:b w:val="false"/>
                  <w:i w:val="false"/>
                  <w:caps w:val="false"/>
                  <w:smallCaps w:val="false"/>
                  <w:color w:val="000080"/>
                  <w:sz w:val="18"/>
                  <w:u w:val="single"/>
                </w:rPr>
                <w:t>Death</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51">
              <w:r>
                <w:rPr>
                  <w:rStyle w:val="InternetLink"/>
                  <w:rFonts w:ascii="Arial;sans-serif" w:hAnsi="Arial;sans-serif"/>
                  <w:b w:val="false"/>
                  <w:i w:val="false"/>
                  <w:caps w:val="false"/>
                  <w:smallCaps w:val="false"/>
                  <w:color w:val="0000EE"/>
                  <w:sz w:val="18"/>
                  <w:u w:val="single"/>
                </w:rPr>
                <w:t>A-24</w:t>
              </w:r>
            </w:hyperlink>
          </w:p>
        </w:tc>
      </w:tr>
      <w:tr>
        <w:trPr/>
        <w:tc>
          <w:tcPr>
            <w:tcW w:w="5311" w:type="dxa"/>
            <w:tcBorders/>
            <w:shd w:fill="FFFFFF" w:val="clear"/>
            <w:vAlign w:val="center"/>
          </w:tcPr>
          <w:p>
            <w:pPr>
              <w:pStyle w:val="TableContents"/>
              <w:bidi w:val="0"/>
              <w:spacing w:lineRule="atLeast" w:line="180" w:before="0" w:after="0"/>
              <w:jc w:val="left"/>
              <w:rPr/>
            </w:pPr>
            <w:hyperlink w:anchor="i8e46ffef7ba64d5685b12ae81aaaa434_454">
              <w:r>
                <w:rPr>
                  <w:rStyle w:val="InternetLink"/>
                  <w:rFonts w:ascii="Arial;sans-serif" w:hAnsi="Arial;sans-serif"/>
                  <w:b/>
                  <w:i w:val="false"/>
                  <w:caps w:val="false"/>
                  <w:smallCaps w:val="false"/>
                  <w:color w:val="0000EE"/>
                  <w:sz w:val="18"/>
                  <w:u w:val="single"/>
                </w:rPr>
                <w:t>SECTION 8 PLAN ACCOUNTS AND PURCHASE OF SHARES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54">
              <w:r>
                <w:rPr>
                  <w:rStyle w:val="InternetLink"/>
                  <w:rFonts w:ascii="Arial;sans-serif" w:hAnsi="Arial;sans-serif"/>
                  <w:b/>
                  <w:i w:val="false"/>
                  <w:caps w:val="false"/>
                  <w:smallCaps w:val="false"/>
                  <w:color w:val="0000EE"/>
                  <w:sz w:val="18"/>
                  <w:u w:val="single"/>
                </w:rPr>
                <w:t>A-24</w:t>
              </w:r>
            </w:hyperlink>
          </w:p>
        </w:tc>
      </w:tr>
      <w:tr>
        <w:trPr/>
        <w:tc>
          <w:tcPr>
            <w:tcW w:w="53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457">
              <w:r>
                <w:rPr>
                  <w:rStyle w:val="InternetLink"/>
                  <w:rFonts w:ascii="Arial;sans-serif" w:hAnsi="Arial;sans-serif"/>
                  <w:b w:val="false"/>
                  <w:i w:val="false"/>
                  <w:caps w:val="false"/>
                  <w:smallCaps w:val="false"/>
                  <w:color w:val="000080"/>
                  <w:sz w:val="18"/>
                  <w:u w:val="single"/>
                </w:rPr>
                <w:t>Plan Accounts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57">
              <w:r>
                <w:rPr>
                  <w:rStyle w:val="InternetLink"/>
                  <w:rFonts w:ascii="Arial;sans-serif" w:hAnsi="Arial;sans-serif"/>
                  <w:b w:val="false"/>
                  <w:i w:val="false"/>
                  <w:caps w:val="false"/>
                  <w:smallCaps w:val="false"/>
                  <w:color w:val="0000EE"/>
                  <w:sz w:val="18"/>
                  <w:u w:val="single"/>
                </w:rPr>
                <w:t>A-24</w:t>
              </w:r>
            </w:hyperlink>
          </w:p>
        </w:tc>
      </w:tr>
      <w:tr>
        <w:trPr/>
        <w:tc>
          <w:tcPr>
            <w:tcW w:w="53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460">
              <w:r>
                <w:rPr>
                  <w:rStyle w:val="InternetLink"/>
                  <w:rFonts w:ascii="Arial;sans-serif" w:hAnsi="Arial;sans-serif"/>
                  <w:b w:val="false"/>
                  <w:i w:val="false"/>
                  <w:caps w:val="false"/>
                  <w:smallCaps w:val="false"/>
                  <w:color w:val="000080"/>
                  <w:sz w:val="18"/>
                  <w:u w:val="single"/>
                </w:rPr>
                <w:t>Purchase Price</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60">
              <w:r>
                <w:rPr>
                  <w:rStyle w:val="InternetLink"/>
                  <w:rFonts w:ascii="Arial;sans-serif" w:hAnsi="Arial;sans-serif"/>
                  <w:b w:val="false"/>
                  <w:i w:val="false"/>
                  <w:caps w:val="false"/>
                  <w:smallCaps w:val="false"/>
                  <w:color w:val="0000EE"/>
                  <w:sz w:val="18"/>
                  <w:u w:val="single"/>
                </w:rPr>
                <w:t>A-24</w:t>
              </w:r>
            </w:hyperlink>
          </w:p>
        </w:tc>
      </w:tr>
      <w:tr>
        <w:trPr/>
        <w:tc>
          <w:tcPr>
            <w:tcW w:w="53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463">
              <w:r>
                <w:rPr>
                  <w:rStyle w:val="InternetLink"/>
                  <w:rFonts w:ascii="Arial;sans-serif" w:hAnsi="Arial;sans-serif"/>
                  <w:b w:val="false"/>
                  <w:i w:val="false"/>
                  <w:caps w:val="false"/>
                  <w:smallCaps w:val="false"/>
                  <w:color w:val="000080"/>
                  <w:sz w:val="18"/>
                  <w:u w:val="single"/>
                </w:rPr>
                <w:t>Number of Shares Purchased</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63">
              <w:r>
                <w:rPr>
                  <w:rStyle w:val="InternetLink"/>
                  <w:rFonts w:ascii="Arial;sans-serif" w:hAnsi="Arial;sans-serif"/>
                  <w:b w:val="false"/>
                  <w:i w:val="false"/>
                  <w:caps w:val="false"/>
                  <w:smallCaps w:val="false"/>
                  <w:color w:val="0000EE"/>
                  <w:sz w:val="18"/>
                  <w:u w:val="single"/>
                </w:rPr>
                <w:t>A-25</w:t>
              </w:r>
            </w:hyperlink>
          </w:p>
        </w:tc>
      </w:tr>
      <w:tr>
        <w:trPr/>
        <w:tc>
          <w:tcPr>
            <w:tcW w:w="53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(d)</w:t>
            </w:r>
            <w:hyperlink w:anchor="i8e46ffef7ba64d5685b12ae81aaaa434_466">
              <w:r>
                <w:rPr>
                  <w:rStyle w:val="InternetLink"/>
                  <w:rFonts w:ascii="Arial;sans-serif" w:hAnsi="Arial;sans-serif"/>
                  <w:b w:val="false"/>
                  <w:i w:val="false"/>
                  <w:caps w:val="false"/>
                  <w:smallCaps w:val="false"/>
                  <w:color w:val="000080"/>
                  <w:sz w:val="18"/>
                  <w:u w:val="single"/>
                </w:rPr>
                <w:t>Available Shares Insufficient</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66">
              <w:r>
                <w:rPr>
                  <w:rStyle w:val="InternetLink"/>
                  <w:rFonts w:ascii="Arial;sans-serif" w:hAnsi="Arial;sans-serif"/>
                  <w:b w:val="false"/>
                  <w:i w:val="false"/>
                  <w:caps w:val="false"/>
                  <w:smallCaps w:val="false"/>
                  <w:color w:val="0000EE"/>
                  <w:sz w:val="18"/>
                  <w:u w:val="single"/>
                </w:rPr>
                <w:t>A-25</w:t>
              </w:r>
            </w:hyperlink>
          </w:p>
        </w:tc>
      </w:tr>
      <w:tr>
        <w:trPr/>
        <w:tc>
          <w:tcPr>
            <w:tcW w:w="53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(e)</w:t>
            </w:r>
            <w:hyperlink w:anchor="i8e46ffef7ba64d5685b12ae81aaaa434_469">
              <w:r>
                <w:rPr>
                  <w:rStyle w:val="InternetLink"/>
                  <w:rFonts w:ascii="Arial;sans-serif" w:hAnsi="Arial;sans-serif"/>
                  <w:b w:val="false"/>
                  <w:i w:val="false"/>
                  <w:caps w:val="false"/>
                  <w:smallCaps w:val="false"/>
                  <w:color w:val="000080"/>
                  <w:sz w:val="18"/>
                  <w:u w:val="single"/>
                </w:rPr>
                <w:t>Issuance of Stock</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69">
              <w:r>
                <w:rPr>
                  <w:rStyle w:val="InternetLink"/>
                  <w:rFonts w:ascii="Arial;sans-serif" w:hAnsi="Arial;sans-serif"/>
                  <w:b w:val="false"/>
                  <w:i w:val="false"/>
                  <w:caps w:val="false"/>
                  <w:smallCaps w:val="false"/>
                  <w:color w:val="0000EE"/>
                  <w:sz w:val="18"/>
                  <w:u w:val="single"/>
                </w:rPr>
                <w:t>A-25</w:t>
              </w:r>
            </w:hyperlink>
          </w:p>
        </w:tc>
      </w:tr>
      <w:tr>
        <w:trPr/>
        <w:tc>
          <w:tcPr>
            <w:tcW w:w="53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(f)</w:t>
            </w:r>
            <w:hyperlink w:anchor="i8e46ffef7ba64d5685b12ae81aaaa434_472">
              <w:r>
                <w:rPr>
                  <w:rStyle w:val="InternetLink"/>
                  <w:rFonts w:ascii="Arial;sans-serif" w:hAnsi="Arial;sans-serif"/>
                  <w:b w:val="false"/>
                  <w:i w:val="false"/>
                  <w:caps w:val="false"/>
                  <w:smallCaps w:val="false"/>
                  <w:color w:val="000080"/>
                  <w:sz w:val="18"/>
                  <w:u w:val="single"/>
                </w:rPr>
                <w:t>Unused Cash Balances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72">
              <w:r>
                <w:rPr>
                  <w:rStyle w:val="InternetLink"/>
                  <w:rFonts w:ascii="Arial;sans-serif" w:hAnsi="Arial;sans-serif"/>
                  <w:b w:val="false"/>
                  <w:i w:val="false"/>
                  <w:caps w:val="false"/>
                  <w:smallCaps w:val="false"/>
                  <w:color w:val="0000EE"/>
                  <w:sz w:val="18"/>
                  <w:u w:val="single"/>
                </w:rPr>
                <w:t>A-25</w:t>
              </w:r>
            </w:hyperlink>
          </w:p>
        </w:tc>
      </w:tr>
      <w:tr>
        <w:trPr/>
        <w:tc>
          <w:tcPr>
            <w:tcW w:w="53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(g)</w:t>
            </w:r>
            <w:hyperlink w:anchor="i8e46ffef7ba64d5685b12ae81aaaa434_475">
              <w:r>
                <w:rPr>
                  <w:rStyle w:val="InternetLink"/>
                  <w:rFonts w:ascii="Arial;sans-serif" w:hAnsi="Arial;sans-serif"/>
                  <w:b w:val="false"/>
                  <w:i w:val="false"/>
                  <w:caps w:val="false"/>
                  <w:smallCaps w:val="false"/>
                  <w:color w:val="000080"/>
                  <w:sz w:val="18"/>
                  <w:u w:val="single"/>
                </w:rPr>
                <w:t>Stockholder Approval</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75">
              <w:r>
                <w:rPr>
                  <w:rStyle w:val="InternetLink"/>
                  <w:rFonts w:ascii="Arial;sans-serif" w:hAnsi="Arial;sans-serif"/>
                  <w:b w:val="false"/>
                  <w:i w:val="false"/>
                  <w:caps w:val="false"/>
                  <w:smallCaps w:val="false"/>
                  <w:color w:val="0000EE"/>
                  <w:sz w:val="18"/>
                  <w:u w:val="single"/>
                </w:rPr>
                <w:t>A-25</w:t>
              </w:r>
            </w:hyperlink>
          </w:p>
        </w:tc>
      </w:tr>
      <w:tr>
        <w:trPr/>
        <w:tc>
          <w:tcPr>
            <w:tcW w:w="5311" w:type="dxa"/>
            <w:tcBorders/>
            <w:shd w:fill="FFFFFF" w:val="clear"/>
            <w:vAlign w:val="center"/>
          </w:tcPr>
          <w:p>
            <w:pPr>
              <w:pStyle w:val="TableContents"/>
              <w:bidi w:val="0"/>
              <w:spacing w:lineRule="atLeast" w:line="180" w:before="0" w:after="0"/>
              <w:jc w:val="left"/>
              <w:rPr/>
            </w:pPr>
            <w:hyperlink w:anchor="i8e46ffef7ba64d5685b12ae81aaaa434_478">
              <w:r>
                <w:rPr>
                  <w:rStyle w:val="InternetLink"/>
                  <w:rFonts w:ascii="Arial;sans-serif" w:hAnsi="Arial;sans-serif"/>
                  <w:b/>
                  <w:i w:val="false"/>
                  <w:caps w:val="false"/>
                  <w:smallCaps w:val="false"/>
                  <w:color w:val="0000EE"/>
                  <w:sz w:val="18"/>
                  <w:u w:val="single"/>
                </w:rPr>
                <w:t>SECTION 9 LIMITATIONS ON STOCK OWNERSHIP</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78">
              <w:r>
                <w:rPr>
                  <w:rStyle w:val="InternetLink"/>
                  <w:rFonts w:ascii="Arial;sans-serif" w:hAnsi="Arial;sans-serif"/>
                  <w:b/>
                  <w:i w:val="false"/>
                  <w:caps w:val="false"/>
                  <w:smallCaps w:val="false"/>
                  <w:color w:val="0000EE"/>
                  <w:sz w:val="18"/>
                  <w:u w:val="single"/>
                </w:rPr>
                <w:t>A-25</w:t>
              </w:r>
            </w:hyperlink>
          </w:p>
        </w:tc>
      </w:tr>
      <w:tr>
        <w:trPr/>
        <w:tc>
          <w:tcPr>
            <w:tcW w:w="53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481">
              <w:r>
                <w:rPr>
                  <w:rStyle w:val="InternetLink"/>
                  <w:rFonts w:ascii="Arial;sans-serif" w:hAnsi="Arial;sans-serif"/>
                  <w:b w:val="false"/>
                  <w:i w:val="false"/>
                  <w:caps w:val="false"/>
                  <w:smallCaps w:val="false"/>
                  <w:color w:val="000080"/>
                  <w:sz w:val="18"/>
                  <w:u w:val="single"/>
                </w:rPr>
                <w:t>Five Percent Limit</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81">
              <w:r>
                <w:rPr>
                  <w:rStyle w:val="InternetLink"/>
                  <w:rFonts w:ascii="Arial;sans-serif" w:hAnsi="Arial;sans-serif"/>
                  <w:b w:val="false"/>
                  <w:i w:val="false"/>
                  <w:caps w:val="false"/>
                  <w:smallCaps w:val="false"/>
                  <w:color w:val="0000EE"/>
                  <w:sz w:val="18"/>
                  <w:u w:val="single"/>
                </w:rPr>
                <w:t>A-25</w:t>
              </w:r>
            </w:hyperlink>
          </w:p>
        </w:tc>
      </w:tr>
      <w:tr>
        <w:trPr/>
        <w:tc>
          <w:tcPr>
            <w:tcW w:w="53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484">
              <w:r>
                <w:rPr>
                  <w:rStyle w:val="InternetLink"/>
                  <w:rFonts w:ascii="Arial;sans-serif" w:hAnsi="Arial;sans-serif"/>
                  <w:b w:val="false"/>
                  <w:i w:val="false"/>
                  <w:caps w:val="false"/>
                  <w:smallCaps w:val="false"/>
                  <w:color w:val="000080"/>
                  <w:sz w:val="18"/>
                  <w:u w:val="single"/>
                </w:rPr>
                <w:t>Dollar Limit</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84">
              <w:r>
                <w:rPr>
                  <w:rStyle w:val="InternetLink"/>
                  <w:rFonts w:ascii="Arial;sans-serif" w:hAnsi="Arial;sans-serif"/>
                  <w:b w:val="false"/>
                  <w:i w:val="false"/>
                  <w:caps w:val="false"/>
                  <w:smallCaps w:val="false"/>
                  <w:color w:val="0000EE"/>
                  <w:sz w:val="18"/>
                  <w:u w:val="single"/>
                </w:rPr>
                <w:t>A-25</w:t>
              </w:r>
            </w:hyperlink>
          </w:p>
        </w:tc>
      </w:tr>
      <w:tr>
        <w:trPr/>
        <w:tc>
          <w:tcPr>
            <w:tcW w:w="5311" w:type="dxa"/>
            <w:tcBorders/>
            <w:shd w:fill="CCEEFF" w:val="clear"/>
            <w:vAlign w:val="center"/>
          </w:tcPr>
          <w:p>
            <w:pPr>
              <w:pStyle w:val="TableContents"/>
              <w:bidi w:val="0"/>
              <w:spacing w:lineRule="atLeast" w:line="180" w:before="0" w:after="0"/>
              <w:jc w:val="left"/>
              <w:rPr/>
            </w:pPr>
            <w:hyperlink w:anchor="i8e46ffef7ba64d5685b12ae81aaaa434_487">
              <w:r>
                <w:rPr>
                  <w:rStyle w:val="InternetLink"/>
                  <w:rFonts w:ascii="Arial;sans-serif" w:hAnsi="Arial;sans-serif"/>
                  <w:b/>
                  <w:i w:val="false"/>
                  <w:caps w:val="false"/>
                  <w:smallCaps w:val="false"/>
                  <w:color w:val="0000EE"/>
                  <w:sz w:val="18"/>
                  <w:u w:val="single"/>
                </w:rPr>
                <w:t>SECTION 10 RIGHTS NOT TRANSFERABLE</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87">
              <w:r>
                <w:rPr>
                  <w:rStyle w:val="InternetLink"/>
                  <w:rFonts w:ascii="Arial;sans-serif" w:hAnsi="Arial;sans-serif"/>
                  <w:b/>
                  <w:i w:val="false"/>
                  <w:caps w:val="false"/>
                  <w:smallCaps w:val="false"/>
                  <w:color w:val="0000EE"/>
                  <w:sz w:val="18"/>
                  <w:u w:val="single"/>
                </w:rPr>
                <w:t>A-26</w:t>
              </w:r>
            </w:hyperlink>
          </w:p>
        </w:tc>
      </w:tr>
      <w:tr>
        <w:trPr/>
        <w:tc>
          <w:tcPr>
            <w:tcW w:w="5311" w:type="dxa"/>
            <w:tcBorders/>
            <w:shd w:fill="FFFFFF" w:val="clear"/>
            <w:vAlign w:val="center"/>
          </w:tcPr>
          <w:p>
            <w:pPr>
              <w:pStyle w:val="TableContents"/>
              <w:bidi w:val="0"/>
              <w:spacing w:lineRule="atLeast" w:line="180" w:before="0" w:after="0"/>
              <w:jc w:val="left"/>
              <w:rPr/>
            </w:pPr>
            <w:hyperlink w:anchor="i8e46ffef7ba64d5685b12ae81aaaa434_490">
              <w:r>
                <w:rPr>
                  <w:rStyle w:val="InternetLink"/>
                  <w:rFonts w:ascii="Arial;sans-serif" w:hAnsi="Arial;sans-serif"/>
                  <w:b/>
                  <w:i w:val="false"/>
                  <w:caps w:val="false"/>
                  <w:smallCaps w:val="false"/>
                  <w:color w:val="0000EE"/>
                  <w:sz w:val="18"/>
                  <w:u w:val="single"/>
                </w:rPr>
                <w:t>SECTION 11 NO RIGHTS AS AN EMPLOYEE</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90">
              <w:r>
                <w:rPr>
                  <w:rStyle w:val="InternetLink"/>
                  <w:rFonts w:ascii="Arial;sans-serif" w:hAnsi="Arial;sans-serif"/>
                  <w:b/>
                  <w:i w:val="false"/>
                  <w:caps w:val="false"/>
                  <w:smallCaps w:val="false"/>
                  <w:color w:val="0000EE"/>
                  <w:sz w:val="18"/>
                  <w:u w:val="single"/>
                </w:rPr>
                <w:t>A-26</w:t>
              </w:r>
            </w:hyperlink>
          </w:p>
        </w:tc>
      </w:tr>
      <w:tr>
        <w:trPr/>
        <w:tc>
          <w:tcPr>
            <w:tcW w:w="5311" w:type="dxa"/>
            <w:tcBorders/>
            <w:shd w:fill="CCEEFF" w:val="clear"/>
            <w:vAlign w:val="center"/>
          </w:tcPr>
          <w:p>
            <w:pPr>
              <w:pStyle w:val="TableContents"/>
              <w:bidi w:val="0"/>
              <w:spacing w:lineRule="atLeast" w:line="180" w:before="0" w:after="0"/>
              <w:jc w:val="left"/>
              <w:rPr/>
            </w:pPr>
            <w:hyperlink w:anchor="i8e46ffef7ba64d5685b12ae81aaaa434_493">
              <w:r>
                <w:rPr>
                  <w:rStyle w:val="InternetLink"/>
                  <w:rFonts w:ascii="Arial;sans-serif" w:hAnsi="Arial;sans-serif"/>
                  <w:b/>
                  <w:i w:val="false"/>
                  <w:caps w:val="false"/>
                  <w:smallCaps w:val="false"/>
                  <w:color w:val="0000EE"/>
                  <w:sz w:val="18"/>
                  <w:u w:val="single"/>
                </w:rPr>
                <w:t>SECTION 12 NO RIGHTS AS A STOCKHOLDER</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93">
              <w:r>
                <w:rPr>
                  <w:rStyle w:val="InternetLink"/>
                  <w:rFonts w:ascii="Arial;sans-serif" w:hAnsi="Arial;sans-serif"/>
                  <w:b/>
                  <w:i w:val="false"/>
                  <w:caps w:val="false"/>
                  <w:smallCaps w:val="false"/>
                  <w:color w:val="0000EE"/>
                  <w:sz w:val="18"/>
                  <w:u w:val="single"/>
                </w:rPr>
                <w:t>A-26</w:t>
              </w:r>
            </w:hyperlink>
          </w:p>
        </w:tc>
      </w:tr>
    </w:tbl>
    <w:tbl>
      <w:tblPr>
        <w:tblW w:w="2046" w:type="dxa"/>
        <w:jc w:val="left"/>
        <w:tblInd w:w="0" w:type="dxa"/>
        <w:tblLayout w:type="fixed"/>
        <w:tblCellMar>
          <w:top w:w="28" w:type="dxa"/>
          <w:left w:w="28" w:type="dxa"/>
          <w:bottom w:w="28" w:type="dxa"/>
          <w:right w:w="28" w:type="dxa"/>
        </w:tblCellMar>
      </w:tblPr>
      <w:tblGrid>
        <w:gridCol w:w="406"/>
        <w:gridCol w:w="109"/>
        <w:gridCol w:w="1531"/>
      </w:tblGrid>
      <w:tr>
        <w:trPr/>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A-20</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385">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tbl>
      <w:tblPr>
        <w:tblW w:w="4967" w:type="dxa"/>
        <w:jc w:val="left"/>
        <w:tblInd w:w="0" w:type="dxa"/>
        <w:tblLayout w:type="fixed"/>
        <w:tblCellMar>
          <w:top w:w="28" w:type="dxa"/>
          <w:left w:w="28" w:type="dxa"/>
          <w:bottom w:w="28" w:type="dxa"/>
          <w:right w:w="28" w:type="dxa"/>
        </w:tblCellMar>
      </w:tblPr>
      <w:tblGrid>
        <w:gridCol w:w="4411"/>
        <w:gridCol w:w="556"/>
      </w:tblGrid>
      <w:tr>
        <w:trPr/>
        <w:tc>
          <w:tcPr>
            <w:tcW w:w="44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lineRule="atLeast" w:line="180" w:before="0" w:after="0"/>
              <w:jc w:val="left"/>
              <w:rPr/>
            </w:pPr>
            <w:hyperlink w:anchor="i8e46ffef7ba64d5685b12ae81aaaa434_496">
              <w:r>
                <w:rPr>
                  <w:rStyle w:val="InternetLink"/>
                  <w:rFonts w:ascii="Arial;sans-serif" w:hAnsi="Arial;sans-serif"/>
                  <w:b/>
                  <w:i w:val="false"/>
                  <w:caps w:val="false"/>
                  <w:smallCaps w:val="false"/>
                  <w:color w:val="0000EE"/>
                  <w:sz w:val="18"/>
                  <w:u w:val="single"/>
                </w:rPr>
                <w:t>SECTION 13 SECURITIES LAW REQUIREMENTS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496">
              <w:r>
                <w:rPr>
                  <w:rStyle w:val="InternetLink"/>
                  <w:rFonts w:ascii="Arial;sans-serif" w:hAnsi="Arial;sans-serif"/>
                  <w:b/>
                  <w:i w:val="false"/>
                  <w:caps w:val="false"/>
                  <w:smallCaps w:val="false"/>
                  <w:color w:val="0000EE"/>
                  <w:sz w:val="18"/>
                  <w:u w:val="single"/>
                </w:rPr>
                <w:t>A-26</w:t>
              </w:r>
            </w:hyperlink>
          </w:p>
        </w:tc>
      </w:tr>
      <w:tr>
        <w:trPr/>
        <w:tc>
          <w:tcPr>
            <w:tcW w:w="4411" w:type="dxa"/>
            <w:tcBorders/>
            <w:shd w:fill="CCEEFF" w:val="clear"/>
            <w:vAlign w:val="center"/>
          </w:tcPr>
          <w:p>
            <w:pPr>
              <w:pStyle w:val="TableContents"/>
              <w:bidi w:val="0"/>
              <w:spacing w:lineRule="atLeast" w:line="180" w:before="0" w:after="0"/>
              <w:jc w:val="left"/>
              <w:rPr/>
            </w:pPr>
            <w:hyperlink w:anchor="i8e46ffef7ba64d5685b12ae81aaaa434_499">
              <w:r>
                <w:rPr>
                  <w:rStyle w:val="InternetLink"/>
                  <w:rFonts w:ascii="Arial;sans-serif" w:hAnsi="Arial;sans-serif"/>
                  <w:b/>
                  <w:i w:val="false"/>
                  <w:caps w:val="false"/>
                  <w:smallCaps w:val="false"/>
                  <w:color w:val="0000EE"/>
                  <w:sz w:val="18"/>
                  <w:u w:val="single"/>
                </w:rPr>
                <w:t>SECTION 14 STOCK OFFERED UNDER THE PLAN</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499">
              <w:r>
                <w:rPr>
                  <w:rStyle w:val="InternetLink"/>
                  <w:rFonts w:ascii="Arial;sans-serif" w:hAnsi="Arial;sans-serif"/>
                  <w:b/>
                  <w:i w:val="false"/>
                  <w:caps w:val="false"/>
                  <w:smallCaps w:val="false"/>
                  <w:color w:val="0000EE"/>
                  <w:sz w:val="18"/>
                  <w:u w:val="single"/>
                </w:rPr>
                <w:t>A-26</w:t>
              </w:r>
            </w:hyperlink>
          </w:p>
        </w:tc>
      </w:tr>
      <w:tr>
        <w:trPr/>
        <w:tc>
          <w:tcPr>
            <w:tcW w:w="44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(a)</w:t>
            </w:r>
            <w:hyperlink w:anchor="i8e46ffef7ba64d5685b12ae81aaaa434_502">
              <w:r>
                <w:rPr>
                  <w:rStyle w:val="InternetLink"/>
                  <w:rFonts w:ascii="Arial;sans-serif" w:hAnsi="Arial;sans-serif"/>
                  <w:b w:val="false"/>
                  <w:i w:val="false"/>
                  <w:caps w:val="false"/>
                  <w:smallCaps w:val="false"/>
                  <w:color w:val="000080"/>
                  <w:sz w:val="18"/>
                  <w:u w:val="single"/>
                </w:rPr>
                <w:t>Authorized Shares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502">
              <w:r>
                <w:rPr>
                  <w:rStyle w:val="InternetLink"/>
                  <w:rFonts w:ascii="Arial;sans-serif" w:hAnsi="Arial;sans-serif"/>
                  <w:b w:val="false"/>
                  <w:i w:val="false"/>
                  <w:caps w:val="false"/>
                  <w:smallCaps w:val="false"/>
                  <w:color w:val="0000EE"/>
                  <w:sz w:val="18"/>
                  <w:u w:val="single"/>
                </w:rPr>
                <w:t>A-26</w:t>
              </w:r>
            </w:hyperlink>
          </w:p>
        </w:tc>
      </w:tr>
      <w:tr>
        <w:trPr/>
        <w:tc>
          <w:tcPr>
            <w:tcW w:w="441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(b)</w:t>
            </w:r>
            <w:hyperlink w:anchor="i8e46ffef7ba64d5685b12ae81aaaa434_505">
              <w:r>
                <w:rPr>
                  <w:rStyle w:val="InternetLink"/>
                  <w:rFonts w:ascii="Arial;sans-serif" w:hAnsi="Arial;sans-serif"/>
                  <w:b w:val="false"/>
                  <w:i w:val="false"/>
                  <w:caps w:val="false"/>
                  <w:smallCaps w:val="false"/>
                  <w:color w:val="000080"/>
                  <w:sz w:val="18"/>
                  <w:u w:val="single"/>
                </w:rPr>
                <w:t>Antidilution Adjustments</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505">
              <w:r>
                <w:rPr>
                  <w:rStyle w:val="InternetLink"/>
                  <w:rFonts w:ascii="Arial;sans-serif" w:hAnsi="Arial;sans-serif"/>
                  <w:b w:val="false"/>
                  <w:i w:val="false"/>
                  <w:caps w:val="false"/>
                  <w:smallCaps w:val="false"/>
                  <w:color w:val="0000EE"/>
                  <w:sz w:val="18"/>
                  <w:u w:val="single"/>
                </w:rPr>
                <w:t>A-26</w:t>
              </w:r>
            </w:hyperlink>
          </w:p>
        </w:tc>
      </w:tr>
      <w:tr>
        <w:trPr/>
        <w:tc>
          <w:tcPr>
            <w:tcW w:w="441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color w:val="0000EE"/>
                <w:sz w:val="18"/>
                <w:u w:val="single"/>
              </w:rPr>
              <w:t>(c)</w:t>
            </w:r>
            <w:hyperlink w:anchor="i8e46ffef7ba64d5685b12ae81aaaa434_508">
              <w:r>
                <w:rPr>
                  <w:rStyle w:val="InternetLink"/>
                  <w:rFonts w:ascii="Arial;sans-serif" w:hAnsi="Arial;sans-serif"/>
                  <w:b w:val="false"/>
                  <w:i w:val="false"/>
                  <w:caps w:val="false"/>
                  <w:smallCaps w:val="false"/>
                  <w:color w:val="000080"/>
                  <w:sz w:val="18"/>
                  <w:u w:val="single"/>
                </w:rPr>
                <w:t>Reorganizations</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508">
              <w:r>
                <w:rPr>
                  <w:rStyle w:val="InternetLink"/>
                  <w:rFonts w:ascii="Arial;sans-serif" w:hAnsi="Arial;sans-serif"/>
                  <w:b w:val="false"/>
                  <w:i w:val="false"/>
                  <w:caps w:val="false"/>
                  <w:smallCaps w:val="false"/>
                  <w:color w:val="0000EE"/>
                  <w:sz w:val="18"/>
                  <w:u w:val="single"/>
                </w:rPr>
                <w:t>A-26</w:t>
              </w:r>
            </w:hyperlink>
          </w:p>
        </w:tc>
      </w:tr>
      <w:tr>
        <w:trPr/>
        <w:tc>
          <w:tcPr>
            <w:tcW w:w="4411" w:type="dxa"/>
            <w:tcBorders/>
            <w:shd w:fill="CCEEFF" w:val="clear"/>
            <w:vAlign w:val="center"/>
          </w:tcPr>
          <w:p>
            <w:pPr>
              <w:pStyle w:val="TableContents"/>
              <w:bidi w:val="0"/>
              <w:spacing w:lineRule="atLeast" w:line="180" w:before="0" w:after="0"/>
              <w:jc w:val="left"/>
              <w:rPr/>
            </w:pPr>
            <w:hyperlink w:anchor="i8e46ffef7ba64d5685b12ae81aaaa434_511">
              <w:r>
                <w:rPr>
                  <w:rStyle w:val="InternetLink"/>
                  <w:rFonts w:ascii="Arial;sans-serif" w:hAnsi="Arial;sans-serif"/>
                  <w:b/>
                  <w:i w:val="false"/>
                  <w:caps w:val="false"/>
                  <w:smallCaps w:val="false"/>
                  <w:color w:val="0000EE"/>
                  <w:sz w:val="18"/>
                  <w:u w:val="single"/>
                </w:rPr>
                <w:t>SECTION 15 AMENDMENT OR DISCONTINUANCE</w:t>
              </w:r>
            </w:hyperlink>
          </w:p>
        </w:tc>
        <w:tc>
          <w:tcPr>
            <w:tcW w:w="556" w:type="dxa"/>
            <w:tcBorders/>
            <w:shd w:fill="CCEEFF" w:val="clear"/>
            <w:vAlign w:val="center"/>
          </w:tcPr>
          <w:p>
            <w:pPr>
              <w:pStyle w:val="TableContents"/>
              <w:bidi w:val="0"/>
              <w:spacing w:lineRule="atLeast" w:line="180" w:before="0" w:after="0"/>
              <w:jc w:val="left"/>
              <w:rPr/>
            </w:pPr>
            <w:hyperlink w:anchor="i8e46ffef7ba64d5685b12ae81aaaa434_511">
              <w:r>
                <w:rPr>
                  <w:rStyle w:val="InternetLink"/>
                  <w:rFonts w:ascii="Arial;sans-serif" w:hAnsi="Arial;sans-serif"/>
                  <w:b/>
                  <w:i w:val="false"/>
                  <w:caps w:val="false"/>
                  <w:smallCaps w:val="false"/>
                  <w:color w:val="0000EE"/>
                  <w:sz w:val="18"/>
                  <w:u w:val="single"/>
                </w:rPr>
                <w:t>A-27</w:t>
              </w:r>
            </w:hyperlink>
          </w:p>
        </w:tc>
      </w:tr>
      <w:tr>
        <w:trPr/>
        <w:tc>
          <w:tcPr>
            <w:tcW w:w="4411" w:type="dxa"/>
            <w:tcBorders/>
            <w:shd w:fill="FFFFFF" w:val="clear"/>
            <w:vAlign w:val="center"/>
          </w:tcPr>
          <w:p>
            <w:pPr>
              <w:pStyle w:val="TableContents"/>
              <w:bidi w:val="0"/>
              <w:spacing w:lineRule="atLeast" w:line="180" w:before="0" w:after="0"/>
              <w:jc w:val="left"/>
              <w:rPr/>
            </w:pPr>
            <w:hyperlink w:anchor="i8e46ffef7ba64d5685b12ae81aaaa434_514">
              <w:r>
                <w:rPr>
                  <w:rStyle w:val="InternetLink"/>
                  <w:rFonts w:ascii="Arial;sans-serif" w:hAnsi="Arial;sans-serif"/>
                  <w:b/>
                  <w:i w:val="false"/>
                  <w:caps w:val="false"/>
                  <w:smallCaps w:val="false"/>
                  <w:color w:val="0000EE"/>
                  <w:sz w:val="18"/>
                  <w:u w:val="single"/>
                </w:rPr>
                <w:t>SECTION 16 EXECUTION</w:t>
              </w:r>
            </w:hyperlink>
          </w:p>
        </w:tc>
        <w:tc>
          <w:tcPr>
            <w:tcW w:w="556" w:type="dxa"/>
            <w:tcBorders/>
            <w:shd w:fill="FFFFFF" w:val="clear"/>
            <w:vAlign w:val="center"/>
          </w:tcPr>
          <w:p>
            <w:pPr>
              <w:pStyle w:val="TableContents"/>
              <w:bidi w:val="0"/>
              <w:spacing w:lineRule="atLeast" w:line="180" w:before="0" w:after="0"/>
              <w:jc w:val="left"/>
              <w:rPr/>
            </w:pPr>
            <w:hyperlink w:anchor="i8e46ffef7ba64d5685b12ae81aaaa434_514">
              <w:r>
                <w:rPr>
                  <w:rStyle w:val="InternetLink"/>
                  <w:rFonts w:ascii="Arial;sans-serif" w:hAnsi="Arial;sans-serif"/>
                  <w:b/>
                  <w:i w:val="false"/>
                  <w:caps w:val="false"/>
                  <w:smallCaps w:val="false"/>
                  <w:color w:val="0000EE"/>
                  <w:sz w:val="18"/>
                  <w:u w:val="single"/>
                </w:rPr>
                <w:t>A-27</w:t>
              </w:r>
            </w:hyperlink>
          </w:p>
        </w:tc>
      </w:tr>
    </w:tbl>
    <w:tbl>
      <w:tblPr>
        <w:tblW w:w="2046" w:type="dxa"/>
        <w:jc w:val="left"/>
        <w:tblInd w:w="0" w:type="dxa"/>
        <w:tblLayout w:type="fixed"/>
        <w:tblCellMar>
          <w:top w:w="28" w:type="dxa"/>
          <w:left w:w="28" w:type="dxa"/>
          <w:bottom w:w="28" w:type="dxa"/>
          <w:right w:w="28" w:type="dxa"/>
        </w:tblCellMar>
      </w:tblPr>
      <w:tblGrid>
        <w:gridCol w:w="1501"/>
        <w:gridCol w:w="109"/>
        <w:gridCol w:w="436"/>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A-21</w:t>
            </w:r>
          </w:p>
        </w:tc>
      </w:tr>
    </w:tbl>
    <w:p>
      <w:pPr>
        <w:pStyle w:val="TextBody"/>
        <w:bidi w:val="0"/>
        <w:spacing w:lineRule="atLeast" w:line="160" w:before="0" w:after="0"/>
        <w:jc w:val="left"/>
        <w:rPr/>
      </w:pPr>
      <w:hyperlink w:anchor="i8e46ffef7ba64d5685b12ae81aaaa434_385">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Lucid Group, Inc.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Amended and Restated 2021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  PURPOSE OF THE PLAN.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This Plan is an addendum to and subject to the terms of the Amended and Restated 2021 Stock Incentive Plan of Lucid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Group, Inc., as amended from time to time (the “2021 SIP”). The Plan was adopted by the Board on February 22, 2021,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amended and restated as of January 1, 2024, amended and restated effective as of April 22, 2025 and is hereby further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amended and restated effective April 21, 2026. The purpose of the Plan is to provide a broad-based employee benefit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attract the services of new employees, to retain the services of existing employees, and to provide incentives for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individuals to exert maximum efforts toward our success by purchasing Stock from the Company on favorable terms and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pay for such purchases through payroll deductions. The Plan is intended to qualify under Section 423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2  DEFINITIONS.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Capitalized terms used but not defined in this Plan shall have the meaning set forth in the 2021 SIP. In addition, the following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terms used in this Plan have the following meanings.</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Committee” means the Compensation and Human Capital Committee of the Board or such other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comprised exclusively of one or more directors of the Company, as may be appointed by the Board from time to time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administer the Plan.</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(b)</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Compensation” means, unless provided otherwise by the Committee in the terms and conditions of an Offering,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base salary and wages paid in cash to a Participant by a Participating Company, without reduction for any pre-tax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contributions made by the Participant under Sections 401(k) or 125 of the Code. “Compensation” shall, unless provided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otherwise by the Committee in the terms and conditions of an Offering, exclude variable compensation (including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commissions, bonuses, incentive compensation, overtime pay and shift premiums), all non-cash items, moving or relocation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allowances, cost-of-living equalization payments, car allowances, tuition reimbursements, imputed income attributable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cars or life insurance, severance pay, fringe benefits, contributions or benefits received under employee benefit plans,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income attributable to the exercise of stock options or other equity awards, and similar items. The Committee shall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determine whether a particular item is included in Compensation.</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Corporate Reorganization” means: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(i)the consummation of a merger or consolidation of the Company with or into another entity, or any other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corporate reorganization; or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(ii)the sale, transfer or other disposition of all or substantially all of the Company’s assets or the complete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liquidation or dissolution of the Company.</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(d)</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Eligible Employee” means any employee of a Participating Company whose customary employment is for more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than five (5) months per calendar year and for more than twenty (20) hours per week.</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foregoing notwithstanding, an individual shall not be considered an Eligible Employee if his or her participation 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Plan is prohibited by the law of any country which has jurisdiction over him or her.</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(e)</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Fair Market Value” means the fair market value of a share of Stock, determined as follows: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(i)if Stock was traded on any established national securities exchange including the New York Stock Exchange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Nasdaq Stock Market on the date in question, then the Fair Market Value shall be equal to the closing price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as quoted on such exchange (or the exchange with the greatest volume of trading in the Stock) on such date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reported in the Wall Street Journal or such other source as the Committee deems reliable; or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(ii)if the foregoing provision is not applicable, then the Fair Market Value shall be determined by the Committee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good faith on such basis as it deems appropriate.</w:t>
      </w:r>
    </w:p>
    <w:tbl>
      <w:tblPr>
        <w:tblW w:w="2046" w:type="dxa"/>
        <w:jc w:val="left"/>
        <w:tblInd w:w="0" w:type="dxa"/>
        <w:tblLayout w:type="fixed"/>
        <w:tblCellMar>
          <w:top w:w="28" w:type="dxa"/>
          <w:left w:w="28" w:type="dxa"/>
          <w:bottom w:w="28" w:type="dxa"/>
          <w:right w:w="28" w:type="dxa"/>
        </w:tblCellMar>
      </w:tblPr>
      <w:tblGrid>
        <w:gridCol w:w="406"/>
        <w:gridCol w:w="109"/>
        <w:gridCol w:w="1531"/>
      </w:tblGrid>
      <w:tr>
        <w:trPr/>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A-22</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385">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 any date that is not a Trading Day, the Fair Market Value of a share of Stock for such date shall be determined by using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closing sale price for the immediately preceding Trading Day. Determination of the Fair Market Value pursuant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foregoing provisions shall be conclusive and binding on all persons.</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(f)</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Offering” means the grant of options to purchase shares of Stock under the Plan to Eligible Employees.</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(g)</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Offering Date” means the first day of an Offering.</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(h)</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Offering Period” means a period with respect to which the right to purchase Stock may be granted under the Plan,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as determined pursuant to Section 4(a).</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(i)</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Participant” means an Eligible Employee who elects to participate in the Plan, as provided in Section 4(b).</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(j)</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Participating Company” means (i) the Company and (ii) each present or future Subsidiary designated by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Committee as a Participating Company.</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(k)</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Plan” means this Lucid Group Inc. Amended and Restated 2021 Employee Stock Purchase Plan, as it may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amended from time to time.</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(l)</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Plan Account” means the account established for each Participant pursuant to Section 8(a).</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(m)</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Purchase Date” means one or more dates during an Offering on which shares of Stock may be purchased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pursuant to the terms of the Offering.</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(n)</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Purchase Period” means one or more successive periods during an Offering, beginning on the Offering Date or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the day after a Purchase Date, and ending on the next succeeding Purchase Date.</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(o)</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Purchase Price” means the price at which Participants may purchase shares of Stock under the Plan, 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determined pursuant to Section 8(b).</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(p)</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 xml:space="preserve">Subsidiary” means any corporation (other than the Company) in an unbroken chain of corporations beginning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Company, if each of the corporations other than the last corporation in the unbroken chain owns stock possessing fifty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percent (50%) or more of the total combined voting power of all classes of stock in one of the other corporations in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chain.</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(q)</w:t>
      </w: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18"/>
          <w:u w:val="none"/>
          <w:effect w:val="none"/>
        </w:rPr>
        <w:t>Trading Day” means a day on which the national stock exchange on which the Stock is traded is open for trading.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3  ADMINISTRATION OF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Administrative Powers and Responsibilities.  The Plan shall be administered by the Committee. The Committee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shall have full power and authority, subject to the provisions of the Plan, to promulgate such rules and regulations as it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deems necessary for the proper administration of the Plan, to interpret the provisions and supervise the administration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Plan, and to take all action in connection therewith or in relation thereto as it deems necessary or advisable. Any decision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reduced to writing and signed by all of the members of the Committee shall be fully effective as if it had been made at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meeting duly held. The Committee’s determinations under the Plan, unless otherwise determined by the Board, shall be final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binding on all persons. The Company shall pay all expenses incurred in the administration of the Plan. Consistent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Article VIII of the Company’s Third Amended and Restated Certificate of Incorporation (or any successor provision), and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fullest extent permitted by applicable law (as it now exists and as it may hereafter be amended), no member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shall be liable for any action, inaction, determination, or interpretation made in good faith with respect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Plan, and all members of the Committee shall be fully indemnified by the Company with respect to any such action, inaction,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determination or interpretation. The Committee may adopt such rules, guidelines and forms as it deems appropriate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implement the Plan. Subject to the requirements of applicable law, the Committee may designate persons other than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members of the Committee to carry out its responsibilities and may prescribe such conditions and limitations as it may deem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appropriate. All decisions, interpretations and other actions of the Committee shall be final and binding on all Participants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all persons deriving their rights from a Participant. Notwithstanding anything to the contrary in the Plan, the Board may,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 its sole discretion, at any time and from time to time, resolve to administer the Plan. In such event, the Board shall have 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of the authority and responsibility granted to the Committee herein.</w:t>
      </w:r>
    </w:p>
    <w:tbl>
      <w:tblPr>
        <w:tblW w:w="2046" w:type="dxa"/>
        <w:jc w:val="left"/>
        <w:tblInd w:w="0" w:type="dxa"/>
        <w:tblLayout w:type="fixed"/>
        <w:tblCellMar>
          <w:top w:w="28" w:type="dxa"/>
          <w:left w:w="28" w:type="dxa"/>
          <w:bottom w:w="28" w:type="dxa"/>
          <w:right w:w="28" w:type="dxa"/>
        </w:tblCellMar>
      </w:tblPr>
      <w:tblGrid>
        <w:gridCol w:w="1501"/>
        <w:gridCol w:w="109"/>
        <w:gridCol w:w="436"/>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A-23</w:t>
            </w:r>
          </w:p>
        </w:tc>
      </w:tr>
    </w:tbl>
    <w:p>
      <w:pPr>
        <w:pStyle w:val="TextBody"/>
        <w:bidi w:val="0"/>
        <w:spacing w:lineRule="atLeast" w:line="160" w:before="0" w:after="0"/>
        <w:jc w:val="left"/>
        <w:rPr/>
      </w:pPr>
      <w:hyperlink w:anchor="i8e46ffef7ba64d5685b12ae81aaaa434_385">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(b)International Administration.  The Committee may establish sub-plans (which need not qualify under Section 423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Code) and initiate separate Offerings through such sub-plans for the purpose of  (i) facilitating participation in the Plan by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non-U.S. employees in compliance with foreign laws and regulations without affecting the qualification of the remainder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Plan under Section 423 of the Code or (ii) qualifying the Plan for preferred tax treatment under foreign tax laws (which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sub-plans, at the Committee’s discretion, may provide for allocations of the authorized shares reserved for issue under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Plan as set forth in Section 14(a)). The rules, guidelines and forms of such sub-plans (or the Offerings thereunder) may take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precedence over other provisions of the Plan, with the exception of Section 4(a)(i), Section 5(b), Section 8(b) and Section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14(a), but unless otherwise superseded by the terms of such sub-plan, the provisions of the Plan shall govern the operation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such sub-plan. Alternatively and in order to comply with the laws of a foreign jurisdiction, the Committee shall have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power, in its discretion, to grant options in an Offering to citizens or residents of a non-U.S. jurisdiction (without regard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whether they are also citizens of the United States or resident aliens) that provide terms which are less favorable than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terms of options granted under the same Offering to employees resident in the United States, subject to compliance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Section 423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4  ENROLLMENT AND PARTICIPATION.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(a)Offering Periods.  While the Plan is in effect, the Committee may from time to time grant options to purchase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of Stock pursuant to the Plan to Eligible Employees during a specified Offering Period. Each such Offering shall be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such form and shall contain such terms and conditions as the Committee shall determine, subject to compliance with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terms and conditions of the Plan (which may be incorporated by reference) and the requirements of Section 423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Code, including the requirement that all Eligible Employees have the same rights and privileges. The Committee shall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specify prior to the commencement of each Offering (i) the period during which the Offering shall be effective, which may not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exceed twenty-seven (27) months from the Offering Date and may include one or more successive Purchase Periods within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Offering, (ii) the Purchase Dates and Purchase Price for shares of Stock which may be purchased pursuant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Offering, and (iii) if applicable, any limits on the number of shares purchasable by a Participant, or by all Participants 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aggregate, during any Offering Period or, if applicable, Purchase Period, in each case consistent with the limitations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Plan. The Committee shall have the discretion to provide for the automatic termination of an Offering following any Purchase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Date on which the Fair Market Value of a share of Stock is equal to or less than the Fair Market Value of a share of Stock 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Offering Date, and for the Participants in the terminated Offering to be automatically re-enrolled in a new Offering that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commences immediately after such Purchase Date. The terms and conditions of each Offering need not be identical,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shall be deemed incorporated by reference and made a part of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(b)Enrollment.  Any individual who, on the day preceding the first day of an Offering Period, qualifies as an Eligible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Employee may elect to become a Participant in the Plan for such Offering Period by completing the enrollment process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prescribed and communicated for this purpose from time to time by the Company to Eligible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(c)Duration of Participation.  Once enrolled in the Plan, a Participant shall continue to participate in the Plan until 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or she ceases to be an Eligible Employee or withdraws from the Plan under Section 6(a). A Participant who withdrew from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Plan under Section 6(a) may again become a Participant, if he or she then is an Eligible Employee, by following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procedure described in Subsection (b) above. A Participant whose employee contributions were discontinued automatically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Section 9(b) shall automatically resume participation at the beginning of the earliest Offering Period ending in the next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calendar year, if he or she then is an Eligible Employee. When a Participant reaches the end of an Offering Period but his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her participation is to continue, then such Participant shall automatically be re-enrolled for the Offering Period that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commences immediately after the end of the prior Offering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5  EMPLOYEE CONTRIBUTIONS.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(a)Frequency of Payroll Deductions.  A Participant may purchase shares of Stock under the Plan solely by means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payroll deductions; provided, however, that to the extent provided in the terms and conditions of an Offering, a Participant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may also make contributions through payment by cash or check prior to one or more Purchase Dates during the Offering.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Payroll deductions, subject to the provisions of Subsection (b) below or as otherwise provided under the terms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conditions of an Offering, shall occur on each payday during participation in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(b)Amount of Payroll Deductions.  An Eligible Employee shall designate during the enrollment process the portion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his or her Compensation that he or she elects to have withheld for the purchase of Stock. Such portion shall be a whole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percentage of the Eligible Employee’s Compensation, but not less than one percent (1%) nor more than fifteen percent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(15%) (or such lower rate of Compensation specified as the limit in the terms and conditions of the applicable Offering).</w:t>
      </w:r>
    </w:p>
    <w:tbl>
      <w:tblPr>
        <w:tblW w:w="2046" w:type="dxa"/>
        <w:jc w:val="left"/>
        <w:tblInd w:w="0" w:type="dxa"/>
        <w:tblLayout w:type="fixed"/>
        <w:tblCellMar>
          <w:top w:w="28" w:type="dxa"/>
          <w:left w:w="28" w:type="dxa"/>
          <w:bottom w:w="28" w:type="dxa"/>
          <w:right w:w="28" w:type="dxa"/>
        </w:tblCellMar>
      </w:tblPr>
      <w:tblGrid>
        <w:gridCol w:w="406"/>
        <w:gridCol w:w="109"/>
        <w:gridCol w:w="1531"/>
      </w:tblGrid>
      <w:tr>
        <w:trPr/>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A-24</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385">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(c)Changing Withholding Rate.  Unless otherwise provided under the terms and conditions of an Offering,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 may not increase the rate of payroll withholding during the Offering Period, but may discontinue or decrease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rate of payroll withholding during the Offering Period to a whole percentage of his or her Compensation in accordance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such procedures and subject to such limitations as the Company may establish for all Participants. A Participant may also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increase or decrease the rate of payroll withholding effective for a new Offering Period by submitting an authorization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change the payroll deduction rate pursuant to the process prescribed by the Company from time to time. The new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withholding rate shall be a whole percentage of the Eligible Employee’s Compensation consistent with Subsection (b)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(d)Discontinuing Payroll Deductions.  If a Participant wishes to discontinue employee contributions entirely, he or she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may do so by withdrawing from the Plan pursuant to Section 6(a). In addition, employee contributions may be discontinued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automatically pursuant to Section 9(b).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6  WITHDRAWAL FROM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(a)Withdrawal.  A Participant may elect to withdraw from the Plan by giving notice pursuant to the process prescribed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and communicated by the Company from time to time. Such withdrawal may be elected at any time before the last day of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Offering Period, except as otherwise provided in the Offering. In addition, if payment by cash or check is permitted under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terms and conditions of an Offering, Participants may be deemed to withdraw from the Plan by declining or failing to remit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timely payment to the Company for the shares of Stock. As soon as reasonably practicable thereafter, payroll deductions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shall cease and the entire amount credited to the Participant’s Plan Account shall be refunded to him or her in cash, without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interest. No partial withdrawals shall be permitted.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(b)Re-enrollment After Withdrawal.  A former Participant who has withdrawn from the Plan shall not be a Participant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until he or she re-enrolls in the Plan under Section 4(b). Re-enrollment may be effective only at the commencement of 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Offering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7  CHANGE IN EMPLOYMENT STATUS.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(a)Termination of Employment.  Termination of employment as an Eligible Employee for any reason, including death,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shall be treated as an automatic withdrawal from the Plan under Section 6(a). A transfer from one Participating Company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another shall not be treated as a termination of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(b)Leave of Absence.  For purposes of the Plan, employment shall not be deemed to terminate when the Participant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goes on a military leave, a sick leave or another bona fide leave of absence, if the leave was approved by the Company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writing. Employment, however, shall be deemed to terminate three (3) months after the Participant goes on a leave, unless a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contract or statute guarantees his or her right to return to work. Employment shall be deemed to terminate in any event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when the approved leave ends, unless the Participant immediately returns to work.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(c)Death.  In the event of the Participant’s death, the amount credited to his or her Plan Account shall be paid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Participant’s estate.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8  PLAN ACCOUNTS AND PURCHASE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(a)Plan Accounts.  The Company shall maintain a Plan Account on its books in the name of each Participant.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Whenever an amount is deducted from the Participant’s Compensation under the Plan, such amount shall be credited to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Participant’s Plan Account. Amounts credited to Plan Accounts shall not be trust funds and may be commingled with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Company’s general assets and applied to general corporate purposes. No interest shall be credited to Plan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(b)Purchase Price.  The Purchase Price for each share of Stock purchased during an Offering Period shall be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lesser of:</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(i)</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eighty-five percent (85%) of the Fair Market Value of such share on the Purchase Date; or</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(ii)</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eighty-five percent (85%) of the Fair Market Value of such share on the Offering Date.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Committee may specify for an alternate Purchase Price amount or formula in the terms and conditions of an Offering,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but in no event may such amount or formula result in a Purchase Price less than that calculated pursuant to the immediately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preceding formula.</w:t>
      </w:r>
    </w:p>
    <w:tbl>
      <w:tblPr>
        <w:tblW w:w="2046" w:type="dxa"/>
        <w:jc w:val="left"/>
        <w:tblInd w:w="0" w:type="dxa"/>
        <w:tblLayout w:type="fixed"/>
        <w:tblCellMar>
          <w:top w:w="28" w:type="dxa"/>
          <w:left w:w="28" w:type="dxa"/>
          <w:bottom w:w="28" w:type="dxa"/>
          <w:right w:w="28" w:type="dxa"/>
        </w:tblCellMar>
      </w:tblPr>
      <w:tblGrid>
        <w:gridCol w:w="1501"/>
        <w:gridCol w:w="109"/>
        <w:gridCol w:w="436"/>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A-25</w:t>
            </w:r>
          </w:p>
        </w:tc>
      </w:tr>
    </w:tbl>
    <w:p>
      <w:pPr>
        <w:pStyle w:val="TextBody"/>
        <w:bidi w:val="0"/>
        <w:spacing w:lineRule="atLeast" w:line="160" w:before="0" w:after="0"/>
        <w:jc w:val="left"/>
        <w:rPr/>
      </w:pPr>
      <w:hyperlink w:anchor="i8e46ffef7ba64d5685b12ae81aaaa434_385">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pPr>
      <w:r>
        <w:rPr>
          <w:rFonts w:ascii="Times New Roman;serif" w:hAnsi="Times New Roman;serif"/>
          <w:b w:val="false"/>
          <w:i w:val="false"/>
          <w:caps w:val="false"/>
          <w:smallCaps w:val="false"/>
          <w:strike w:val="false"/>
          <w:dstrike w:val="false"/>
          <w:sz w:val="24"/>
          <w:u w:val="none"/>
          <w:effect w:val="none"/>
        </w:rPr>
        <w:t>(c)</w:t>
      </w:r>
      <w:r>
        <w:rPr>
          <w:rFonts w:ascii="Arial;sans-serif" w:hAnsi="Arial;sans-serif"/>
          <w:b w:val="false"/>
          <w:i w:val="false"/>
          <w:caps w:val="false"/>
          <w:smallCaps w:val="false"/>
          <w:strike w:val="false"/>
          <w:dstrike w:val="false"/>
          <w:sz w:val="18"/>
          <w:u w:val="none"/>
          <w:effect w:val="none"/>
        </w:rPr>
        <w:t xml:space="preserve">Number of Shares Purchased.  As of each Purchase Date, each Participant shall be deemed to have elected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purchase the number of shares of Stock calculated in accordance with this Subsection (c), unless the Participant has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previously elected to withdraw from the Plan in accordance with Section 6(a). The amount then in the Participant’s Plan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Account shall be divided by the Purchase Price, and the number of shares that results shall be purchased from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Company with the funds in the Participant’s Plan Account. Unless provided otherwise by the Committee prior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commencement of an Offering, the maximum number of shares of Stock which may be purchased by an individual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Participant during such Offering is 2,500 shares (as equitably adjusted to reflect the reverse stock split at a ratio of one-for-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ten of the Company’s Stock effected on August 29, 2025). The foregoing notwithstanding, no Participant shall purchase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more than such number of shares of Stock as may be determined by the Committee with respect to the Offering Period,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Purchase Period, if applicable, nor more than the amounts of Stock set forth in Sections 9(b) and 14(a). For each Offering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Period and, if applicable, Purchase Period, the Committee shall have the authority to establish additional limits on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number of shares purchasable by all Participants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(d)Available Shares Insufficient.  In the event that the aggregate number of shares that all Participants elect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purchase during an Offering Period exceeds the maximum number of shares remaining available for issuance under Section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14(a), or which may be purchased pursuant to any additional aggregate limits imposed by the Committee, then the number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shares to which each Participant is entitled shall be determined by multiplying the number of shares available for issuance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by a fraction, the numerator of which is the number of shares that such Participant has elected to purchase and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denominator of which is the number of shares that all Participants have elected to purchase.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(e)Issuance of Stock.  Certificates representing the shares of Stock purchased by a Participant under the Plan shall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 issued to him or her as soon as reasonably practicable after the applicable Purchase Date, except that the Company may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determine that such shares shall be held for each Participant’s benefit by a broker designated by the Company. Shares may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 registered in the name of the Participant or jointly in the name of the Participant and his or her spouse as joint tenants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with right of survivorship or as community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(f)Unused Cash Balances.  An amount remaining in the Participant’s Plan Account that represents the Purchase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Price for any fractional share shall be carried over in the Participant’s Plan Account to the next Offering Period or refunded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Participant in cash at the end of the Offering Period, without interest, if his or her participation is not continued.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amount remaining in the Participant’s Plan Account that represents the Purchase Price for whole shares that could not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purchased by reason of Subsection (c) or (d) above, Section 9(b) or Section 14(a) shall be refunded to the Participant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cash, without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(g)Stockholder Approval.  The Plan shall be submitted to the stockholders of the Company for their approval within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twelve (12) months after the date the Plan is adopted by the Board. Any other provision of the Plan notwithstanding, no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of Stock shall be purchased under the Plan unless and until the stockholders have approved the adoption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9  LIMITATIONS ON STOCK OWNERSHIP.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(a)Five Percent Limit.  Any other provision of the Plan notwithstanding, no Participant shall be granted a right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purchase Stock under the Plan if such Participant, immediately after his or her election to purchase such Stock, would own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 possessing five percent (5%) or more of the total combined voting power or value of all classes of stock of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Company or any parent or Subsidiary of the Company. For purposes of this Subsection (a), the following rules shall apply:</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(i)Ownership of stock shall be determined after applying the attribution rules of section 424(d) of the Code;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(ii)Each Participant shall be deemed to own any stock that he or she has a right or option to purchase under this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any other plan; and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(iii)Each Participant shall be deemed to have the right to purchase up to the maximum number of shares of Stock that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may be purchased by a Participant under the Plan under the individual limit specified pursuant to Section 8(c) with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respect to each Offering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(b)Dollar Limit.  Any other provision of the Plan notwithstanding, no Participant shall accrue the right to purchase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 at a rate which exceeds twenty-five thousand dollars ($25,000) of Fair Market Value of such Stock per calendar year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(under the Plan and all other employee stock purchase plans of the Company or any parent or Subsidiary of the Company), </w:t>
      </w:r>
    </w:p>
    <w:tbl>
      <w:tblPr>
        <w:tblW w:w="2046" w:type="dxa"/>
        <w:jc w:val="left"/>
        <w:tblInd w:w="0" w:type="dxa"/>
        <w:tblLayout w:type="fixed"/>
        <w:tblCellMar>
          <w:top w:w="28" w:type="dxa"/>
          <w:left w:w="28" w:type="dxa"/>
          <w:bottom w:w="28" w:type="dxa"/>
          <w:right w:w="28" w:type="dxa"/>
        </w:tblCellMar>
      </w:tblPr>
      <w:tblGrid>
        <w:gridCol w:w="406"/>
        <w:gridCol w:w="109"/>
        <w:gridCol w:w="1531"/>
      </w:tblGrid>
      <w:tr>
        <w:trPr/>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A-26</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r>
    </w:tbl>
    <w:p>
      <w:pPr>
        <w:pStyle w:val="TextBody"/>
        <w:bidi w:val="0"/>
        <w:spacing w:lineRule="atLeast" w:line="160" w:before="0" w:after="0"/>
        <w:jc w:val="left"/>
        <w:rPr/>
      </w:pPr>
      <w:hyperlink w:anchor="i8e46ffef7ba64d5685b12ae81aaaa434_385">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determined in accordance with the provisions of Section 423(b)(8) of the Code and applicable Treasury Regulations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promulgated thereunder.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For purposes of this Subsection (b), the Fair Market Value of Stock shall be determined as of the beginning of the Offering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Period in which such Stock is purchased. Employee stock purchase plans not described in Section 423 of the Code shall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disregarded.</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If a Participant is precluded by this Subsection (b) from purchasing additional Stock under the Plan, then his or her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employee contributions shall automatically be discontinued and shall resume at the beginning of the earliest Offering Period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ending in the next calendar year (if he or she then is an Eligible Employee).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10  RIGHTS NOT TRANSFERABLE.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rights of any Participant under the Plan, or any Participant’s interest in any Stock or moneys to which he or she may be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entitled under the Plan, shall not be transferable by voluntary or involuntary assignment or by operation of law, or in any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other manner other than by the laws of descent and distribution. If a Participant in any manner attempts to transfer, assign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otherwise encumber his or her rights or interest under the Plan, other than by the laws of descent and distribution, then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act shall be treated as an election by the Participant to withdraw from the Plan under Section 6(a).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11  NO RIGHTS AS AN EMPLOYEE.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Nothing in the Plan or in any right granted under the Plan shall confer upon the Participant any right to continue in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employ of a Participating Company for any period of specific duration or interfere with or otherwise restrict in any way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rights of the Participating Companies or of the Participant, which rights are hereby expressly reserved by each, to terminate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his or her employment at any time and for any reason, with or without cause.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12  NO RIGHTS AS A STOCKHOLDER.</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 Participant shall have no rights as a stockholder with respect to any shares of Stock that he or she may have a right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purchase under the Plan until such shares have been purchased on the applicable Purchase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13  SECURITIES LAW REQUIREMENTS.</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of Stock shall not be issued under the Plan unless the issuance and delivery of such shares comply with (or are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exempt from) all applicable requirements of law, including (without limitation) the Securities Act of 1933, as amended,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rules and regulations promulgated thereunder, state securities laws and regulations, and the regulations of any stock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exchange or other securities market on which the Company’s securities may then be traded.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14  STOCK OFFERED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pPr>
      <w:r>
        <w:rPr>
          <w:rFonts w:ascii="Times New Roman;serif" w:hAnsi="Times New Roman;serif"/>
          <w:b w:val="false"/>
          <w:i w:val="false"/>
          <w:caps w:val="false"/>
          <w:smallCaps w:val="false"/>
          <w:strike w:val="false"/>
          <w:dstrike w:val="false"/>
          <w:sz w:val="24"/>
          <w:u w:val="none"/>
          <w:effect w:val="none"/>
        </w:rPr>
        <w:t>(a)</w:t>
      </w:r>
      <w:r>
        <w:rPr>
          <w:rFonts w:ascii="Arial;sans-serif" w:hAnsi="Arial;sans-serif"/>
          <w:b w:val="false"/>
          <w:i w:val="false"/>
          <w:caps w:val="false"/>
          <w:smallCaps w:val="false"/>
          <w:strike w:val="false"/>
          <w:dstrike w:val="false"/>
          <w:sz w:val="18"/>
          <w:u w:val="none"/>
          <w:effect w:val="none"/>
        </w:rPr>
        <w:t xml:space="preserve">Authorized Shares.  Unless otherwise determined by the Committee, the maximum aggregate number of Shares </w:t>
      </w:r>
    </w:p>
    <w:p>
      <w:pPr>
        <w:pStyle w:val="TextBody"/>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available for purchase under the Plan during any calendar year is 2,000,000</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8"/>
          <w:u w:val="none"/>
          <w:effect w:val="none"/>
        </w:rPr>
        <w:t xml:space="preserve">Shares (as equitably adjusted to reflect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reverse stock split at a ratio of one-for-ten of the Company’s Stock effected on August 29, 2025); provided, however, that the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maximum aggregate number of Shares available for purchase under the Plan shall not exceed the limit set forth in Section 5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of the 2021 SIP. The aggregate number of shares available for purchase under the Plan shall at all times be subject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adjustment pursuant to Section 14(b).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(b)Antidilution Adjustments.  The aggregate number of shares of Stock offered under the Plan, the individual and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aggregate Participant share limitations described in Section 8(c) and the price of shares that any Participant has elected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purchase shall be adjusted proportionately by the Committee in the event of any change in the number of issued shares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Stock (or issuance of shares other than shares of Stock) by reason of any forward or reverse share split, subdivision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consolidation, or share dividend or bonus issue, recapitalization, reclassification, merger, amalgamation, consolidation, split-</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up, spin-off, reorganization, combination, exchange of shares of Stock, the issuance of warrants or other rights to purchase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shares of Stock or other securities, or any other change in corporate structure or in the event of any extraordinary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distribution (whether in the form of cash, shares of Stock, other securities or other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(c)Reorganizations.  Any other provision of the Plan notwithstanding, in the event of a Corporate Reorganization in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which the Plan is not assumed by the surviving corporation or its parent corporation pursuant to the applicable plan of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merger or consolidation, the Offering Period then in progress shall terminate immediately prior to the effective time of such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Corporate Reorganization and either shares shall be purchased pursuant to Section 8 or, if so determined by the Board or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Committee, all amounts in all Participant Accounts shall be refunded pursuant to Section 15 without any purchase of shares. </w:t>
      </w:r>
    </w:p>
    <w:tbl>
      <w:tblPr>
        <w:tblW w:w="2046" w:type="dxa"/>
        <w:jc w:val="left"/>
        <w:tblInd w:w="0" w:type="dxa"/>
        <w:tblLayout w:type="fixed"/>
        <w:tblCellMar>
          <w:top w:w="28" w:type="dxa"/>
          <w:left w:w="28" w:type="dxa"/>
          <w:bottom w:w="28" w:type="dxa"/>
          <w:right w:w="28" w:type="dxa"/>
        </w:tblCellMar>
      </w:tblPr>
      <w:tblGrid>
        <w:gridCol w:w="1501"/>
        <w:gridCol w:w="109"/>
        <w:gridCol w:w="436"/>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A-27</w:t>
            </w:r>
          </w:p>
        </w:tc>
      </w:tr>
    </w:tbl>
    <w:p>
      <w:pPr>
        <w:pStyle w:val="TextBody"/>
        <w:bidi w:val="0"/>
        <w:spacing w:lineRule="atLeast" w:line="160" w:before="0" w:after="0"/>
        <w:jc w:val="left"/>
        <w:rPr/>
      </w:pPr>
      <w:hyperlink w:anchor="i8e46ffef7ba64d5685b12ae81aaaa434_385">
        <w:r>
          <w:rPr>
            <w:rStyle w:val="InternetLink"/>
            <w:rFonts w:ascii="Arial;sans-serif" w:hAnsi="Arial;sans-serif"/>
            <w:b w:val="false"/>
            <w:i w:val="false"/>
            <w:caps w:val="false"/>
            <w:smallCaps w:val="false"/>
            <w:strike w:val="false"/>
            <w:dstrike w:val="false"/>
            <w:color w:val="003366"/>
            <w:sz w:val="16"/>
            <w:u w:val="single"/>
            <w:effect w:val="none"/>
          </w:rPr>
          <w:t>TABLE OF CONTENTS</w:t>
        </w:r>
      </w:hyperlink>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Plan shall in no event be construed to restrict in any way the Company’s right to undertake a dissolution, liquidation,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merger, consolidation or other reorganization.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15  AMENDMENT OR DISCONTINUANCE.</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Board or Committee shall have the right to amend, suspend or terminate the Plan at any time and without notice. Upon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any such amendment, suspension or termination of the Plan during an Offering Period, the Board or Committee may in its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discretion determine that the applicable Offering shall immediately terminate and that all amounts in the Participant Accounts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shall be carried forward into a payroll deduction account for each Participant under a successor plan, if any, or promptly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refunded to each Participant. Except as provided in Section 14, any increase in the aggregate number of shares of Stock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be issued under the Plan shall be subject to approval by a vote of the stockholders of the Company. In addition, any other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amendment of the Plan shall be subject to approval by a vote of the stockholders of the Company to the extent required by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an applicable law or regulation. The Plan shall continue until the earlier to occur of  (a) termination of the Plan pursuant to </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this Section 15 or (b) issuance of all of the shares of Stock reserved for issuance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SECTION 16  EXECUTION.</w:t>
      </w:r>
    </w:p>
    <w:p>
      <w:pPr>
        <w:pStyle w:val="TextBody"/>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To record the adoption of the Plan by the Board, the Company has caused its authorized officer to execute the same.</w:t>
      </w:r>
    </w:p>
    <w:tbl>
      <w:tblPr>
        <w:tblW w:w="2556" w:type="dxa"/>
        <w:jc w:val="left"/>
        <w:tblInd w:w="0" w:type="dxa"/>
        <w:tblLayout w:type="fixed"/>
        <w:tblCellMar>
          <w:top w:w="28" w:type="dxa"/>
          <w:left w:w="28" w:type="dxa"/>
          <w:bottom w:w="28" w:type="dxa"/>
          <w:right w:w="28" w:type="dxa"/>
        </w:tblCellMar>
      </w:tblPr>
      <w:tblGrid>
        <w:gridCol w:w="124"/>
        <w:gridCol w:w="361"/>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32" w:type="dxa"/>
            <w:gridSpan w:val="2"/>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LUCID GROUP, INC.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By:</w:t>
            </w:r>
          </w:p>
        </w:tc>
        <w:tc>
          <w:tcPr>
            <w:tcW w:w="2071" w:type="dxa"/>
            <w:tcBorders/>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 Brian K. Tomkiel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Name: Brian K. Tomkiel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Title: General Counsel</w:t>
            </w:r>
          </w:p>
        </w:tc>
      </w:tr>
    </w:tbl>
    <w:tbl>
      <w:tblPr>
        <w:tblW w:w="1971" w:type="dxa"/>
        <w:jc w:val="left"/>
        <w:tblInd w:w="0" w:type="dxa"/>
        <w:tblLayout w:type="fixed"/>
        <w:tblCellMar>
          <w:top w:w="28" w:type="dxa"/>
          <w:left w:w="28" w:type="dxa"/>
          <w:bottom w:w="28" w:type="dxa"/>
          <w:right w:w="28" w:type="dxa"/>
        </w:tblCellMar>
      </w:tblPr>
      <w:tblGrid>
        <w:gridCol w:w="1501"/>
        <w:gridCol w:w="109"/>
        <w:gridCol w:w="36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2026 Proxy Statement</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B-1</w:t>
            </w:r>
          </w:p>
        </w:tc>
      </w:tr>
    </w:tbl>
    <w:p>
      <w:pPr>
        <w:pStyle w:val="TextBody"/>
        <w:bidi w:val="0"/>
        <w:spacing w:lineRule="atLeast" w:line="160" w:before="0" w:after="0"/>
        <w:jc w:val="left"/>
        <w:rPr/>
      </w:pPr>
      <w:hyperlink w:anchor="i8e46ffef7ba64d5685b12ae81aaaa434_13">
        <w:r>
          <w:rPr>
            <w:rStyle w:val="InternetLink"/>
          </w:rPr>
          <w:t xml:space="preserve">TABLE OF </w:t>
        </w:r>
      </w:hyperlink>
      <w:hyperlink w:anchor="i8e46ffef7ba64d5685b12ae81aaaa434_13">
        <w:r>
          <w:rPr>
            <w:rStyle w:val="InternetLink"/>
          </w:rPr>
          <w:t>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Annex B</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LUCID GROUP, INC.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Reconciliation of GAAP to Non-GAAP Financial Measures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 xml:space="preserve">(Unaudited) </w:t>
      </w:r>
    </w:p>
    <w:p>
      <w:pPr>
        <w:pStyle w:val="TextBody"/>
        <w:bidi w:val="0"/>
        <w:spacing w:lineRule="atLeast" w:line="400" w:before="0" w:after="0"/>
        <w:jc w:val="left"/>
        <w:rPr>
          <w:rFonts w:ascii="Times New Roman;serif" w:hAnsi="Times New Roman;serif"/>
          <w:b w:val="false"/>
          <w:i w:val="false"/>
          <w:caps w:val="false"/>
          <w:smallCaps w:val="false"/>
          <w:strike w:val="false"/>
          <w:dstrike w:val="false"/>
          <w:sz w:val="40"/>
          <w:u w:val="none"/>
          <w:effect w:val="none"/>
        </w:rPr>
      </w:pPr>
      <w:r>
        <w:rPr>
          <w:rFonts w:ascii="Times New Roman;serif" w:hAnsi="Times New Roman;serif"/>
          <w:b w:val="false"/>
          <w:i w:val="false"/>
          <w:caps w:val="false"/>
          <w:smallCaps w:val="false"/>
          <w:strike w:val="false"/>
          <w:dstrike w:val="false"/>
          <w:sz w:val="40"/>
          <w:u w:val="none"/>
          <w:effect w:val="none"/>
        </w:rPr>
        <w:t>(in thousands)</w:t>
      </w:r>
    </w:p>
    <w:p>
      <w:pPr>
        <w:pStyle w:val="TextBody"/>
        <w:bidi w:val="0"/>
        <w:spacing w:lineRule="atLeast" w:line="180" w:before="0" w:after="0"/>
        <w:jc w:val="left"/>
        <w:rPr>
          <w:rFonts w:ascii="Arial;sans-serif" w:hAnsi="Arial;sans-serif"/>
          <w:b/>
          <w:i w:val="false"/>
          <w:caps w:val="false"/>
          <w:smallCaps w:val="false"/>
          <w:sz w:val="18"/>
          <w:u w:val="single"/>
        </w:rPr>
      </w:pPr>
      <w:r>
        <w:rPr>
          <w:rFonts w:ascii="Arial;sans-serif" w:hAnsi="Arial;sans-serif"/>
          <w:b/>
          <w:i w:val="false"/>
          <w:caps w:val="false"/>
          <w:smallCaps w:val="false"/>
          <w:sz w:val="18"/>
          <w:u w:val="single"/>
        </w:rPr>
        <w:t>Free Cash Flow</w:t>
      </w:r>
    </w:p>
    <w:tbl>
      <w:tblPr>
        <w:tblW w:w="8489" w:type="dxa"/>
        <w:jc w:val="left"/>
        <w:tblInd w:w="0" w:type="dxa"/>
        <w:tblLayout w:type="fixed"/>
        <w:tblCellMar>
          <w:top w:w="28" w:type="dxa"/>
          <w:left w:w="28" w:type="dxa"/>
          <w:bottom w:w="28" w:type="dxa"/>
          <w:right w:w="28" w:type="dxa"/>
        </w:tblCellMar>
      </w:tblPr>
      <w:tblGrid>
        <w:gridCol w:w="124"/>
        <w:gridCol w:w="3631"/>
        <w:gridCol w:w="109"/>
        <w:gridCol w:w="1036"/>
        <w:gridCol w:w="109"/>
        <w:gridCol w:w="1036"/>
        <w:gridCol w:w="109"/>
        <w:gridCol w:w="1036"/>
        <w:gridCol w:w="109"/>
        <w:gridCol w:w="103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363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6"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363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4471" w:type="dxa"/>
            <w:gridSpan w:val="7"/>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Year Ended December 31, 2025</w:t>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363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FFFFFF"/>
            </w:tcBorders>
            <w:shd w:fill="0000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363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363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2025</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2024</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2023</w:t>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6" w:type="dxa"/>
            <w:tcBorders/>
            <w:shd w:fill="000000"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EFEFE"/>
                <w:sz w:val="14"/>
                <w:u w:val="none"/>
                <w:effect w:val="none"/>
              </w:rPr>
            </w:pPr>
            <w:r>
              <w:rPr>
                <w:rFonts w:ascii="Arial;sans-serif" w:hAnsi="Arial;sans-serif"/>
                <w:b/>
                <w:i w:val="false"/>
                <w:caps w:val="false"/>
                <w:smallCaps w:val="false"/>
                <w:strike w:val="false"/>
                <w:dstrike w:val="false"/>
                <w:color w:val="FEFEFE"/>
                <w:sz w:val="14"/>
                <w:u w:val="none"/>
                <w:effect w:val="none"/>
              </w:rPr>
              <w:t>2022</w:t>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shd w:fill="000000" w:val="clear"/>
            <w:vAlign w:val="center"/>
          </w:tcPr>
          <w:p>
            <w:pPr>
              <w:pStyle w:val="TableContents"/>
              <w:bidi w:val="0"/>
              <w:spacing w:before="0" w:after="283"/>
              <w:jc w:val="left"/>
              <w:rPr>
                <w:sz w:val="4"/>
                <w:szCs w:val="4"/>
              </w:rPr>
            </w:pPr>
            <w:r>
              <w:rPr>
                <w:sz w:val="4"/>
                <w:szCs w:val="4"/>
              </w:rPr>
            </w:r>
          </w:p>
        </w:tc>
        <w:tc>
          <w:tcPr>
            <w:tcW w:w="3631"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6" w:type="dxa"/>
            <w:tcBorders/>
            <w:shd w:fill="000000" w:val="clear"/>
            <w:vAlign w:val="center"/>
          </w:tcPr>
          <w:p>
            <w:pPr>
              <w:pStyle w:val="TableContents"/>
              <w:bidi w:val="0"/>
              <w:spacing w:before="0" w:after="283"/>
              <w:jc w:val="left"/>
              <w:rPr>
                <w:sz w:val="4"/>
                <w:szCs w:val="4"/>
              </w:rPr>
            </w:pPr>
            <w:r>
              <w:rPr>
                <w:sz w:val="4"/>
                <w:szCs w:val="4"/>
              </w:rPr>
            </w:r>
          </w:p>
        </w:tc>
        <w:tc>
          <w:tcPr>
            <w:tcW w:w="109" w:type="dxa"/>
            <w:tcBorders/>
            <w:shd w:fill="000000" w:val="clear"/>
            <w:vAlign w:val="center"/>
          </w:tcPr>
          <w:p>
            <w:pPr>
              <w:pStyle w:val="TableContents"/>
              <w:bidi w:val="0"/>
              <w:spacing w:before="0" w:after="283"/>
              <w:jc w:val="left"/>
              <w:rPr>
                <w:sz w:val="4"/>
                <w:szCs w:val="4"/>
              </w:rPr>
            </w:pPr>
            <w:r>
              <w:rPr>
                <w:sz w:val="4"/>
                <w:szCs w:val="4"/>
              </w:rPr>
            </w:r>
          </w:p>
        </w:tc>
        <w:tc>
          <w:tcPr>
            <w:tcW w:w="1036" w:type="dxa"/>
            <w:tcBorders/>
            <w:shd w:fill="000000" w:val="clear"/>
            <w:vAlign w:val="center"/>
          </w:tcPr>
          <w:p>
            <w:pPr>
              <w:pStyle w:val="TableContents"/>
              <w:bidi w:val="0"/>
              <w:spacing w:before="0" w:after="283"/>
              <w:jc w:val="left"/>
              <w:rPr>
                <w:sz w:val="4"/>
                <w:szCs w:val="4"/>
              </w:rPr>
            </w:pPr>
            <w:r>
              <w:rPr>
                <w:sz w:val="4"/>
                <w:szCs w:val="4"/>
              </w:rPr>
            </w:r>
          </w:p>
        </w:tc>
        <w:tc>
          <w:tcPr>
            <w:tcW w:w="154" w:type="dxa"/>
            <w:tcBorders/>
            <w:shd w:fill="000000"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Net cash used in operating activities (GAAP)</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$(2,931,912)</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$(2,019,674)</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$(2,489,753)</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$(2,226,258)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(868,158)</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(883,841)</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(910,644)</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(1,074,852)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Free cash flow (non-GAAP)</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$(3,800,070)</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$(2,903,515)</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$(3,400,397)</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$(3,301,110)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pPr>
      <w:hyperlink w:anchor="i8e46ffef7ba64d5685b12ae81aaaa434_13">
        <w:r>
          <w:rPr>
            <w:rStyle w:val="InternetLink"/>
          </w:rPr>
          <w:t xml:space="preserve">TABLE OF </w:t>
        </w:r>
      </w:hyperlink>
      <w:hyperlink w:anchor="i8e46ffef7ba64d5685b12ae81aaaa434_13">
        <w:r>
          <w:rPr>
            <w:rStyle w:val="InternetLink"/>
          </w:rPr>
          <w:t>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6400800" cy="824611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6400800" cy="8246110"/>
                    </a:xfrm>
                    <a:prstGeom prst="rect">
                      <a:avLst/>
                    </a:prstGeom>
                  </pic:spPr>
                </pic:pic>
              </a:graphicData>
            </a:graphic>
          </wp:inline>
        </w:drawing>
      </w:r>
      <w:bookmarkStart w:id="62" w:name="i-61"/>
      <w:bookmarkEnd w:id="62"/>
    </w:p>
    <w:p>
      <w:pPr>
        <w:pStyle w:val="TextBody"/>
        <w:bidi w:val="0"/>
        <w:spacing w:lineRule="atLeast" w:line="160" w:before="0" w:after="0"/>
        <w:jc w:val="left"/>
        <w:rPr/>
      </w:pPr>
      <w:hyperlink w:anchor="i8e46ffef7ba64d5685b12ae81aaaa434_13">
        <w:r>
          <w:rPr>
            <w:rStyle w:val="InternetLink"/>
          </w:rPr>
          <w:t xml:space="preserve">TABLE OF </w:t>
        </w:r>
      </w:hyperlink>
      <w:hyperlink w:anchor="i8e46ffef7ba64d5685b12ae81aaaa434_13">
        <w:r>
          <w:rPr>
            <w:rStyle w:val="InternetLink"/>
          </w:rPr>
          <w:t>CONTENTS</w:t>
        </w:r>
      </w:hyperlink>
    </w:p>
    <w:p>
      <w:pPr>
        <w:pStyle w:val="TextBody"/>
        <w:bidi w:val="0"/>
        <w:spacing w:before="0" w:after="283"/>
        <w:jc w:val="left"/>
        <w:rPr/>
      </w:pPr>
      <w:r>
        <w:rPr/>
        <w:drawing>
          <wp:inline distT="0" distB="0" distL="0" distR="0">
            <wp:extent cx="6286500" cy="807402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6286500" cy="8074025"/>
                    </a:xfrm>
                    <a:prstGeom prst="rect">
                      <a:avLst/>
                    </a:prstGeom>
                  </pic:spPr>
                </pic:pic>
              </a:graphicData>
            </a:graphic>
          </wp:inline>
        </w:drawing>
      </w:r>
      <w:bookmarkStart w:id="63" w:name="i-62"/>
      <w:bookmarkEnd w:id="63"/>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gif"/><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6.jpeg"/><Relationship Id="rId13" Type="http://schemas.openxmlformats.org/officeDocument/2006/relationships/image" Target="media/image6.jpeg"/><Relationship Id="rId14" Type="http://schemas.openxmlformats.org/officeDocument/2006/relationships/image" Target="media/image6.jpeg"/><Relationship Id="rId15" Type="http://schemas.openxmlformats.org/officeDocument/2006/relationships/image" Target="media/image6.jpeg"/><Relationship Id="rId16" Type="http://schemas.openxmlformats.org/officeDocument/2006/relationships/image" Target="media/image6.jpeg"/><Relationship Id="rId17" Type="http://schemas.openxmlformats.org/officeDocument/2006/relationships/image" Target="media/image6.jpeg"/><Relationship Id="rId18" Type="http://schemas.openxmlformats.org/officeDocument/2006/relationships/image" Target="media/image6.jpeg"/><Relationship Id="rId19" Type="http://schemas.openxmlformats.org/officeDocument/2006/relationships/image" Target="media/image6.jpeg"/><Relationship Id="rId20" Type="http://schemas.openxmlformats.org/officeDocument/2006/relationships/image" Target="media/image6.jpeg"/><Relationship Id="rId21" Type="http://schemas.openxmlformats.org/officeDocument/2006/relationships/image" Target="media/image6.jpeg"/><Relationship Id="rId22" Type="http://schemas.openxmlformats.org/officeDocument/2006/relationships/image" Target="media/image6.jpeg"/><Relationship Id="rId23" Type="http://schemas.openxmlformats.org/officeDocument/2006/relationships/image" Target="media/image6.jpeg"/><Relationship Id="rId24" Type="http://schemas.openxmlformats.org/officeDocument/2006/relationships/image" Target="media/image6.jpeg"/><Relationship Id="rId25" Type="http://schemas.openxmlformats.org/officeDocument/2006/relationships/image" Target="media/image6.jpeg"/><Relationship Id="rId26" Type="http://schemas.openxmlformats.org/officeDocument/2006/relationships/image" Target="media/image7.jpeg"/><Relationship Id="rId27" Type="http://schemas.openxmlformats.org/officeDocument/2006/relationships/image" Target="media/image8.jpeg"/><Relationship Id="rId28" Type="http://schemas.openxmlformats.org/officeDocument/2006/relationships/image" Target="media/image9.jpeg"/><Relationship Id="rId29" Type="http://schemas.openxmlformats.org/officeDocument/2006/relationships/image" Target="media/image10.jpeg"/><Relationship Id="rId30" Type="http://schemas.openxmlformats.org/officeDocument/2006/relationships/image" Target="media/image11.jpeg"/><Relationship Id="rId31" Type="http://schemas.openxmlformats.org/officeDocument/2006/relationships/image" Target="media/image12.jpeg"/><Relationship Id="rId32" Type="http://schemas.openxmlformats.org/officeDocument/2006/relationships/image" Target="media/image13.jpeg"/><Relationship Id="rId33" Type="http://schemas.openxmlformats.org/officeDocument/2006/relationships/image" Target="media/image14.jpeg"/><Relationship Id="rId34" Type="http://schemas.openxmlformats.org/officeDocument/2006/relationships/image" Target="media/image15.jpeg"/><Relationship Id="rId35" Type="http://schemas.openxmlformats.org/officeDocument/2006/relationships/image" Target="media/image16.jpeg"/><Relationship Id="rId36" Type="http://schemas.openxmlformats.org/officeDocument/2006/relationships/image" Target="media/image17.jpeg"/><Relationship Id="rId37" Type="http://schemas.openxmlformats.org/officeDocument/2006/relationships/image" Target="media/image18.jpeg"/><Relationship Id="rId38" Type="http://schemas.openxmlformats.org/officeDocument/2006/relationships/image" Target="media/image19.jpeg"/><Relationship Id="rId39" Type="http://schemas.openxmlformats.org/officeDocument/2006/relationships/image" Target="media/image20.jpeg"/><Relationship Id="rId40" Type="http://schemas.openxmlformats.org/officeDocument/2006/relationships/image" Target="media/image21.jpeg"/><Relationship Id="rId41" Type="http://schemas.openxmlformats.org/officeDocument/2006/relationships/image" Target="media/image22.jpeg"/><Relationship Id="rId42" Type="http://schemas.openxmlformats.org/officeDocument/2006/relationships/image" Target="media/image23.jpeg"/><Relationship Id="rId43" Type="http://schemas.openxmlformats.org/officeDocument/2006/relationships/image" Target="media/image24.jpeg"/><Relationship Id="rId44" Type="http://schemas.openxmlformats.org/officeDocument/2006/relationships/image" Target="media/image25.jpeg"/><Relationship Id="rId45" Type="http://schemas.openxmlformats.org/officeDocument/2006/relationships/image" Target="media/image26.jpeg"/><Relationship Id="rId46" Type="http://schemas.openxmlformats.org/officeDocument/2006/relationships/image" Target="media/image27.jpeg"/><Relationship Id="rId47" Type="http://schemas.openxmlformats.org/officeDocument/2006/relationships/image" Target="media/image28.jpeg"/><Relationship Id="rId48" Type="http://schemas.openxmlformats.org/officeDocument/2006/relationships/image" Target="media/image29.jpeg"/><Relationship Id="rId49" Type="http://schemas.openxmlformats.org/officeDocument/2006/relationships/image" Target="media/image28.jpeg"/><Relationship Id="rId50" Type="http://schemas.openxmlformats.org/officeDocument/2006/relationships/image" Target="media/image29.jpeg"/><Relationship Id="rId51" Type="http://schemas.openxmlformats.org/officeDocument/2006/relationships/image" Target="media/image28.jpeg"/><Relationship Id="rId52" Type="http://schemas.openxmlformats.org/officeDocument/2006/relationships/image" Target="media/image29.jpeg"/><Relationship Id="rId53" Type="http://schemas.openxmlformats.org/officeDocument/2006/relationships/image" Target="media/image28.jpeg"/><Relationship Id="rId54" Type="http://schemas.openxmlformats.org/officeDocument/2006/relationships/image" Target="media/image29.jpeg"/><Relationship Id="rId55" Type="http://schemas.openxmlformats.org/officeDocument/2006/relationships/image" Target="media/image28.jpeg"/><Relationship Id="rId56" Type="http://schemas.openxmlformats.org/officeDocument/2006/relationships/image" Target="media/image29.jpeg"/><Relationship Id="rId57" Type="http://schemas.openxmlformats.org/officeDocument/2006/relationships/image" Target="media/image30.jpeg"/><Relationship Id="rId58" Type="http://schemas.openxmlformats.org/officeDocument/2006/relationships/image" Target="media/image30.jpeg"/><Relationship Id="rId59" Type="http://schemas.openxmlformats.org/officeDocument/2006/relationships/image" Target="media/image31.jpeg"/><Relationship Id="rId60" Type="http://schemas.openxmlformats.org/officeDocument/2006/relationships/image" Target="media/image32.jpeg"/><Relationship Id="rId61" Type="http://schemas.openxmlformats.org/officeDocument/2006/relationships/image" Target="media/image33.jpeg"/><Relationship Id="rId62" Type="http://schemas.openxmlformats.org/officeDocument/2006/relationships/image" Target="media/image34.jpeg"/><Relationship Id="rId63" Type="http://schemas.openxmlformats.org/officeDocument/2006/relationships/image" Target="media/image35.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66264</Words>
  <Characters>357596</Characters>
  <CharactersWithSpaces>421152</CharactersWithSpaces>
  <Paragraphs>6664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