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1"/>
          <w:szCs w:val="11"/>
          <w:color w:val="003366"/>
        </w:rPr>
        <w:t>TABLE OF CONTENTS</w:t>
      </w:r>
    </w:p>
    <w:p>
      <w:pPr>
        <w:sectPr>
          <w:pgSz w:w="11900" w:h="16838" w:orient="portrait"/>
          <w:cols w:equalWidth="0" w:num="1">
            <w:col w:w="9879"/>
          </w:cols>
          <w:pgMar w:left="580" w:top="198" w:right="1440" w:bottom="1440" w:gutter="0" w:footer="0" w:header="0"/>
        </w:sectPr>
      </w:pPr>
    </w:p>
    <w:p>
      <w:pPr>
        <w:spacing w:after="0" w:line="200" w:lineRule="exact"/>
        <w:rPr>
          <w:sz w:val="24"/>
          <w:szCs w:val="24"/>
          <w:color w:val="auto"/>
        </w:rPr>
      </w:pPr>
    </w:p>
    <w:p>
      <w:pPr>
        <w:spacing w:after="0" w:line="312" w:lineRule="exact"/>
        <w:rPr>
          <w:sz w:val="24"/>
          <w:szCs w:val="24"/>
          <w:color w:val="auto"/>
        </w:rPr>
      </w:pPr>
    </w:p>
    <w:tbl>
      <w:tblPr>
        <w:tblLayout w:type="fixed"/>
        <w:tblInd w:w="880" w:type="dxa"/>
        <w:tblCellMar>
          <w:top w:w="0" w:type="dxa"/>
          <w:left w:w="0" w:type="dxa"/>
          <w:bottom w:w="0" w:type="dxa"/>
          <w:right w:w="0" w:type="dxa"/>
        </w:tblCellMar>
      </w:tblPr>
      <w:tr>
        <w:trPr>
          <w:trHeight w:val="67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under the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buy these</w:t>
            </w:r>
          </w:p>
        </w:tc>
        <w:tc>
          <w:tcPr>
            <w:tcW w:w="160" w:type="dxa"/>
            <w:vAlign w:val="bottom"/>
          </w:tcPr>
          <w:p>
            <w:pPr>
              <w:spacing w:after="0"/>
              <w:rPr>
                <w:sz w:val="24"/>
                <w:szCs w:val="24"/>
                <w:color w:val="auto"/>
              </w:rPr>
            </w:pPr>
          </w:p>
        </w:tc>
      </w:tr>
      <w:tr>
        <w:trPr>
          <w:trHeight w:val="225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has become effective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we are not soliciting an offer to</w:t>
            </w:r>
          </w:p>
        </w:tc>
        <w:tc>
          <w:tcPr>
            <w:tcW w:w="160" w:type="dxa"/>
            <w:vAlign w:val="bottom"/>
          </w:tcPr>
          <w:p>
            <w:pPr>
              <w:spacing w:after="0"/>
              <w:rPr>
                <w:sz w:val="24"/>
                <w:szCs w:val="24"/>
                <w:color w:val="auto"/>
              </w:rPr>
            </w:pPr>
          </w:p>
        </w:tc>
      </w:tr>
      <w:tr>
        <w:trPr>
          <w:trHeight w:val="297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 registration statement relating to these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are not an offer to sell these securities and</w:t>
            </w:r>
          </w:p>
        </w:tc>
        <w:tc>
          <w:tcPr>
            <w:tcW w:w="160" w:type="dxa"/>
            <w:vAlign w:val="bottom"/>
          </w:tcPr>
          <w:p>
            <w:pPr>
              <w:spacing w:after="0"/>
              <w:rPr>
                <w:sz w:val="24"/>
                <w:szCs w:val="24"/>
                <w:color w:val="auto"/>
              </w:rPr>
            </w:pPr>
          </w:p>
        </w:tc>
      </w:tr>
      <w:tr>
        <w:trPr>
          <w:trHeight w:val="85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be changed.</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w:t>
            </w:r>
          </w:p>
        </w:tc>
        <w:tc>
          <w:tcPr>
            <w:tcW w:w="160" w:type="dxa"/>
            <w:vAlign w:val="bottom"/>
          </w:tcPr>
          <w:p>
            <w:pPr>
              <w:spacing w:after="0"/>
              <w:rPr>
                <w:sz w:val="24"/>
                <w:szCs w:val="24"/>
                <w:color w:val="auto"/>
              </w:rPr>
            </w:pPr>
          </w:p>
        </w:tc>
      </w:tr>
      <w:tr>
        <w:trPr>
          <w:trHeight w:val="4816"/>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in this preliminary prospectus supplement is not complete and may</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1933. This preliminary prospectus supplement and the accompanying</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state or other jurisdiction where the offer or sale is not permitted.</w:t>
            </w:r>
          </w:p>
        </w:tc>
      </w:tr>
      <w:tr>
        <w:trPr>
          <w:trHeight w:val="114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Act of</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in any</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8" w:lineRule="exact"/>
        <w:rPr>
          <w:sz w:val="24"/>
          <w:szCs w:val="24"/>
          <w:color w:val="auto"/>
        </w:rPr>
      </w:pPr>
    </w:p>
    <w:p>
      <w:pPr>
        <w:jc w:val="right"/>
        <w:ind w:right="39"/>
        <w:spacing w:after="0"/>
        <w:rPr>
          <w:sz w:val="20"/>
          <w:szCs w:val="20"/>
          <w:color w:val="auto"/>
        </w:rPr>
      </w:pPr>
      <w:r>
        <w:rPr>
          <w:rFonts w:ascii="Arial" w:cs="Arial" w:eastAsia="Arial" w:hAnsi="Arial"/>
          <w:sz w:val="18"/>
          <w:szCs w:val="18"/>
          <w:b w:val="1"/>
          <w:bCs w:val="1"/>
          <w:color w:val="auto"/>
        </w:rPr>
        <w:t> Filed Pursuant to Rule 424(b)(5)​</w:t>
      </w:r>
    </w:p>
    <w:p>
      <w:pPr>
        <w:jc w:val="right"/>
        <w:ind w:right="39"/>
        <w:spacing w:after="0"/>
        <w:rPr>
          <w:sz w:val="20"/>
          <w:szCs w:val="20"/>
          <w:color w:val="auto"/>
        </w:rPr>
      </w:pPr>
      <w:r>
        <w:rPr>
          <w:rFonts w:ascii="Arial" w:cs="Arial" w:eastAsia="Arial" w:hAnsi="Arial"/>
          <w:sz w:val="18"/>
          <w:szCs w:val="18"/>
          <w:b w:val="1"/>
          <w:bCs w:val="1"/>
          <w:color w:val="auto"/>
        </w:rPr>
        <w:t> Registration No. 333-267147​</w:t>
      </w:r>
    </w:p>
    <w:p>
      <w:pPr>
        <w:spacing w:after="0" w:line="151"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FC0014"/>
        </w:rPr>
        <w:t>Subject to completion, dated May 31, 2023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16, 2023)</w:t>
      </w:r>
    </w:p>
    <w:p>
      <w:pPr>
        <w:spacing w:after="0" w:line="189"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173,544,948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473710</wp:posOffset>
            </wp:positionH>
            <wp:positionV relativeFrom="paragraph">
              <wp:posOffset>114935</wp:posOffset>
            </wp:positionV>
            <wp:extent cx="4277360" cy="265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77360" cy="265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Lucid Group, Inc.</w:t>
      </w:r>
    </w:p>
    <w:p>
      <w:pPr>
        <w:spacing w:after="0" w:line="10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Common Stock</w:t>
      </w:r>
    </w:p>
    <w:p>
      <w:pPr>
        <w:spacing w:after="0" w:line="153" w:lineRule="exact"/>
        <w:rPr>
          <w:sz w:val="24"/>
          <w:szCs w:val="24"/>
          <w:color w:val="auto"/>
        </w:rPr>
      </w:pPr>
    </w:p>
    <w:p>
      <w:pPr>
        <w:ind w:right="779" w:firstLine="360"/>
        <w:spacing w:after="0" w:line="261" w:lineRule="auto"/>
        <w:rPr>
          <w:sz w:val="20"/>
          <w:szCs w:val="20"/>
          <w:color w:val="auto"/>
        </w:rPr>
      </w:pPr>
      <w:r>
        <w:rPr>
          <w:rFonts w:ascii="Arial" w:cs="Arial" w:eastAsia="Arial" w:hAnsi="Arial"/>
          <w:sz w:val="18"/>
          <w:szCs w:val="18"/>
          <w:color w:val="auto"/>
        </w:rPr>
        <w:t>We are offering 173,544,948 shares of our Class A common stock, par value $0.0001 per share (“common stock”).</w:t>
      </w:r>
    </w:p>
    <w:p>
      <w:pPr>
        <w:spacing w:after="0" w:line="103" w:lineRule="exact"/>
        <w:rPr>
          <w:sz w:val="24"/>
          <w:szCs w:val="24"/>
          <w:color w:val="auto"/>
        </w:rPr>
      </w:pPr>
    </w:p>
    <w:p>
      <w:pPr>
        <w:ind w:right="119" w:firstLine="360"/>
        <w:spacing w:after="0" w:line="261" w:lineRule="auto"/>
        <w:rPr>
          <w:sz w:val="20"/>
          <w:szCs w:val="20"/>
          <w:color w:val="auto"/>
        </w:rPr>
      </w:pPr>
      <w:r>
        <w:rPr>
          <w:rFonts w:ascii="Arial" w:cs="Arial" w:eastAsia="Arial" w:hAnsi="Arial"/>
          <w:sz w:val="18"/>
          <w:szCs w:val="18"/>
          <w:color w:val="auto"/>
        </w:rPr>
        <w:t>Our common stock is listed on the Nasdaq Global Select Market (“Nasdaq”) under the symbol “LCID.” On May 30, 2023, the last reported sale price of our common stock was $7.71 per share.</w:t>
      </w:r>
    </w:p>
    <w:p>
      <w:pPr>
        <w:spacing w:after="0" w:line="103" w:lineRule="exact"/>
        <w:rPr>
          <w:sz w:val="24"/>
          <w:szCs w:val="24"/>
          <w:color w:val="auto"/>
        </w:rPr>
      </w:pPr>
    </w:p>
    <w:p>
      <w:pPr>
        <w:ind w:right="119" w:firstLine="360"/>
        <w:spacing w:after="0" w:line="258" w:lineRule="auto"/>
        <w:rPr>
          <w:sz w:val="20"/>
          <w:szCs w:val="20"/>
          <w:color w:val="auto"/>
        </w:rPr>
      </w:pPr>
      <w:r>
        <w:rPr>
          <w:rFonts w:ascii="Arial" w:cs="Arial" w:eastAsia="Arial" w:hAnsi="Arial"/>
          <w:sz w:val="17"/>
          <w:szCs w:val="17"/>
          <w:color w:val="auto"/>
        </w:rPr>
        <w:t>In addition, our majority stockholder and affiliate of the Public Investment Fund (“PIF”), Ayar Third Investment Company (“Ayar”), has agreed to purchase from us, subject to certain conditions, 265,693,703 shares of our common stock in a private placement concurrently with this offering. We refer to this private placement as the “Ayar Investment.” The number of shares that Ayar has agreed to purchase from us in the Ayar Investment is equal to the number of shares of our common stock that we sell in this offering, multiplied by a ratio, the numerator of which is approximately 60.5%, which is the number of shares of our common stock owned by PIF, both directly and indirectly through Ayar, as a percentage of the total number of shares of our common stock outstanding as of March 31, 2023, and the denominator of which is approximately 39.5%, rounded down to the nearest whole share. Following the sale in this offering and the sale in the Ayar Investment, PIF, both directly and indirectly through Ayar, is expected to continue to own approximately 60.5% of our outstanding common stock. We expect to settle the Ayar Investment on or about June 26, 2023 for an aggregate purchase price of approximately $1.8 billion.</w:t>
      </w:r>
    </w:p>
    <w:p>
      <w:pPr>
        <w:spacing w:after="0" w:line="111" w:lineRule="exact"/>
        <w:rPr>
          <w:sz w:val="24"/>
          <w:szCs w:val="24"/>
          <w:color w:val="auto"/>
        </w:rPr>
      </w:pPr>
    </w:p>
    <w:p>
      <w:pPr>
        <w:jc w:val="both"/>
        <w:ind w:right="299" w:firstLine="360"/>
        <w:spacing w:after="0" w:line="256" w:lineRule="auto"/>
        <w:rPr>
          <w:sz w:val="20"/>
          <w:szCs w:val="20"/>
          <w:color w:val="auto"/>
        </w:rPr>
      </w:pPr>
      <w:r>
        <w:rPr>
          <w:rFonts w:ascii="Arial" w:cs="Arial" w:eastAsia="Arial" w:hAnsi="Arial"/>
          <w:sz w:val="18"/>
          <w:szCs w:val="18"/>
          <w:color w:val="auto"/>
        </w:rPr>
        <w:t>The Ayar Investment is not a part of this offering and is in addition to the 173,544,948 shares that we are selling in this offering. The completion of the Ayar Investment is contingent on the completion of this offering as well as certain other customary closing conditions.</w:t>
      </w:r>
    </w:p>
    <w:p>
      <w:pPr>
        <w:spacing w:after="0" w:line="107" w:lineRule="exact"/>
        <w:rPr>
          <w:sz w:val="24"/>
          <w:szCs w:val="24"/>
          <w:color w:val="auto"/>
        </w:rPr>
      </w:pPr>
    </w:p>
    <w:p>
      <w:pPr>
        <w:ind w:right="119" w:firstLine="360"/>
        <w:spacing w:after="0" w:line="259" w:lineRule="auto"/>
        <w:rPr>
          <w:sz w:val="20"/>
          <w:szCs w:val="20"/>
          <w:color w:val="auto"/>
        </w:rPr>
      </w:pPr>
      <w:r>
        <w:rPr>
          <w:rFonts w:ascii="Arial" w:cs="Arial" w:eastAsia="Arial" w:hAnsi="Arial"/>
          <w:sz w:val="17"/>
          <w:szCs w:val="17"/>
          <w:color w:val="auto"/>
        </w:rPr>
        <w:t>The underwriters, or if there is only one underwriter, the term underwriters shall mean either the singular or plural as the context requires, has agreed to purchase the shares of common stock from us at a price of $      per share, which will result in approximately $      of proceeds to us before expenses. The underwriters may offer the shares of common stock from time to time for sale in one or more transactions to purchasers directly, through agents or through brokers in brokerage transactions on Nasdaq, in the over-the-counter market, through negotiated transactions or in a combination of such methods, or otherwise at a fixed price or prices, which may be changed, at market prices prevailing at the time of sale, at prices related to prevailing market prices or at negotiated prices. See “Underwriting.”</w:t>
      </w:r>
    </w:p>
    <w:p>
      <w:pPr>
        <w:spacing w:after="0" w:line="108" w:lineRule="exact"/>
        <w:rPr>
          <w:sz w:val="24"/>
          <w:szCs w:val="24"/>
          <w:color w:val="auto"/>
        </w:rPr>
      </w:pPr>
    </w:p>
    <w:p>
      <w:pPr>
        <w:ind w:left="360"/>
        <w:spacing w:after="0"/>
        <w:tabs>
          <w:tab w:leader="none" w:pos="6120" w:val="left"/>
        </w:tabs>
        <w:rPr>
          <w:sz w:val="20"/>
          <w:szCs w:val="20"/>
          <w:color w:val="auto"/>
        </w:rPr>
      </w:pPr>
      <w:r>
        <w:rPr>
          <w:rFonts w:ascii="Arial" w:cs="Arial" w:eastAsia="Arial" w:hAnsi="Arial"/>
          <w:sz w:val="18"/>
          <w:szCs w:val="18"/>
          <w:color w:val="auto"/>
        </w:rPr>
        <w:t>Delivery of the shares of our common stock will be made on or about June</w:t>
      </w:r>
      <w:r>
        <w:rPr>
          <w:sz w:val="20"/>
          <w:szCs w:val="20"/>
          <w:color w:val="auto"/>
        </w:rPr>
        <w:tab/>
      </w:r>
      <w:r>
        <w:rPr>
          <w:rFonts w:ascii="Arial" w:cs="Arial" w:eastAsia="Arial" w:hAnsi="Arial"/>
          <w:sz w:val="16"/>
          <w:szCs w:val="16"/>
          <w:color w:val="auto"/>
        </w:rPr>
        <w:t>, 2023.</w:t>
      </w:r>
    </w:p>
    <w:p>
      <w:pPr>
        <w:spacing w:after="0" w:line="154" w:lineRule="exact"/>
        <w:rPr>
          <w:sz w:val="24"/>
          <w:szCs w:val="24"/>
          <w:color w:val="auto"/>
        </w:rPr>
      </w:pPr>
    </w:p>
    <w:p>
      <w:pPr>
        <w:ind w:right="179" w:firstLine="360"/>
        <w:spacing w:after="0" w:line="272" w:lineRule="auto"/>
        <w:rPr>
          <w:sz w:val="20"/>
          <w:szCs w:val="20"/>
          <w:color w:val="auto"/>
        </w:rPr>
      </w:pPr>
      <w:r>
        <w:rPr>
          <w:rFonts w:ascii="Arial" w:cs="Arial" w:eastAsia="Arial" w:hAnsi="Arial"/>
          <w:sz w:val="17"/>
          <w:szCs w:val="17"/>
          <w:b w:val="1"/>
          <w:bCs w:val="1"/>
          <w:color w:val="auto"/>
        </w:rPr>
        <w:t xml:space="preserve">Investing in our common stock involves certain risks. You should review carefully the risks and uncertainties described under the heading “Risk Factors” beginning on page </w:t>
      </w:r>
      <w:r>
        <w:rPr>
          <w:rFonts w:ascii="Arial" w:cs="Arial" w:eastAsia="Arial" w:hAnsi="Arial"/>
          <w:sz w:val="17"/>
          <w:szCs w:val="17"/>
          <w:b w:val="1"/>
          <w:bCs w:val="1"/>
          <w:u w:val="single" w:color="auto"/>
          <w:color w:val="0000EE"/>
        </w:rPr>
        <w:t>S-8</w:t>
      </w:r>
      <w:r>
        <w:rPr>
          <w:rFonts w:ascii="Arial" w:cs="Arial" w:eastAsia="Arial" w:hAnsi="Arial"/>
          <w:sz w:val="17"/>
          <w:szCs w:val="17"/>
          <w:b w:val="1"/>
          <w:bCs w:val="1"/>
          <w:color w:val="auto"/>
        </w:rPr>
        <w:t xml:space="preserve"> of this prospectus supplement and in the documents incorporated by reference into this prospectus supplement.</w:t>
      </w:r>
    </w:p>
    <w:p>
      <w:pPr>
        <w:spacing w:after="0" w:line="95" w:lineRule="exact"/>
        <w:rPr>
          <w:sz w:val="24"/>
          <w:szCs w:val="24"/>
          <w:color w:val="auto"/>
        </w:rPr>
      </w:pPr>
    </w:p>
    <w:p>
      <w:pPr>
        <w:ind w:right="199" w:firstLine="360"/>
        <w:spacing w:after="0" w:line="278" w:lineRule="auto"/>
        <w:rPr>
          <w:sz w:val="20"/>
          <w:szCs w:val="20"/>
          <w:color w:val="auto"/>
        </w:rPr>
      </w:pPr>
      <w:r>
        <w:rPr>
          <w:rFonts w:ascii="Arial" w:cs="Arial" w:eastAsia="Arial" w:hAnsi="Arial"/>
          <w:sz w:val="17"/>
          <w:szCs w:val="17"/>
          <w:color w:val="auto"/>
        </w:rPr>
        <w:t>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1991360</wp:posOffset>
            </wp:positionH>
            <wp:positionV relativeFrom="paragraph">
              <wp:posOffset>177800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BofA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1991360</wp:posOffset>
            </wp:positionH>
            <wp:positionV relativeFrom="paragraph">
              <wp:posOffset>220345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90" w:lineRule="exact"/>
        <w:rPr>
          <w:sz w:val="24"/>
          <w:szCs w:val="24"/>
          <w:color w:val="auto"/>
        </w:rPr>
      </w:pPr>
    </w:p>
    <w:p>
      <w:pPr>
        <w:sectPr>
          <w:pgSz w:w="11900" w:h="16838" w:orient="portrait"/>
          <w:cols w:equalWidth="0" w:num="2">
            <w:col w:w="1360" w:space="220"/>
            <w:col w:w="8299"/>
          </w:cols>
          <w:pgMar w:left="580" w:top="198" w:right="1440" w:bottom="1440" w:gutter="0" w:footer="0" w:header="0"/>
          <w:type w:val="continuous"/>
        </w:sectPr>
      </w:pPr>
    </w:p>
    <w:p>
      <w:pPr>
        <w:spacing w:after="0" w:line="258" w:lineRule="exact"/>
        <w:rPr>
          <w:sz w:val="24"/>
          <w:szCs w:val="24"/>
          <w:color w:val="auto"/>
        </w:rPr>
      </w:pPr>
    </w:p>
    <w:p>
      <w:pPr>
        <w:ind w:left="5180"/>
        <w:spacing w:after="0"/>
        <w:rPr>
          <w:sz w:val="20"/>
          <w:szCs w:val="20"/>
          <w:color w:val="auto"/>
        </w:rPr>
      </w:pPr>
      <w:r>
        <w:rPr>
          <w:rFonts w:ascii="Arial" w:cs="Arial" w:eastAsia="Arial" w:hAnsi="Arial"/>
          <w:sz w:val="16"/>
          <w:szCs w:val="16"/>
          <w:color w:val="auto"/>
        </w:rPr>
        <w:t>      ,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67945</wp:posOffset>
            </wp:positionV>
            <wp:extent cx="68065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9879"/>
          </w:cols>
          <w:pgMar w:left="580" w:top="198"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1880"/>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Prospectus Supplement</w:t>
      </w:r>
    </w:p>
    <w:p>
      <w:pPr>
        <w:spacing w:after="0" w:line="67"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About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Where You Can Find More Information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Special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Summary</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Summary Historical Consolidated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Risk Factors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Dividends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Ayar Investment</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p>
    <w:p>
      <w:pPr>
        <w:spacing w:after="0" w:line="257"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Prospectus</w:t>
      </w:r>
    </w:p>
    <w:p>
      <w:pPr>
        <w:spacing w:after="0" w:line="67"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About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Where You Can Find More Information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Frequently Used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Special Note Regarding Forward-Looking Statements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Risk Factors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Capital Stock</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Depositary Shares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Purchase Contracts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Plan of Distribution</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Selling Securityholders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Material United States Federal Income Tax Considerations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7"/>
        </w:trPr>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3"/>
          </w:tcPr>
          <w:p>
            <w:pPr>
              <w:spacing w:after="0"/>
              <w:rPr>
                <w:sz w:val="20"/>
                <w:szCs w:val="20"/>
                <w:color w:val="auto"/>
              </w:rPr>
            </w:pPr>
            <w:r>
              <w:rPr>
                <w:rFonts w:ascii="Arial" w:cs="Arial" w:eastAsia="Arial" w:hAnsi="Arial"/>
                <w:sz w:val="14"/>
                <w:szCs w:val="14"/>
                <w:b w:val="1"/>
                <w:bCs w:val="1"/>
                <w:color w:val="auto"/>
                <w:w w:val="74"/>
              </w:rPr>
              <w:t xml:space="preserve">Page </w:t>
            </w:r>
            <w:r>
              <w:rPr>
                <w:rFonts w:ascii="Arial" w:cs="Arial" w:eastAsia="Arial" w:hAnsi="Arial"/>
                <w:sz w:val="28"/>
                <w:szCs w:val="28"/>
                <w:b w:val="1"/>
                <w:bCs w:val="1"/>
                <w:color w:val="auto"/>
                <w:w w:val="74"/>
                <w:vertAlign w:val="subscript"/>
              </w:rPr>
              <w:t>​</w:t>
            </w: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3"/>
          </w:tcPr>
          <w:p>
            <w:pPr>
              <w:ind w:left="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3"/>
        </w:trPr>
        <w:tc>
          <w:tcPr>
            <w:tcW w:w="140" w:type="dxa"/>
            <w:vAlign w:val="bottom"/>
          </w:tcPr>
          <w:p>
            <w:pPr>
              <w:ind w:left="60"/>
              <w:spacing w:after="0" w:line="196" w:lineRule="exact"/>
              <w:rPr>
                <w:sz w:val="20"/>
                <w:szCs w:val="20"/>
                <w:color w:val="auto"/>
              </w:rPr>
            </w:pPr>
            <w:r>
              <w:rPr>
                <w:rFonts w:ascii="Arial" w:cs="Arial" w:eastAsia="Arial" w:hAnsi="Arial"/>
                <w:sz w:val="18"/>
                <w:szCs w:val="18"/>
                <w:color w:val="auto"/>
              </w:rPr>
              <w:t>​</w:t>
            </w:r>
          </w:p>
        </w:tc>
        <w:tc>
          <w:tcPr>
            <w:tcW w:w="1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60" w:type="dxa"/>
            <w:vAlign w:val="bottom"/>
            <w:tcBorders>
              <w:bottom w:val="single" w:sz="8" w:color="0000EE"/>
            </w:tcBorders>
            <w:gridSpan w:val="2"/>
          </w:tcPr>
          <w:p>
            <w:pPr>
              <w:jc w:val="right"/>
              <w:spacing w:after="0" w:line="182" w:lineRule="exact"/>
              <w:rPr>
                <w:sz w:val="20"/>
                <w:szCs w:val="20"/>
                <w:color w:val="auto"/>
              </w:rPr>
            </w:pPr>
            <w:r>
              <w:rPr>
                <w:rFonts w:ascii="Arial" w:cs="Arial" w:eastAsia="Arial" w:hAnsi="Arial"/>
                <w:sz w:val="18"/>
                <w:szCs w:val="18"/>
                <w:color w:val="0000EE"/>
                <w:w w:val="84"/>
              </w:rPr>
              <w:t>S-ii</w:t>
            </w:r>
          </w:p>
        </w:tc>
        <w:tc>
          <w:tcPr>
            <w:tcW w:w="40" w:type="dxa"/>
            <w:vAlign w:val="bottom"/>
          </w:tcPr>
          <w:p>
            <w:pPr>
              <w:spacing w:after="0" w:line="196" w:lineRule="exact"/>
              <w:rPr>
                <w:sz w:val="20"/>
                <w:szCs w:val="20"/>
                <w:color w:val="auto"/>
              </w:rPr>
            </w:pPr>
            <w:r>
              <w:rPr>
                <w:rFonts w:ascii="Arial" w:cs="Arial" w:eastAsia="Arial" w:hAnsi="Arial"/>
                <w:sz w:val="18"/>
                <w:szCs w:val="18"/>
                <w:color w:val="auto"/>
              </w:rPr>
              <w:t>​</w:t>
            </w:r>
          </w:p>
        </w:tc>
      </w:tr>
      <w:tr>
        <w:trPr>
          <w:trHeight w:val="250"/>
        </w:trPr>
        <w:tc>
          <w:tcPr>
            <w:tcW w:w="320" w:type="dxa"/>
            <w:vAlign w:val="bottom"/>
            <w:gridSpan w:val="3"/>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6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3"/>
              </w:rPr>
              <w:t>S-iii</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320" w:type="dxa"/>
            <w:vAlign w:val="bottom"/>
            <w:gridSpan w:val="3"/>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6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0"/>
              </w:rPr>
              <w:t>S-iv</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320" w:type="dxa"/>
            <w:vAlign w:val="bottom"/>
            <w:gridSpan w:val="3"/>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6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8"/>
              </w:rPr>
              <w:t>S-1</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320" w:type="dxa"/>
            <w:vAlign w:val="bottom"/>
            <w:gridSpan w:val="3"/>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6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8"/>
              </w:rPr>
              <w:t>S-5</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320" w:type="dxa"/>
            <w:vAlign w:val="bottom"/>
            <w:gridSpan w:val="3"/>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6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8"/>
              </w:rPr>
              <w:t>S-8</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4"/>
              </w:rPr>
              <w:t>S</w:t>
            </w:r>
            <w:r>
              <w:rPr>
                <w:rFonts w:ascii="Arial" w:cs="Arial" w:eastAsia="Arial" w:hAnsi="Arial"/>
                <w:sz w:val="18"/>
                <w:szCs w:val="18"/>
                <w:b w:val="1"/>
                <w:bCs w:val="1"/>
                <w:color w:val="000000"/>
                <w:w w:val="84"/>
              </w:rPr>
              <w:t>​</w:t>
            </w:r>
            <w:r>
              <w:rPr>
                <w:rFonts w:ascii="Arial" w:cs="Arial" w:eastAsia="Arial" w:hAnsi="Arial"/>
                <w:sz w:val="18"/>
                <w:szCs w:val="18"/>
                <w:color w:val="0000EE"/>
                <w:w w:val="84"/>
              </w:rPr>
              <w:t>-12</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4"/>
              </w:rPr>
              <w:t>S</w:t>
            </w:r>
            <w:r>
              <w:rPr>
                <w:rFonts w:ascii="Arial" w:cs="Arial" w:eastAsia="Arial" w:hAnsi="Arial"/>
                <w:sz w:val="18"/>
                <w:szCs w:val="18"/>
                <w:b w:val="1"/>
                <w:bCs w:val="1"/>
                <w:color w:val="000000"/>
                <w:w w:val="84"/>
              </w:rPr>
              <w:t>​</w:t>
            </w:r>
            <w:r>
              <w:rPr>
                <w:rFonts w:ascii="Arial" w:cs="Arial" w:eastAsia="Arial" w:hAnsi="Arial"/>
                <w:sz w:val="18"/>
                <w:szCs w:val="18"/>
                <w:color w:val="0000EE"/>
                <w:w w:val="84"/>
              </w:rPr>
              <w:t>-13</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4"/>
              </w:rPr>
              <w:t>S</w:t>
            </w:r>
            <w:r>
              <w:rPr>
                <w:rFonts w:ascii="Arial" w:cs="Arial" w:eastAsia="Arial" w:hAnsi="Arial"/>
                <w:sz w:val="18"/>
                <w:szCs w:val="18"/>
                <w:b w:val="1"/>
                <w:bCs w:val="1"/>
                <w:color w:val="000000"/>
                <w:w w:val="84"/>
              </w:rPr>
              <w:t>​</w:t>
            </w:r>
            <w:r>
              <w:rPr>
                <w:rFonts w:ascii="Arial" w:cs="Arial" w:eastAsia="Arial" w:hAnsi="Arial"/>
                <w:sz w:val="18"/>
                <w:szCs w:val="18"/>
                <w:color w:val="0000EE"/>
                <w:w w:val="84"/>
              </w:rPr>
              <w:t>-14</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4"/>
              </w:rPr>
              <w:t>S</w:t>
            </w:r>
            <w:r>
              <w:rPr>
                <w:rFonts w:ascii="Arial" w:cs="Arial" w:eastAsia="Arial" w:hAnsi="Arial"/>
                <w:sz w:val="18"/>
                <w:szCs w:val="18"/>
                <w:b w:val="1"/>
                <w:bCs w:val="1"/>
                <w:color w:val="000000"/>
                <w:w w:val="84"/>
              </w:rPr>
              <w:t>​</w:t>
            </w:r>
            <w:r>
              <w:rPr>
                <w:rFonts w:ascii="Arial" w:cs="Arial" w:eastAsia="Arial" w:hAnsi="Arial"/>
                <w:sz w:val="18"/>
                <w:szCs w:val="18"/>
                <w:color w:val="0000EE"/>
                <w:w w:val="84"/>
              </w:rPr>
              <w:t>-16</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4"/>
              </w:rPr>
              <w:t>S</w:t>
            </w:r>
            <w:r>
              <w:rPr>
                <w:rFonts w:ascii="Arial" w:cs="Arial" w:eastAsia="Arial" w:hAnsi="Arial"/>
                <w:sz w:val="18"/>
                <w:szCs w:val="18"/>
                <w:b w:val="1"/>
                <w:bCs w:val="1"/>
                <w:color w:val="000000"/>
                <w:w w:val="84"/>
              </w:rPr>
              <w:t>​</w:t>
            </w:r>
            <w:r>
              <w:rPr>
                <w:rFonts w:ascii="Arial" w:cs="Arial" w:eastAsia="Arial" w:hAnsi="Arial"/>
                <w:sz w:val="18"/>
                <w:szCs w:val="18"/>
                <w:color w:val="0000EE"/>
                <w:w w:val="84"/>
              </w:rPr>
              <w:t>-17</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4"/>
              </w:rPr>
              <w:t>S</w:t>
            </w:r>
            <w:r>
              <w:rPr>
                <w:rFonts w:ascii="Arial" w:cs="Arial" w:eastAsia="Arial" w:hAnsi="Arial"/>
                <w:sz w:val="18"/>
                <w:szCs w:val="18"/>
                <w:b w:val="1"/>
                <w:bCs w:val="1"/>
                <w:color w:val="000000"/>
                <w:w w:val="84"/>
              </w:rPr>
              <w:t>​</w:t>
            </w:r>
            <w:r>
              <w:rPr>
                <w:rFonts w:ascii="Arial" w:cs="Arial" w:eastAsia="Arial" w:hAnsi="Arial"/>
                <w:sz w:val="18"/>
                <w:szCs w:val="18"/>
                <w:color w:val="0000EE"/>
                <w:w w:val="84"/>
              </w:rPr>
              <w:t>-24</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32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0000EE"/>
            </w:tcBorders>
            <w:gridSpan w:val="2"/>
          </w:tcPr>
          <w:p>
            <w:pPr>
              <w:jc w:val="right"/>
              <w:spacing w:after="0"/>
              <w:rPr>
                <w:sz w:val="20"/>
                <w:szCs w:val="20"/>
                <w:color w:val="auto"/>
              </w:rPr>
            </w:pPr>
            <w:r>
              <w:rPr>
                <w:rFonts w:ascii="Arial" w:cs="Arial" w:eastAsia="Arial" w:hAnsi="Arial"/>
                <w:sz w:val="13"/>
                <w:szCs w:val="13"/>
                <w:color w:val="0000EE"/>
                <w:w w:val="79"/>
              </w:rPr>
              <w:t>S</w:t>
            </w:r>
            <w:r>
              <w:rPr>
                <w:rFonts w:ascii="Arial" w:cs="Arial" w:eastAsia="Arial" w:hAnsi="Arial"/>
                <w:sz w:val="13"/>
                <w:szCs w:val="13"/>
                <w:b w:val="1"/>
                <w:bCs w:val="1"/>
                <w:color w:val="000000"/>
                <w:w w:val="79"/>
              </w:rPr>
              <w:t>​</w:t>
            </w:r>
            <w:r>
              <w:rPr>
                <w:rFonts w:ascii="Arial" w:cs="Arial" w:eastAsia="Arial" w:hAnsi="Arial"/>
                <w:sz w:val="13"/>
                <w:szCs w:val="13"/>
                <w:color w:val="0000EE"/>
                <w:w w:val="79"/>
              </w:rPr>
              <w:t>-24</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439"/>
        </w:trPr>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5"/>
          </w:tcPr>
          <w:p>
            <w:pPr>
              <w:jc w:val="right"/>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Page</w:t>
            </w: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0"/>
        </w:trPr>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3"/>
          </w:tcPr>
          <w:p>
            <w:pPr>
              <w:ind w:left="60"/>
              <w:spacing w:after="0"/>
              <w:rPr>
                <w:sz w:val="20"/>
                <w:szCs w:val="20"/>
                <w:color w:val="auto"/>
              </w:rPr>
            </w:pPr>
            <w:r>
              <w:rPr>
                <w:rFonts w:ascii="Arial" w:cs="Arial" w:eastAsia="Arial" w:hAnsi="Arial"/>
                <w:sz w:val="18"/>
                <w:szCs w:val="18"/>
                <w:b w:val="1"/>
                <w:bCs w:val="1"/>
                <w:color w:val="auto"/>
              </w:rPr>
              <w:t>​ ​</w:t>
            </w:r>
          </w:p>
        </w:tc>
        <w:tc>
          <w:tcPr>
            <w:tcW w:w="1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r>
    </w:tbl>
    <w:p>
      <w:pPr>
        <w:spacing w:after="0" w:line="13" w:lineRule="exact"/>
        <w:rPr>
          <w:sz w:val="20"/>
          <w:szCs w:val="20"/>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ii</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iv</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v</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0000EE"/>
        </w:rPr>
        <w:t>viii</w:t>
      </w:r>
      <w:r>
        <w:rPr>
          <w:rFonts w:ascii="Arial" w:cs="Arial" w:eastAsia="Arial" w:hAnsi="Arial"/>
          <w:sz w:val="18"/>
          <w:szCs w:val="18"/>
          <w:b w:val="1"/>
          <w:bCs w:val="1"/>
          <w:color w:val="auto"/>
        </w:rPr>
        <w:t>​</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9</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10</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18</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26</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27</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28</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29</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30</w:t>
      </w:r>
    </w:p>
    <w:p>
      <w:pPr>
        <w:spacing w:after="0" w:line="50"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35</w:t>
      </w:r>
    </w:p>
    <w:p>
      <w:pPr>
        <w:spacing w:after="0" w:line="62"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38</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44</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45</w:t>
      </w:r>
    </w:p>
    <w:p>
      <w:pPr>
        <w:sectPr>
          <w:pgSz w:w="11900" w:h="16838" w:orient="portrait"/>
          <w:cols w:equalWidth="0" w:num="2">
            <w:col w:w="8180" w:space="720"/>
            <w:col w:w="979"/>
          </w:cols>
          <w:pgMar w:left="580" w:top="90"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ABOUT THIS PROSPECTUS SUPPLEMENT</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w:t>
      </w:r>
    </w:p>
    <w:p>
      <w:pPr>
        <w:spacing w:after="0" w:line="120" w:lineRule="exact"/>
        <w:rPr>
          <w:sz w:val="20"/>
          <w:szCs w:val="20"/>
          <w:color w:val="auto"/>
        </w:rPr>
      </w:pPr>
    </w:p>
    <w:p>
      <w:pPr>
        <w:ind w:left="1260" w:right="879" w:firstLine="360"/>
        <w:spacing w:after="0" w:line="263" w:lineRule="auto"/>
        <w:rPr>
          <w:sz w:val="20"/>
          <w:szCs w:val="20"/>
          <w:color w:val="auto"/>
        </w:rPr>
      </w:pPr>
      <w:r>
        <w:rPr>
          <w:rFonts w:ascii="Arial" w:cs="Arial" w:eastAsia="Arial" w:hAnsi="Arial"/>
          <w:sz w:val="18"/>
          <w:szCs w:val="18"/>
          <w:color w:val="auto"/>
        </w:rPr>
        <w:t>You should read both this prospectus supplement and the accompanying prospectus, together with additional information described under the heading “Where You Can Find More Information” in this prospectus supplement and the accompanying prospectus.</w:t>
      </w:r>
    </w:p>
    <w:p>
      <w:pPr>
        <w:spacing w:after="0" w:line="103"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If the information set forth in this prospectus supplement differs from the information set forth in the accompanying prospectus or the information contained in any document incorporated by reference herein or therein, the information contained in the most recently dated document shall control.</w:t>
      </w:r>
    </w:p>
    <w:p>
      <w:pPr>
        <w:spacing w:after="0" w:line="116"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Neither we nor the underwriters have authorized anyone to provide you with information that is in addition to or different from the information included or incorporated by reference into this prospectus supplement or the accompanying prospectus. Neither we nor the underwriters are making an offer of these securities in any jurisdiction where such offer is not permitted.</w:t>
      </w:r>
    </w:p>
    <w:p>
      <w:pPr>
        <w:spacing w:after="0" w:line="119"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You should not assume that the information in this prospectus supplement, the accompanying prospectus or any documents incorporated by reference is accurate as of any date other than the date of the applicable document. Since the respective dates of this prospectus supplement, the accompanying prospectus and the documents incorporated by reference into this prospectus supplement and the accompanying prospectus, our business, financial condition, results of operations and prospects may have 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 w:name="page4"/>
    <w:bookmarkEnd w:id="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We have filed with the SEC a registration statement on Form S-3 under the Securities Act relating to the common stock offered by this prospectus supplement. This prospectus supplement and the accompanying prospectus are a part of that registration statement, which includes additional information not contained in this prospectus supplement or the accompanying prospectus.</w:t>
      </w:r>
    </w:p>
    <w:p>
      <w:pPr>
        <w:spacing w:after="0" w:line="119" w:lineRule="exact"/>
        <w:rPr>
          <w:sz w:val="20"/>
          <w:szCs w:val="20"/>
          <w:color w:val="auto"/>
        </w:rPr>
      </w:pPr>
    </w:p>
    <w:p>
      <w:pPr>
        <w:ind w:left="1260" w:right="599" w:firstLine="360"/>
        <w:spacing w:after="0" w:line="279" w:lineRule="auto"/>
        <w:rPr>
          <w:sz w:val="20"/>
          <w:szCs w:val="20"/>
          <w:color w:val="auto"/>
        </w:rPr>
      </w:pPr>
      <w:r>
        <w:rPr>
          <w:rFonts w:ascii="Arial" w:cs="Arial" w:eastAsia="Arial" w:hAnsi="Arial"/>
          <w:sz w:val="17"/>
          <w:szCs w:val="17"/>
          <w:color w:val="auto"/>
        </w:rPr>
        <w:t>The SEC allows us to incorporate by reference information in this document. This means that we can disclose important information to you by referring you to another document filed separately with the SEC. The information incorporated by reference is considered to be part of this document, except for any information that is superseded by information that is included directly in this document.</w:t>
      </w:r>
    </w:p>
    <w:p>
      <w:pPr>
        <w:spacing w:after="0" w:line="90"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We are incorporating by reference the filings listed below and any additional documents that we may file with the SEC pursuant to Section 13(a), 13(c), 14 or 15(d) of the Exchange Act on or after the date hereof and prior to the termination of any offering (other than documents or information deemed to have been furnished and not filed in accordance with SEC rules):</w:t>
      </w:r>
    </w:p>
    <w:p>
      <w:pPr>
        <w:spacing w:after="0" w:line="79" w:lineRule="exact"/>
        <w:rPr>
          <w:sz w:val="20"/>
          <w:szCs w:val="20"/>
          <w:color w:val="auto"/>
        </w:rPr>
      </w:pPr>
    </w:p>
    <w:p>
      <w:pPr>
        <w:ind w:left="1800" w:right="41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w:t>
      </w:r>
      <w:hyperlink r:id="rId31">
        <w:r>
          <w:rPr>
            <w:rFonts w:ascii="Arial" w:cs="Arial" w:eastAsia="Arial" w:hAnsi="Arial"/>
            <w:sz w:val="18"/>
            <w:szCs w:val="18"/>
            <w:u w:val="single" w:color="auto"/>
            <w:color w:val="0000EE"/>
          </w:rPr>
          <w:t>December 31, 2022</w:t>
        </w:r>
      </w:hyperlink>
      <w:r>
        <w:rPr>
          <w:rFonts w:ascii="Arial" w:cs="Arial" w:eastAsia="Arial" w:hAnsi="Arial"/>
          <w:sz w:val="18"/>
          <w:szCs w:val="18"/>
          <w:color w:val="auto"/>
        </w:rPr>
        <w:t>, filed with the SEC on February 28, 2023;</w:t>
      </w:r>
    </w:p>
    <w:p>
      <w:pPr>
        <w:spacing w:after="0" w:line="62"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quarter ended </w:t>
      </w:r>
      <w:hyperlink r:id="rId32">
        <w:r>
          <w:rPr>
            <w:rFonts w:ascii="Arial" w:cs="Arial" w:eastAsia="Arial" w:hAnsi="Arial"/>
            <w:sz w:val="18"/>
            <w:szCs w:val="18"/>
            <w:u w:val="single" w:color="auto"/>
            <w:color w:val="0000EE"/>
          </w:rPr>
          <w:t>March 31, 2023</w:t>
        </w:r>
      </w:hyperlink>
      <w:r>
        <w:rPr>
          <w:rFonts w:ascii="Arial" w:cs="Arial" w:eastAsia="Arial" w:hAnsi="Arial"/>
          <w:sz w:val="18"/>
          <w:szCs w:val="18"/>
          <w:color w:val="auto"/>
        </w:rPr>
        <w:t>, filed with the SEC on May 8, 2023;</w:t>
      </w:r>
    </w:p>
    <w:p>
      <w:pPr>
        <w:spacing w:after="0" w:line="62" w:lineRule="exact"/>
        <w:rPr>
          <w:rFonts w:ascii="Arial" w:cs="Arial" w:eastAsia="Arial" w:hAnsi="Arial"/>
          <w:sz w:val="18"/>
          <w:szCs w:val="18"/>
          <w:color w:val="auto"/>
        </w:rPr>
      </w:pPr>
    </w:p>
    <w:p>
      <w:pPr>
        <w:ind w:left="1800" w:right="719" w:hanging="180"/>
        <w:spacing w:after="0" w:line="263" w:lineRule="auto"/>
        <w:tabs>
          <w:tab w:leader="none" w:pos="1800" w:val="left"/>
        </w:tabs>
        <w:numPr>
          <w:ilvl w:val="0"/>
          <w:numId w:val="2"/>
        </w:numPr>
        <w:rPr>
          <w:rFonts w:ascii="Arial" w:cs="Arial" w:eastAsia="Arial" w:hAnsi="Arial"/>
          <w:sz w:val="18"/>
          <w:szCs w:val="18"/>
          <w:u w:val="single" w:color="auto"/>
          <w:color w:val="0000EE"/>
        </w:rPr>
      </w:pPr>
      <w:r>
        <w:rPr>
          <w:rFonts w:ascii="Arial" w:cs="Arial" w:eastAsia="Arial" w:hAnsi="Arial"/>
          <w:sz w:val="18"/>
          <w:szCs w:val="18"/>
          <w:color w:val="auto"/>
        </w:rPr>
        <w:t xml:space="preserve">information specifically incorporated by reference into our Annual Report on Form 10-K for the </w:t>
      </w:r>
      <w:hyperlink r:id="rId33">
        <w:r>
          <w:rPr>
            <w:rFonts w:ascii="Arial" w:cs="Arial" w:eastAsia="Arial" w:hAnsi="Arial"/>
            <w:sz w:val="18"/>
            <w:szCs w:val="18"/>
            <w:color w:val="auto"/>
          </w:rPr>
          <w:t xml:space="preserve">fiscal year ended </w:t>
        </w:r>
        <w:r>
          <w:rPr>
            <w:rFonts w:ascii="Arial" w:cs="Arial" w:eastAsia="Arial" w:hAnsi="Arial"/>
            <w:sz w:val="18"/>
            <w:szCs w:val="18"/>
            <w:u w:val="single" w:color="auto"/>
            <w:color w:val="0000EE"/>
          </w:rPr>
          <w:t>December 31, 2022</w:t>
        </w:r>
        <w:r>
          <w:rPr>
            <w:rFonts w:ascii="Arial" w:cs="Arial" w:eastAsia="Arial" w:hAnsi="Arial"/>
            <w:sz w:val="18"/>
            <w:szCs w:val="18"/>
            <w:color w:val="auto"/>
          </w:rPr>
          <w:t xml:space="preserve"> from </w:t>
        </w:r>
        <w:r>
          <w:rPr>
            <w:rFonts w:ascii="Arial" w:cs="Arial" w:eastAsia="Arial" w:hAnsi="Arial"/>
            <w:sz w:val="18"/>
            <w:szCs w:val="18"/>
            <w:u w:val="single" w:color="auto"/>
            <w:color w:val="0000EE"/>
          </w:rPr>
          <w:t>our Definitive Proxy Statement on Schedule 14A filed</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EE"/>
          </w:rPr>
          <w:t>with the SEC on March 13, 2023;</w:t>
        </w:r>
      </w:hyperlink>
    </w:p>
    <w:p>
      <w:pPr>
        <w:spacing w:after="0" w:line="75" w:lineRule="exact"/>
        <w:rPr>
          <w:rFonts w:ascii="Arial" w:cs="Arial" w:eastAsia="Arial" w:hAnsi="Arial"/>
          <w:sz w:val="18"/>
          <w:szCs w:val="18"/>
          <w:u w:val="single" w:color="auto"/>
          <w:color w:val="0000EE"/>
        </w:rPr>
      </w:pPr>
    </w:p>
    <w:p>
      <w:pPr>
        <w:ind w:left="1800" w:right="579" w:hanging="180"/>
        <w:spacing w:after="0" w:line="263" w:lineRule="auto"/>
        <w:tabs>
          <w:tab w:leader="none" w:pos="1800" w:val="left"/>
        </w:tabs>
        <w:numPr>
          <w:ilvl w:val="0"/>
          <w:numId w:val="2"/>
        </w:numPr>
        <w:rPr>
          <w:rFonts w:ascii="Arial" w:cs="Arial" w:eastAsia="Arial" w:hAnsi="Arial"/>
          <w:sz w:val="18"/>
          <w:szCs w:val="18"/>
          <w:color w:val="000000"/>
        </w:rPr>
      </w:pPr>
      <w:r>
        <w:rPr>
          <w:rFonts w:ascii="Arial" w:cs="Arial" w:eastAsia="Arial" w:hAnsi="Arial"/>
          <w:sz w:val="18"/>
          <w:szCs w:val="18"/>
          <w:color w:val="auto"/>
        </w:rPr>
        <w:t xml:space="preserve">our Current Reports on Form 8-K filed with the SEC on </w:t>
      </w:r>
      <w:hyperlink r:id="rId34">
        <w:r>
          <w:rPr>
            <w:rFonts w:ascii="Arial" w:cs="Arial" w:eastAsia="Arial" w:hAnsi="Arial"/>
            <w:sz w:val="18"/>
            <w:szCs w:val="18"/>
            <w:u w:val="single" w:color="auto"/>
            <w:color w:val="0000EE"/>
          </w:rPr>
          <w:t>January 27, 2023</w:t>
        </w:r>
      </w:hyperlink>
      <w:r>
        <w:rPr>
          <w:rFonts w:ascii="Arial" w:cs="Arial" w:eastAsia="Arial" w:hAnsi="Arial"/>
          <w:sz w:val="18"/>
          <w:szCs w:val="18"/>
          <w:color w:val="auto"/>
        </w:rPr>
        <w:t xml:space="preserve">, </w:t>
      </w:r>
      <w:hyperlink r:id="rId35">
        <w:r>
          <w:rPr>
            <w:rFonts w:ascii="Arial" w:cs="Arial" w:eastAsia="Arial" w:hAnsi="Arial"/>
            <w:sz w:val="18"/>
            <w:szCs w:val="18"/>
            <w:u w:val="single" w:color="auto"/>
            <w:color w:val="0000EE"/>
          </w:rPr>
          <w:t>February 1, 2023</w:t>
        </w:r>
      </w:hyperlink>
      <w:r>
        <w:rPr>
          <w:rFonts w:ascii="Arial" w:cs="Arial" w:eastAsia="Arial" w:hAnsi="Arial"/>
          <w:sz w:val="18"/>
          <w:szCs w:val="18"/>
          <w:color w:val="auto"/>
        </w:rPr>
        <w:t xml:space="preserve">, </w:t>
      </w:r>
      <w:hyperlink r:id="rId36">
        <w:r>
          <w:rPr>
            <w:rFonts w:ascii="Arial" w:cs="Arial" w:eastAsia="Arial" w:hAnsi="Arial"/>
            <w:sz w:val="18"/>
            <w:szCs w:val="18"/>
            <w:u w:val="single" w:color="auto"/>
            <w:color w:val="0000EE"/>
          </w:rPr>
          <w:t>February 6, 2023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7">
        <w:r>
          <w:rPr>
            <w:rFonts w:ascii="Arial" w:cs="Arial" w:eastAsia="Arial" w:hAnsi="Arial"/>
            <w:sz w:val="18"/>
            <w:szCs w:val="18"/>
            <w:u w:val="single" w:color="auto"/>
            <w:color w:val="0000EE"/>
          </w:rPr>
          <w:t>February 22, 2023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8">
        <w:r>
          <w:rPr>
            <w:rFonts w:ascii="Arial" w:cs="Arial" w:eastAsia="Arial" w:hAnsi="Arial"/>
            <w:sz w:val="18"/>
            <w:szCs w:val="18"/>
            <w:u w:val="single" w:color="auto"/>
            <w:color w:val="0000EE"/>
          </w:rPr>
          <w:t>March 3, 2023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9">
        <w:r>
          <w:rPr>
            <w:rFonts w:ascii="Arial" w:cs="Arial" w:eastAsia="Arial" w:hAnsi="Arial"/>
            <w:sz w:val="18"/>
            <w:szCs w:val="18"/>
            <w:u w:val="single" w:color="auto"/>
            <w:color w:val="0000EE"/>
          </w:rPr>
          <w:t>March 28, 2023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40">
        <w:r>
          <w:rPr>
            <w:rFonts w:ascii="Arial" w:cs="Arial" w:eastAsia="Arial" w:hAnsi="Arial"/>
            <w:sz w:val="18"/>
            <w:szCs w:val="18"/>
            <w:u w:val="single" w:color="auto"/>
            <w:color w:val="0000EE"/>
          </w:rPr>
          <w:t>April 25, 2023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41">
        <w:r>
          <w:rPr>
            <w:rFonts w:ascii="Arial" w:cs="Arial" w:eastAsia="Arial" w:hAnsi="Arial"/>
            <w:sz w:val="18"/>
            <w:szCs w:val="18"/>
            <w:u w:val="single" w:color="auto"/>
            <w:color w:val="0000EE"/>
          </w:rPr>
          <w:t>May 2, 2023</w:t>
        </w:r>
      </w:hyperlink>
      <w:r>
        <w:rPr>
          <w:rFonts w:ascii="Arial" w:cs="Arial" w:eastAsia="Arial" w:hAnsi="Arial"/>
          <w:sz w:val="18"/>
          <w:szCs w:val="18"/>
          <w:color w:val="0000EE"/>
        </w:rPr>
        <w:t xml:space="preserve"> </w:t>
      </w:r>
      <w:r>
        <w:rPr>
          <w:rFonts w:ascii="Arial" w:cs="Arial" w:eastAsia="Arial" w:hAnsi="Arial"/>
          <w:sz w:val="18"/>
          <w:szCs w:val="18"/>
          <w:color w:val="000000"/>
        </w:rPr>
        <w:t xml:space="preserve">and </w:t>
      </w:r>
      <w:hyperlink r:id="rId42">
        <w:r>
          <w:rPr>
            <w:rFonts w:ascii="Arial" w:cs="Arial" w:eastAsia="Arial" w:hAnsi="Arial"/>
            <w:sz w:val="18"/>
            <w:szCs w:val="18"/>
            <w:u w:val="single" w:color="auto"/>
            <w:color w:val="0000EE"/>
          </w:rPr>
          <w:t>May 31, 2023</w:t>
        </w:r>
      </w:hyperlink>
      <w:r>
        <w:rPr>
          <w:rFonts w:ascii="Arial" w:cs="Arial" w:eastAsia="Arial" w:hAnsi="Arial"/>
          <w:sz w:val="18"/>
          <w:szCs w:val="18"/>
          <w:color w:val="000000"/>
        </w:rPr>
        <w:t>; and</w:t>
      </w:r>
    </w:p>
    <w:p>
      <w:pPr>
        <w:spacing w:after="0" w:line="75" w:lineRule="exact"/>
        <w:rPr>
          <w:rFonts w:ascii="Arial" w:cs="Arial" w:eastAsia="Arial" w:hAnsi="Arial"/>
          <w:sz w:val="18"/>
          <w:szCs w:val="18"/>
          <w:color w:val="000000"/>
        </w:rPr>
      </w:pPr>
    </w:p>
    <w:p>
      <w:pPr>
        <w:ind w:left="1800" w:right="499" w:hanging="180"/>
        <w:spacing w:after="0" w:line="263"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our securities contained in our Registration Statement on </w:t>
      </w:r>
      <w:hyperlink r:id="rId43">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001-39408), filed with the SEC on July 23, 2021, including any amendments or reports filed for the purpose of updating such description</w:t>
      </w:r>
    </w:p>
    <w:p>
      <w:pPr>
        <w:spacing w:after="0" w:line="116" w:lineRule="exact"/>
        <w:rPr>
          <w:rFonts w:ascii="Arial" w:cs="Arial" w:eastAsia="Arial" w:hAnsi="Arial"/>
          <w:sz w:val="18"/>
          <w:szCs w:val="18"/>
          <w:color w:val="0000EE"/>
        </w:rPr>
      </w:pPr>
    </w:p>
    <w:p>
      <w:pPr>
        <w:ind w:left="1260" w:right="459" w:firstLine="360"/>
        <w:spacing w:after="0" w:line="263" w:lineRule="auto"/>
        <w:rPr>
          <w:sz w:val="20"/>
          <w:szCs w:val="20"/>
          <w:color w:val="auto"/>
        </w:rPr>
      </w:pPr>
      <w:r>
        <w:rPr>
          <w:rFonts w:ascii="Arial" w:cs="Arial" w:eastAsia="Arial" w:hAnsi="Arial"/>
          <w:sz w:val="18"/>
          <w:szCs w:val="18"/>
          <w:color w:val="auto"/>
        </w:rPr>
        <w:t>If the information set forth in this prospectus supplement differs from the information set forth in the accompanying prospectus or the information contained in any document incorporated by reference herein or therein, the information contained in the most recently dated document shall control.</w:t>
      </w:r>
    </w:p>
    <w:p>
      <w:pPr>
        <w:spacing w:after="0" w:line="116" w:lineRule="exact"/>
        <w:rPr>
          <w:rFonts w:ascii="Arial" w:cs="Arial" w:eastAsia="Arial" w:hAnsi="Arial"/>
          <w:sz w:val="18"/>
          <w:szCs w:val="18"/>
          <w:color w:val="0000EE"/>
        </w:rPr>
      </w:pPr>
    </w:p>
    <w:p>
      <w:pPr>
        <w:ind w:left="1260" w:right="499" w:firstLine="360"/>
        <w:spacing w:after="0" w:line="252" w:lineRule="auto"/>
        <w:rPr>
          <w:sz w:val="20"/>
          <w:szCs w:val="20"/>
          <w:color w:val="auto"/>
        </w:rPr>
      </w:pPr>
      <w:r>
        <w:rPr>
          <w:rFonts w:ascii="Arial" w:cs="Arial" w:eastAsia="Arial" w:hAnsi="Arial"/>
          <w:sz w:val="18"/>
          <w:szCs w:val="18"/>
          <w:color w:val="auto"/>
        </w:rPr>
        <w:t>The SEC maintains a website at www.sec.gov, from which you can inspect these documents and other information we have filed electronically with the SEC. You may also request copies of these documents, at no cost to you, by contacting us at Investor Relations at 7373 Gateway Boulevard, Newark, CA 94560, by email: investor@lucidmotors.com, or by telephone: (510) 648-3553. Through our website, we make available, free of charge, our following documents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amendments to those documents. However, we will not send you exhibits to these documents, unless those exhibits have been specifically incorporated by reference into this prospectus supplement. The information contained on, or that may be accessed through, our website is not part of, and is not incorporated into, this prospectus supplement or the registration statement of which it forms a part.</w:t>
      </w: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334" w:lineRule="exact"/>
        <w:rPr>
          <w:rFonts w:ascii="Arial" w:cs="Arial" w:eastAsia="Arial" w:hAnsi="Arial"/>
          <w:sz w:val="18"/>
          <w:szCs w:val="18"/>
          <w:color w:val="0000EE"/>
        </w:rPr>
      </w:pPr>
    </w:p>
    <w:p>
      <w:pPr>
        <w:ind w:left="5200"/>
        <w:spacing w:after="0"/>
        <w:rPr>
          <w:sz w:val="20"/>
          <w:szCs w:val="20"/>
          <w:color w:val="auto"/>
        </w:rPr>
      </w:pPr>
      <w:r>
        <w:rPr>
          <w:rFonts w:ascii="Arial" w:cs="Arial" w:eastAsia="Arial" w:hAnsi="Arial"/>
          <w:sz w:val="18"/>
          <w:szCs w:val="18"/>
          <w:color w:val="auto"/>
        </w:rPr>
        <w:t>S-iii</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Arial" w:cs="Arial" w:eastAsia="Arial" w:hAnsi="Arial"/>
          <w:sz w:val="17"/>
          <w:szCs w:val="17"/>
          <w:color w:val="auto"/>
        </w:rPr>
        <w:t>This prospectus supplement and the accompanying prospectus and the documents incorporated by reference into this prospectus supplement contain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 “Exchange Act”).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They appear in a number of places throughout this prospectus supplement and the documents incorporated by reference into this prospectus supplement and the accompanying prospectus and include, but are not limited to, statements regarding our intentions, beliefs or current expectations concerning, among other things, results of operations, financial condition, liquidity, capital expenditures, prospects, growth, production volumes, strategies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energy storage systems and automotive partnerships, technology, manufacturing capabilities and facilities, studio openings, sales channels and strategies, future vehicle programs, expansion and the potential success of our direct-to-consumer strategy, our financial and operating outlook, future market launches and international expansion, including our planned manufacturing facility in Saudi Arabia and related timing and value to us, our expectations regarding the restructuring plan to reduce our operating expenses that was announced on March 28, 2023 (the “Restructuring Plan”), including with respect to timing, costs, and expected benefits, and our needs for additional financing. Such forward-looking statements are based on available current market material and our current expectations, beliefs and forecasts concerning future developments. Factors that may impact such forward-looking statements include:</w:t>
      </w:r>
    </w:p>
    <w:p>
      <w:pPr>
        <w:spacing w:after="0" w:line="92" w:lineRule="exact"/>
        <w:rPr>
          <w:sz w:val="20"/>
          <w:szCs w:val="20"/>
          <w:color w:val="auto"/>
        </w:rPr>
      </w:pPr>
    </w:p>
    <w:p>
      <w:pPr>
        <w:jc w:val="both"/>
        <w:ind w:left="1800" w:right="459" w:hanging="180"/>
        <w:spacing w:after="0" w:line="286" w:lineRule="auto"/>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domestic and foreign business, market, financial, political and legal conditions, including government closures of banks and liquidity concerns at other financial institutions, a potential global economic recession or other downturn and the ongoing conflict between Russia and Ukraine;</w:t>
      </w:r>
    </w:p>
    <w:p>
      <w:pPr>
        <w:spacing w:after="0" w:line="57" w:lineRule="exact"/>
        <w:rPr>
          <w:rFonts w:ascii="Arial" w:cs="Arial" w:eastAsia="Arial" w:hAnsi="Arial"/>
          <w:sz w:val="17"/>
          <w:szCs w:val="17"/>
          <w:color w:val="auto"/>
        </w:rPr>
      </w:pPr>
    </w:p>
    <w:p>
      <w:pPr>
        <w:ind w:left="1800" w:right="117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changes in overall demand for our products and services and cancellation of reservations and orders for our vehicles;</w:t>
      </w:r>
    </w:p>
    <w:p>
      <w:pPr>
        <w:spacing w:after="0" w:line="62" w:lineRule="exact"/>
        <w:rPr>
          <w:rFonts w:ascii="Arial" w:cs="Arial" w:eastAsia="Arial" w:hAnsi="Arial"/>
          <w:sz w:val="18"/>
          <w:szCs w:val="18"/>
          <w:color w:val="auto"/>
        </w:rPr>
      </w:pPr>
    </w:p>
    <w:p>
      <w:pPr>
        <w:ind w:left="1800" w:right="999" w:hanging="180"/>
        <w:spacing w:after="0" w:line="286" w:lineRule="auto"/>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prices and availability of commodities, our supply chain, logistics, inventory management and quality control, and our ability to complete the tooling of our manufacturing facilities over time and scale production of the Lucid Air and other vehicles;</w:t>
      </w:r>
    </w:p>
    <w:p>
      <w:pPr>
        <w:spacing w:after="0" w:line="57" w:lineRule="exact"/>
        <w:rPr>
          <w:rFonts w:ascii="Arial" w:cs="Arial" w:eastAsia="Arial" w:hAnsi="Arial"/>
          <w:sz w:val="17"/>
          <w:szCs w:val="17"/>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uncertainty of our projected financial information;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timing of expected business milestones and commercial product launches;</w:t>
      </w:r>
    </w:p>
    <w:p>
      <w:pPr>
        <w:spacing w:after="0" w:line="117"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expansion of our manufacturing facility, the construction of new manufacturing facilities and the increase of our production capacity;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expenses and control costs;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future market adoption of our offerings;</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and the pace and depth of electric vehicle adoption generally on our future business;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regulatory requirements, governmental incentives and fuel and energy prices;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rapidly innovate;</w:t>
      </w:r>
    </w:p>
    <w:p>
      <w:pPr>
        <w:spacing w:after="0" w:line="117"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or maintain partnerships with original equipment manufacturers, vendors and technology providers;</w:t>
      </w:r>
    </w:p>
    <w:p>
      <w:pPr>
        <w:spacing w:after="0" w:line="62"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recruit and retain key employees, including our chief executive officer and executive team;</w:t>
      </w:r>
    </w:p>
    <w:p>
      <w:pPr>
        <w:sectPr>
          <w:pgSz w:w="11900" w:h="16838" w:orient="portrait"/>
          <w:cols w:equalWidth="0" w:num="1">
            <w:col w:w="9879"/>
          </w:cols>
          <w:pgMar w:left="580" w:top="90"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potential vehicle recalls;</w:t>
      </w:r>
    </w:p>
    <w:p>
      <w:pPr>
        <w:spacing w:after="0" w:line="117"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establish and expand our brand, and capture additional market share, and the risks associated with negative press or reputational harm;</w:t>
      </w:r>
    </w:p>
    <w:p>
      <w:pPr>
        <w:spacing w:after="0" w:line="62"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utilize zero emission vehicle credits and obtain and utilize certain tax and other incentives;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issue equity or equity-linked securities in the future;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interest and principal on our indebtedness;</w:t>
      </w:r>
    </w:p>
    <w:p>
      <w:pPr>
        <w:spacing w:after="0" w:line="117" w:lineRule="exact"/>
        <w:rPr>
          <w:rFonts w:ascii="Arial" w:cs="Arial" w:eastAsia="Arial" w:hAnsi="Arial"/>
          <w:sz w:val="18"/>
          <w:szCs w:val="18"/>
          <w:color w:val="auto"/>
        </w:rPr>
      </w:pPr>
    </w:p>
    <w:p>
      <w:pPr>
        <w:ind w:left="1800" w:right="123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changes to vehicle specifications which may impact performance, pricing, and other expectations;</w:t>
      </w:r>
    </w:p>
    <w:p>
      <w:pPr>
        <w:spacing w:after="0" w:line="62"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any potential litigation, government and regulatory proceedings, investigations and inquiries;</w:t>
      </w:r>
    </w:p>
    <w:p>
      <w:pPr>
        <w:spacing w:after="0" w:line="62" w:lineRule="exact"/>
        <w:rPr>
          <w:rFonts w:ascii="Arial" w:cs="Arial" w:eastAsia="Arial" w:hAnsi="Arial"/>
          <w:sz w:val="18"/>
          <w:szCs w:val="18"/>
          <w:color w:val="auto"/>
        </w:rPr>
      </w:pPr>
    </w:p>
    <w:p>
      <w:pPr>
        <w:ind w:left="1800" w:right="419" w:hanging="180"/>
        <w:spacing w:after="0" w:line="254"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the Restructuring Plan, including the risk that the charges and expenditures may be greater than anticipated, the risk that the Restructuring Plan may adversely affect our internal programs and initiatives and our ability to recruit and retain skilled and motivated personnel, the risk that the Restructuring Plan may be distracting to employees and management, the risk that the Restructuring Plan may negatively impact our business operations, reputation, or ability to serve customers, and the risk that the Restructuring Plan may not generate its intended benefits to the extent or as quickly as anticipated;</w:t>
      </w:r>
    </w:p>
    <w:p>
      <w:pPr>
        <w:spacing w:after="0" w:line="86"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global COVID-19 pandemic on our supply chain, projected results of operations, financial performance or other financial metrics, or on any of the foregoing risks;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intended use of the net proceeds from this offering;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disclosed in this prospectus supplement or our other filings with the SEC.</w:t>
      </w:r>
    </w:p>
    <w:p>
      <w:pPr>
        <w:spacing w:after="0" w:line="158"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The forward-looking statements contained in this prospectus supplement and the documents incorporated by reference into this prospectus supplement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prospectus supplement. Should one or more of these risks or uncertainties materialize, or should any of the assumptions prove incorrect, actual results may vary in material respects from those projected in these forward-looking statements. There may be additional risks that we currently do not know or that we currently believe are immaterial that could also cause actual results to differ from those contained in the forward-looking statements. In addition, forward-looking statements reflect our expectations, plans or forecasts of future events and views as of the date of this prospectus supplement. We anticipate that subsequent events and developments will cause our assessments to change. However, while we may elect to update the forward-looking statements at some point in the future,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 w:name="page7"/>
    <w:bookmarkEnd w:id="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80448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5507355" cy="804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w:t>
      </w:r>
    </w:p>
    <w:p>
      <w:pPr>
        <w:spacing w:after="0" w:line="146" w:lineRule="exact"/>
        <w:rPr>
          <w:sz w:val="20"/>
          <w:szCs w:val="20"/>
          <w:color w:val="auto"/>
        </w:rPr>
      </w:pPr>
    </w:p>
    <w:p>
      <w:pPr>
        <w:jc w:val="center"/>
        <w:ind w:right="-660"/>
        <w:spacing w:after="0"/>
        <w:rPr>
          <w:sz w:val="20"/>
          <w:szCs w:val="20"/>
          <w:color w:val="auto"/>
        </w:rPr>
      </w:pPr>
      <w:r>
        <w:rPr>
          <w:rFonts w:ascii="Arial" w:cs="Arial" w:eastAsia="Arial" w:hAnsi="Arial"/>
          <w:sz w:val="18"/>
          <w:szCs w:val="18"/>
          <w:i w:val="1"/>
          <w:iCs w:val="1"/>
          <w:color w:val="auto"/>
        </w:rPr>
        <w:t>This summary highlights selected information and does not contain all of the information that is</w:t>
      </w:r>
    </w:p>
    <w:p>
      <w:pPr>
        <w:ind w:left="1280" w:right="419"/>
        <w:spacing w:after="0" w:line="234" w:lineRule="auto"/>
        <w:rPr>
          <w:sz w:val="20"/>
          <w:szCs w:val="20"/>
          <w:color w:val="auto"/>
        </w:rPr>
      </w:pPr>
      <w:r>
        <w:rPr>
          <w:rFonts w:ascii="Arial" w:cs="Arial" w:eastAsia="Arial" w:hAnsi="Arial"/>
          <w:sz w:val="18"/>
          <w:szCs w:val="18"/>
          <w:i w:val="1"/>
          <w:iCs w:val="1"/>
          <w:color w:val="auto"/>
        </w:rPr>
        <w:t>important to you. This summary is qualified in its entirety by the more detailed information included in or incorporated by reference into this prospectus supplement and the accompanying prospectus. Before making your investment decision with respect to our securities, you should carefully read this entire prospectus supplement, the accompanying prospectus and the documents incorporated by reference that are described in “Where You Can Find More Information.”</w:t>
      </w:r>
    </w:p>
    <w:p>
      <w:pPr>
        <w:spacing w:after="0" w:line="19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Mission</w:t>
      </w:r>
    </w:p>
    <w:p>
      <w:pPr>
        <w:spacing w:after="0" w:line="135" w:lineRule="exact"/>
        <w:rPr>
          <w:sz w:val="20"/>
          <w:szCs w:val="20"/>
          <w:color w:val="auto"/>
        </w:rPr>
      </w:pPr>
    </w:p>
    <w:p>
      <w:pPr>
        <w:ind w:left="1280" w:right="519" w:firstLine="360"/>
        <w:spacing w:after="0" w:line="291" w:lineRule="auto"/>
        <w:rPr>
          <w:sz w:val="20"/>
          <w:szCs w:val="20"/>
          <w:color w:val="auto"/>
        </w:rPr>
      </w:pPr>
      <w:r>
        <w:rPr>
          <w:rFonts w:ascii="Arial" w:cs="Arial" w:eastAsia="Arial" w:hAnsi="Arial"/>
          <w:sz w:val="17"/>
          <w:szCs w:val="17"/>
          <w:color w:val="auto"/>
        </w:rPr>
        <w:t>Lucid’s mission is to inspire the adoption of sustainable energy by creating advanced technologies and the most captivating luxury electric vehicles, centered around the human experience.</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About Lucid</w:t>
      </w:r>
    </w:p>
    <w:p>
      <w:pPr>
        <w:spacing w:after="0" w:line="135" w:lineRule="exact"/>
        <w:rPr>
          <w:sz w:val="20"/>
          <w:szCs w:val="20"/>
          <w:color w:val="auto"/>
        </w:rPr>
      </w:pPr>
    </w:p>
    <w:p>
      <w:pPr>
        <w:ind w:left="1280" w:right="459" w:firstLine="360"/>
        <w:spacing w:after="0" w:line="250" w:lineRule="auto"/>
        <w:rPr>
          <w:sz w:val="20"/>
          <w:szCs w:val="20"/>
          <w:color w:val="auto"/>
        </w:rPr>
      </w:pPr>
      <w:r>
        <w:rPr>
          <w:rFonts w:ascii="Arial" w:cs="Arial" w:eastAsia="Arial" w:hAnsi="Arial"/>
          <w:sz w:val="17"/>
          <w:szCs w:val="17"/>
          <w:color w:val="auto"/>
        </w:rPr>
        <w:t>Lucid is a technology and automotive company that is setting new standards with its advanced luxury electric vehicles, beginning with the Lucid Air. Lucid (i) designs, engineers and builds electric vehicles, EV powertrains and battery systems in-house using our own equipment and factories, (ii) offers a refined customer experience at our own geographically distributed retail and service locations and through direct-to-consumer online and retail sales, and (iii) boasts a strong product roadmap of future vehicle programs and technologies. Our focus on in-house technology innovation, vertical integration, and a “clean-sheet” approach to engineering and design have led to the development of the award-winning Lucid Air.</w:t>
      </w:r>
    </w:p>
    <w:p>
      <w:pPr>
        <w:spacing w:after="0" w:line="114" w:lineRule="exact"/>
        <w:rPr>
          <w:sz w:val="20"/>
          <w:szCs w:val="20"/>
          <w:color w:val="auto"/>
        </w:rPr>
      </w:pPr>
    </w:p>
    <w:p>
      <w:pPr>
        <w:ind w:left="1280" w:right="499" w:firstLine="360"/>
        <w:spacing w:after="0" w:line="246" w:lineRule="auto"/>
        <w:rPr>
          <w:sz w:val="20"/>
          <w:szCs w:val="20"/>
          <w:color w:val="auto"/>
        </w:rPr>
      </w:pPr>
      <w:r>
        <w:rPr>
          <w:rFonts w:ascii="Arial" w:cs="Arial" w:eastAsia="Arial" w:hAnsi="Arial"/>
          <w:sz w:val="17"/>
          <w:szCs w:val="17"/>
          <w:color w:val="auto"/>
        </w:rPr>
        <w:t>The Lucid Air is a luxury electric sedan that redefines both the luxury car segment and the electric vehicle space, with game- changing EPA-estimated range of up to 516 miles on a single charge (depending on vehicle configuration). This range is enabled by an efficient, powerful powertrain that Lucid developed and builds in -house through vertically integrated manufacturing capacity. EPA estimated ranges are provided for vehicles equipped with 19-inch wheels, and actual range will vary dependent on many factors including battery age, driving habits, charging habits, temperatures, accessory use, and other factors. The miniaturization of drivetrain components also enables the Lucid Air’s Space Concept vehicle design and layout, delivering a spacious interior and ample cargo space despite a smaller exterior footprint. The highly aerodynamic design of the Lucid Air provides longer range, driving faster miles-per-minute charging and the ability to provide equivalent range with a smaller, lower-cost battery pack.</w:t>
      </w:r>
    </w:p>
    <w:p>
      <w:pPr>
        <w:spacing w:after="0" w:line="129" w:lineRule="exact"/>
        <w:rPr>
          <w:sz w:val="20"/>
          <w:szCs w:val="20"/>
          <w:color w:val="auto"/>
        </w:rPr>
      </w:pPr>
    </w:p>
    <w:p>
      <w:pPr>
        <w:ind w:left="1280" w:right="439" w:firstLine="360"/>
        <w:spacing w:after="0" w:line="255" w:lineRule="auto"/>
        <w:rPr>
          <w:sz w:val="20"/>
          <w:szCs w:val="20"/>
          <w:color w:val="auto"/>
        </w:rPr>
      </w:pPr>
      <w:r>
        <w:rPr>
          <w:rFonts w:ascii="Arial" w:cs="Arial" w:eastAsia="Arial" w:hAnsi="Arial"/>
          <w:sz w:val="17"/>
          <w:szCs w:val="17"/>
          <w:color w:val="auto"/>
        </w:rPr>
        <w:t>The Lucid Air is manufactured at our greenfield electric vehicle manufacturing facility in Casa Grande, Arizona, Advanced Manufacturing Plant-1 (“AMP-1”). Our manufacturing footprint in Casa Grande also includes the Lucid Powertrain Manufacturing Plant-1 (“LPM-1”), located a short distance from AMP-1. By building AMP-1 from a clean slate, we expect to achieve greater operational efficiencies and more consistent production quality than would be possible through outsourced manufacturing or adaptation of an existing facility. An emphasis on vertical integration of manufacturing capabilities provides us the opportunity to improve product margins relative to an outsourced manufacturing arrangement. We expect to diversify our vehicle portfolio and increase production capacity through localization of manufacturing in other geographies. In 2022, we broke ground on Lucid’s new advanced electric vehicle manufacturing facility in Saudi Arabia (“AMP-2”), which we anticipate will have a manufacturing capacity of</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155,000 units per year upon completion.</w:t>
      </w:r>
    </w:p>
    <w:p>
      <w:pPr>
        <w:spacing w:after="0" w:line="128" w:lineRule="exact"/>
        <w:rPr>
          <w:sz w:val="20"/>
          <w:szCs w:val="20"/>
          <w:color w:val="auto"/>
        </w:rPr>
      </w:pPr>
    </w:p>
    <w:p>
      <w:pPr>
        <w:ind w:left="1280" w:right="399" w:firstLine="360"/>
        <w:spacing w:after="0" w:line="259" w:lineRule="auto"/>
        <w:rPr>
          <w:sz w:val="20"/>
          <w:szCs w:val="20"/>
          <w:color w:val="auto"/>
        </w:rPr>
      </w:pPr>
      <w:r>
        <w:rPr>
          <w:rFonts w:ascii="Arial" w:cs="Arial" w:eastAsia="Arial" w:hAnsi="Arial"/>
          <w:sz w:val="17"/>
          <w:szCs w:val="17"/>
          <w:color w:val="auto"/>
        </w:rPr>
        <w:t>We began delivering the Lucid Air to customers in October 2021, and have now grown the Lucid Air model line to multiple trim and powertrain variants spanning a range of price points. The Lucid Air Sapphire, our highest performance Air, was announced in August 2022 and is expected to reach customers in 2023. We expect to launch additional vehicles over the coming decade. We have already commenced design and engineering work for the Lucid Gravity, a luxury sports utility vehicle (“SUV”) that is expected to leverage and advance the technological innovations from the Lucid Air. After the Lucid Air and the Lucid Gravity SUV, we plan to leverage and expand our technological and manufacturing advancements to develop and manufacture vehicles in progressively higher-volume segments.</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48"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Lucid Group, Inc. is a Delaware corporation. Our principal executive offices are located at</w:t>
      </w:r>
    </w:p>
    <w:p>
      <w:pPr>
        <w:spacing w:after="0" w:line="23" w:lineRule="exact"/>
        <w:rPr>
          <w:sz w:val="20"/>
          <w:szCs w:val="20"/>
          <w:color w:val="auto"/>
        </w:rPr>
      </w:pPr>
    </w:p>
    <w:p>
      <w:pPr>
        <w:ind w:left="1280" w:right="619"/>
        <w:spacing w:after="0" w:line="245" w:lineRule="auto"/>
        <w:rPr>
          <w:sz w:val="20"/>
          <w:szCs w:val="20"/>
          <w:color w:val="auto"/>
        </w:rPr>
      </w:pPr>
      <w:r>
        <w:rPr>
          <w:rFonts w:ascii="Arial" w:cs="Arial" w:eastAsia="Arial" w:hAnsi="Arial"/>
          <w:sz w:val="18"/>
          <w:szCs w:val="18"/>
          <w:color w:val="auto"/>
        </w:rPr>
        <w:t>7373 Gateway Blvd. Newark, CA 94560 and our telephone number at that address is (510) 648-3553. Our website is located</w:t>
      </w:r>
    </w:p>
    <w:p>
      <w:pPr>
        <w:sectPr>
          <w:pgSz w:w="11900" w:h="16838" w:orient="portrait"/>
          <w:cols w:equalWidth="0" w:num="1">
            <w:col w:w="9879"/>
          </w:cols>
          <w:pgMar w:left="580" w:top="90" w:right="1440" w:bottom="1440" w:gutter="0" w:footer="0" w:header="0"/>
        </w:sectPr>
      </w:pPr>
    </w:p>
    <w:p>
      <w:pPr>
        <w:spacing w:after="0" w:line="387"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550735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280" w:right="439"/>
        <w:spacing w:after="0" w:line="263" w:lineRule="auto"/>
        <w:rPr>
          <w:sz w:val="20"/>
          <w:szCs w:val="20"/>
          <w:color w:val="auto"/>
        </w:rPr>
      </w:pPr>
      <w:r>
        <w:rPr>
          <w:rFonts w:ascii="Arial" w:cs="Arial" w:eastAsia="Arial" w:hAnsi="Arial"/>
          <w:sz w:val="18"/>
          <w:szCs w:val="18"/>
          <w:color w:val="auto"/>
        </w:rPr>
        <w:t>at https://www.lucidmotors.com. We do not incorporate the information contained on, or accessible through, our corporate website into this prospectus supplement, and you should not consider it part of this prospectus supplement.</w:t>
      </w:r>
    </w:p>
    <w:p>
      <w:pPr>
        <w:spacing w:after="0" w:line="18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Controlled Company Exemption</w:t>
      </w:r>
    </w:p>
    <w:p>
      <w:pPr>
        <w:spacing w:after="0" w:line="162" w:lineRule="exact"/>
        <w:rPr>
          <w:sz w:val="20"/>
          <w:szCs w:val="20"/>
          <w:color w:val="auto"/>
        </w:rPr>
      </w:pPr>
    </w:p>
    <w:p>
      <w:pPr>
        <w:ind w:left="1280" w:right="399" w:firstLine="360"/>
        <w:spacing w:after="0" w:line="255" w:lineRule="auto"/>
        <w:rPr>
          <w:sz w:val="20"/>
          <w:szCs w:val="20"/>
          <w:color w:val="auto"/>
        </w:rPr>
      </w:pPr>
      <w:r>
        <w:rPr>
          <w:rFonts w:ascii="Arial" w:cs="Arial" w:eastAsia="Arial" w:hAnsi="Arial"/>
          <w:sz w:val="18"/>
          <w:szCs w:val="18"/>
          <w:color w:val="auto"/>
        </w:rPr>
        <w:t>As of March 31, 2023, PIF, both directly and indirectly through Ayar, owned approximately 60.5% of our outstanding shares of common stock. As a result, we are a “controlled company” within the meaning of Nasdaq rules and, as a result, qualify for exemptions from certain corporate governance requirements. Our stockholders do not have the same protections afforded to stockholders of companies that are subject to such requirements. Ayar also currently has the ability to nominate five of the nine directors to our Board. Ayar is an affiliate of PIF.</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79508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5507355" cy="795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1280" w:right="559" w:firstLine="360"/>
        <w:spacing w:after="0" w:line="263" w:lineRule="auto"/>
        <w:rPr>
          <w:sz w:val="20"/>
          <w:szCs w:val="20"/>
          <w:color w:val="auto"/>
        </w:rPr>
      </w:pPr>
      <w:r>
        <w:rPr>
          <w:rFonts w:ascii="Arial" w:cs="Arial" w:eastAsia="Arial" w:hAnsi="Arial"/>
          <w:sz w:val="18"/>
          <w:szCs w:val="18"/>
          <w:color w:val="auto"/>
        </w:rPr>
        <w:t>The following is a brief summary of certain terms of this offering. For a more complete description of the terms of the common stock offered hereby, see the “Description of Capital Stock” section of the accompanying prospectus.</w:t>
      </w:r>
    </w:p>
    <w:p>
      <w:pPr>
        <w:spacing w:after="0" w:line="103" w:lineRule="exact"/>
        <w:rPr>
          <w:sz w:val="20"/>
          <w:szCs w:val="20"/>
          <w:color w:val="auto"/>
        </w:rPr>
      </w:pPr>
    </w:p>
    <w:p>
      <w:pPr>
        <w:ind w:left="1280" w:right="499" w:firstLine="36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Any investment in our common stock involves a high degree of risk. You should carefully consider the information set forth under “Risk Factors” beginning on page </w:t>
      </w:r>
      <w:r>
        <w:rPr>
          <w:rFonts w:ascii="Arial" w:cs="Arial" w:eastAsia="Arial" w:hAnsi="Arial"/>
          <w:sz w:val="18"/>
          <w:szCs w:val="18"/>
          <w:u w:val="single" w:color="auto"/>
          <w:color w:val="0000EE"/>
        </w:rPr>
        <w:t>S-8</w:t>
      </w:r>
      <w:r>
        <w:rPr>
          <w:rFonts w:ascii="Arial" w:cs="Arial" w:eastAsia="Arial" w:hAnsi="Arial"/>
          <w:sz w:val="18"/>
          <w:szCs w:val="18"/>
          <w:color w:val="auto"/>
        </w:rPr>
        <w:t xml:space="preserve"> of this prospectus supplement and “Risk Factors” in our Quarterly Report on Form 10-Q for the three months ended </w:t>
      </w:r>
      <w:hyperlink r:id="rId32">
        <w:r>
          <w:rPr>
            <w:rFonts w:ascii="Arial" w:cs="Arial" w:eastAsia="Arial" w:hAnsi="Arial"/>
            <w:sz w:val="18"/>
            <w:szCs w:val="18"/>
            <w:u w:val="single" w:color="auto"/>
            <w:color w:val="0000EE"/>
          </w:rPr>
          <w:t>March 31,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the other information included or incorporated by reference into this prospectus supplement and the accompanying prospectus.</w:t>
      </w:r>
    </w:p>
    <w:p>
      <w:pPr>
        <w:sectPr>
          <w:pgSz w:w="11900" w:h="16838" w:orient="portrait"/>
          <w:cols w:equalWidth="0" w:num="1">
            <w:col w:w="9879"/>
          </w:cols>
          <w:pgMar w:left="580" w:top="90" w:right="1440" w:bottom="1440" w:gutter="0" w:footer="0" w:header="0"/>
        </w:sectPr>
      </w:pPr>
    </w:p>
    <w:p>
      <w:pPr>
        <w:spacing w:after="0" w:line="7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Issuer</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Common stock offered by us</w:t>
      </w:r>
    </w:p>
    <w:p>
      <w:pPr>
        <w:spacing w:after="0" w:line="12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Ayar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1460" w:hanging="179"/>
        <w:spacing w:after="0" w:line="343" w:lineRule="auto"/>
        <w:rPr>
          <w:sz w:val="20"/>
          <w:szCs w:val="20"/>
          <w:color w:val="auto"/>
        </w:rPr>
      </w:pPr>
      <w:r>
        <w:rPr>
          <w:rFonts w:ascii="Arial" w:cs="Arial" w:eastAsia="Arial" w:hAnsi="Arial"/>
          <w:sz w:val="15"/>
          <w:szCs w:val="15"/>
          <w:b w:val="1"/>
          <w:bCs w:val="1"/>
          <w:color w:val="auto"/>
        </w:rPr>
        <w:t>Common stock to be outstanding after this offering and the Ayar Investment</w:t>
      </w:r>
    </w:p>
    <w:p>
      <w:pPr>
        <w:spacing w:after="0" w:line="1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1460" w:right="280" w:hanging="179"/>
        <w:spacing w:after="0" w:line="266" w:lineRule="auto"/>
        <w:rPr>
          <w:sz w:val="20"/>
          <w:szCs w:val="20"/>
          <w:color w:val="auto"/>
        </w:rPr>
      </w:pPr>
      <w:r>
        <w:rPr>
          <w:rFonts w:ascii="Arial" w:cs="Arial" w:eastAsia="Arial" w:hAnsi="Arial"/>
          <w:sz w:val="18"/>
          <w:szCs w:val="18"/>
          <w:b w:val="1"/>
          <w:bCs w:val="1"/>
          <w:color w:val="auto"/>
        </w:rPr>
        <w:t>Nasdaq Global Select Market ticker symbol for common stock</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Lucid Group, Inc., a Delaware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173,544,948 shares of our common stock.</w:t>
      </w:r>
    </w:p>
    <w:p>
      <w:pPr>
        <w:spacing w:after="0" w:line="117" w:lineRule="exact"/>
        <w:rPr>
          <w:sz w:val="20"/>
          <w:szCs w:val="20"/>
          <w:color w:val="auto"/>
        </w:rPr>
      </w:pPr>
    </w:p>
    <w:p>
      <w:pPr>
        <w:ind w:right="399"/>
        <w:spacing w:after="0" w:line="267" w:lineRule="auto"/>
        <w:rPr>
          <w:sz w:val="20"/>
          <w:szCs w:val="20"/>
          <w:color w:val="auto"/>
        </w:rPr>
      </w:pPr>
      <w:r>
        <w:rPr>
          <w:rFonts w:ascii="Arial" w:cs="Arial" w:eastAsia="Arial" w:hAnsi="Arial"/>
          <w:sz w:val="17"/>
          <w:szCs w:val="17"/>
          <w:color w:val="auto"/>
        </w:rPr>
        <w:t>Ayar has agreed to purchase from us, subject to certain conditions, 265,693,703 shares of our common stock in a private placement concurrently with this offering. We refer to this private placement as the “Ayar Investment.” The number of shares that Ayar has agreed to purchase from us in the Ayar Investment is equal to the number of shares of our common stock that we sell in this offering, multiplied by a ratio, the numerator of which is approximately 60.5%, which is the number of shares of our common stock owned by PIF, both directly and indirectly through Ayar, as a percentage of the total number of shares of our common stock outstanding as of March 31, 2023, and the denominator of which is approximately 39.5%, rounded down to the nearest whole share. Following the sale in this offering and the sale in the Ayar Investment, PIF, both directly and indirectly through Ayar, is expected to continue to own approximately 60.5% of our outstanding stock. We expect to settle the Ayar Investment on or about June 26, 2023, for an aggregate purchase price of approximately $1.8 billion.</w:t>
      </w:r>
    </w:p>
    <w:p>
      <w:pPr>
        <w:spacing w:after="0" w:line="124" w:lineRule="exact"/>
        <w:rPr>
          <w:sz w:val="20"/>
          <w:szCs w:val="20"/>
          <w:color w:val="auto"/>
        </w:rPr>
      </w:pPr>
    </w:p>
    <w:p>
      <w:pPr>
        <w:ind w:right="539"/>
        <w:spacing w:after="0" w:line="257" w:lineRule="auto"/>
        <w:rPr>
          <w:sz w:val="20"/>
          <w:szCs w:val="20"/>
          <w:color w:val="auto"/>
        </w:rPr>
      </w:pPr>
      <w:r>
        <w:rPr>
          <w:rFonts w:ascii="Arial" w:cs="Arial" w:eastAsia="Arial" w:hAnsi="Arial"/>
          <w:sz w:val="18"/>
          <w:szCs w:val="18"/>
          <w:color w:val="auto"/>
        </w:rPr>
        <w:t>The Ayar Investment is not a part of this offering and is in addition to the 173,544,948 shares that we are selling in this offering. The completion of the Ayar Investment is contingent on the completion of this offering as well as certain other customary closing conditions.</w:t>
      </w:r>
    </w:p>
    <w:p>
      <w:pPr>
        <w:spacing w:after="0" w:line="120" w:lineRule="exact"/>
        <w:rPr>
          <w:sz w:val="20"/>
          <w:szCs w:val="20"/>
          <w:color w:val="auto"/>
        </w:rPr>
      </w:pPr>
    </w:p>
    <w:p>
      <w:pPr>
        <w:ind w:right="439"/>
        <w:spacing w:after="0" w:line="259" w:lineRule="auto"/>
        <w:rPr>
          <w:sz w:val="20"/>
          <w:szCs w:val="20"/>
          <w:color w:val="auto"/>
        </w:rPr>
      </w:pPr>
      <w:r>
        <w:rPr>
          <w:rFonts w:ascii="Arial" w:cs="Arial" w:eastAsia="Arial" w:hAnsi="Arial"/>
          <w:sz w:val="18"/>
          <w:szCs w:val="18"/>
          <w:color w:val="auto"/>
        </w:rPr>
        <w:t>The shares of our common stock purchased by Ayar in the Ayar Investment will be subject to our existing investor rights agreement, as amended, including the requirement to include such shares on a resale registration statement to be filed by us.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2,272,623,825 shares of our common stock.</w:t>
      </w:r>
    </w:p>
    <w:p>
      <w:pPr>
        <w:spacing w:after="0" w:line="117" w:lineRule="exact"/>
        <w:rPr>
          <w:sz w:val="20"/>
          <w:szCs w:val="20"/>
          <w:color w:val="auto"/>
        </w:rPr>
      </w:pPr>
    </w:p>
    <w:p>
      <w:pPr>
        <w:ind w:right="499"/>
        <w:spacing w:after="0" w:line="279" w:lineRule="auto"/>
        <w:rPr>
          <w:sz w:val="20"/>
          <w:szCs w:val="20"/>
          <w:color w:val="auto"/>
        </w:rPr>
      </w:pPr>
      <w:r>
        <w:rPr>
          <w:rFonts w:ascii="Arial" w:cs="Arial" w:eastAsia="Arial" w:hAnsi="Arial"/>
          <w:sz w:val="17"/>
          <w:szCs w:val="17"/>
          <w:color w:val="auto"/>
        </w:rPr>
        <w:t xml:space="preserve">We intend to use the net proceeds from the sale of our common stock in this offering and the Ayar Investment for general corporate purposes, which may include capital expenditures and working capital. See “Use of Proceeds” on page </w:t>
      </w:r>
      <w:r>
        <w:rPr>
          <w:rFonts w:ascii="Arial" w:cs="Arial" w:eastAsia="Arial" w:hAnsi="Arial"/>
          <w:sz w:val="17"/>
          <w:szCs w:val="17"/>
          <w:u w:val="single" w:color="auto"/>
          <w:color w:val="0000EE"/>
        </w:rPr>
        <w:t>S-12</w:t>
      </w:r>
      <w:r>
        <w:rPr>
          <w:rFonts w:ascii="Arial" w:cs="Arial" w:eastAsia="Arial" w:hAnsi="Arial"/>
          <w:sz w:val="17"/>
          <w:szCs w:val="17"/>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“LCID.”</w:t>
      </w:r>
    </w:p>
    <w:p>
      <w:pPr>
        <w:spacing w:after="0" w:line="245" w:lineRule="exact"/>
        <w:rPr>
          <w:sz w:val="20"/>
          <w:szCs w:val="20"/>
          <w:color w:val="auto"/>
        </w:rPr>
      </w:pPr>
    </w:p>
    <w:p>
      <w:pPr>
        <w:sectPr>
          <w:pgSz w:w="11900" w:h="16838" w:orient="portrait"/>
          <w:cols w:equalWidth="0" w:num="2">
            <w:col w:w="3720" w:space="580"/>
            <w:col w:w="5579"/>
          </w:cols>
          <w:pgMar w:left="580" w:top="9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7959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550735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280" w:type="dxa"/>
        <w:tblCellMar>
          <w:top w:w="0" w:type="dxa"/>
          <w:left w:w="0" w:type="dxa"/>
          <w:bottom w:w="0" w:type="dxa"/>
          <w:right w:w="0" w:type="dxa"/>
        </w:tblCellMar>
      </w:tblPr>
      <w:tr>
        <w:trPr>
          <w:trHeight w:val="220"/>
        </w:trPr>
        <w:tc>
          <w:tcPr>
            <w:tcW w:w="254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5640" w:type="dxa"/>
            <w:vAlign w:val="bottom"/>
            <w:gridSpan w:val="3"/>
          </w:tcPr>
          <w:p>
            <w:pPr>
              <w:ind w:left="480"/>
              <w:spacing w:after="0"/>
              <w:rPr>
                <w:sz w:val="20"/>
                <w:szCs w:val="20"/>
                <w:color w:val="auto"/>
              </w:rPr>
            </w:pPr>
            <w:r>
              <w:rPr>
                <w:rFonts w:ascii="Arial" w:cs="Arial" w:eastAsia="Arial" w:hAnsi="Arial"/>
                <w:sz w:val="18"/>
                <w:szCs w:val="18"/>
                <w:color w:val="auto"/>
                <w:w w:val="98"/>
              </w:rPr>
              <w:t>Investing in our common stock involves risk. See “Risk Factors” in</w:t>
            </w:r>
          </w:p>
        </w:tc>
      </w:tr>
      <w:tr>
        <w:trPr>
          <w:trHeight w:val="216"/>
        </w:trPr>
        <w:tc>
          <w:tcPr>
            <w:tcW w:w="2540" w:type="dxa"/>
            <w:vAlign w:val="bottom"/>
          </w:tcPr>
          <w:p>
            <w:pPr>
              <w:spacing w:after="0"/>
              <w:rPr>
                <w:sz w:val="18"/>
                <w:szCs w:val="18"/>
                <w:color w:val="auto"/>
              </w:rPr>
            </w:pPr>
          </w:p>
        </w:tc>
        <w:tc>
          <w:tcPr>
            <w:tcW w:w="5640" w:type="dxa"/>
            <w:vAlign w:val="bottom"/>
            <w:gridSpan w:val="3"/>
          </w:tcPr>
          <w:p>
            <w:pPr>
              <w:ind w:left="480"/>
              <w:spacing w:after="0"/>
              <w:rPr>
                <w:sz w:val="20"/>
                <w:szCs w:val="20"/>
                <w:color w:val="auto"/>
              </w:rPr>
            </w:pPr>
            <w:r>
              <w:rPr>
                <w:rFonts w:ascii="Arial" w:cs="Arial" w:eastAsia="Arial" w:hAnsi="Arial"/>
                <w:sz w:val="18"/>
                <w:szCs w:val="18"/>
                <w:color w:val="auto"/>
              </w:rPr>
              <w:t>this prospectus supplement and “Risk Factors” in our Quarterly</w:t>
            </w:r>
          </w:p>
        </w:tc>
      </w:tr>
      <w:tr>
        <w:trPr>
          <w:trHeight w:val="190"/>
        </w:trPr>
        <w:tc>
          <w:tcPr>
            <w:tcW w:w="2540" w:type="dxa"/>
            <w:vAlign w:val="bottom"/>
          </w:tcPr>
          <w:p>
            <w:pPr>
              <w:spacing w:after="0"/>
              <w:rPr>
                <w:sz w:val="16"/>
                <w:szCs w:val="16"/>
                <w:color w:val="auto"/>
              </w:rPr>
            </w:pPr>
          </w:p>
        </w:tc>
        <w:tc>
          <w:tcPr>
            <w:tcW w:w="5640" w:type="dxa"/>
            <w:vAlign w:val="bottom"/>
            <w:gridSpan w:val="3"/>
          </w:tcPr>
          <w:p>
            <w:pPr>
              <w:ind w:left="480"/>
              <w:spacing w:after="0" w:line="190" w:lineRule="exact"/>
              <w:rPr>
                <w:rFonts w:ascii="Arial" w:cs="Arial" w:eastAsia="Arial" w:hAnsi="Arial"/>
                <w:sz w:val="18"/>
                <w:szCs w:val="18"/>
                <w:color w:val="auto"/>
                <w:w w:val="97"/>
              </w:rPr>
            </w:pPr>
            <w:r>
              <w:rPr>
                <w:rFonts w:ascii="Arial" w:cs="Arial" w:eastAsia="Arial" w:hAnsi="Arial"/>
                <w:sz w:val="18"/>
                <w:szCs w:val="18"/>
                <w:color w:val="auto"/>
                <w:w w:val="97"/>
              </w:rPr>
              <w:t xml:space="preserve">Report on Form 10-Q for the three months ended </w:t>
            </w:r>
            <w:hyperlink r:id="rId32">
              <w:r>
                <w:rPr>
                  <w:rFonts w:ascii="Arial" w:cs="Arial" w:eastAsia="Arial" w:hAnsi="Arial"/>
                  <w:sz w:val="18"/>
                  <w:szCs w:val="18"/>
                  <w:color w:val="0000EE"/>
                  <w:w w:val="97"/>
                </w:rPr>
                <w:t>March 31, 2023,</w:t>
              </w:r>
            </w:hyperlink>
          </w:p>
        </w:tc>
      </w:tr>
      <w:tr>
        <w:trPr>
          <w:trHeight w:val="20"/>
        </w:trPr>
        <w:tc>
          <w:tcPr>
            <w:tcW w:w="25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2540" w:type="dxa"/>
            <w:vAlign w:val="bottom"/>
          </w:tcPr>
          <w:p>
            <w:pPr>
              <w:spacing w:after="0"/>
              <w:rPr>
                <w:sz w:val="19"/>
                <w:szCs w:val="19"/>
                <w:color w:val="auto"/>
              </w:rPr>
            </w:pPr>
          </w:p>
        </w:tc>
        <w:tc>
          <w:tcPr>
            <w:tcW w:w="5640" w:type="dxa"/>
            <w:vAlign w:val="bottom"/>
            <w:gridSpan w:val="3"/>
          </w:tcPr>
          <w:p>
            <w:pPr>
              <w:ind w:left="480"/>
              <w:spacing w:after="0"/>
              <w:rPr>
                <w:sz w:val="20"/>
                <w:szCs w:val="20"/>
                <w:color w:val="auto"/>
              </w:rPr>
            </w:pPr>
            <w:r>
              <w:rPr>
                <w:rFonts w:ascii="Arial" w:cs="Arial" w:eastAsia="Arial" w:hAnsi="Arial"/>
                <w:sz w:val="18"/>
                <w:szCs w:val="18"/>
                <w:color w:val="auto"/>
                <w:w w:val="95"/>
              </w:rPr>
              <w:t>and the other information included or incorporated by reference into</w:t>
            </w:r>
          </w:p>
        </w:tc>
      </w:tr>
      <w:tr>
        <w:trPr>
          <w:trHeight w:val="216"/>
        </w:trPr>
        <w:tc>
          <w:tcPr>
            <w:tcW w:w="2540" w:type="dxa"/>
            <w:vAlign w:val="bottom"/>
          </w:tcPr>
          <w:p>
            <w:pPr>
              <w:spacing w:after="0"/>
              <w:rPr>
                <w:sz w:val="18"/>
                <w:szCs w:val="18"/>
                <w:color w:val="auto"/>
              </w:rPr>
            </w:pPr>
          </w:p>
        </w:tc>
        <w:tc>
          <w:tcPr>
            <w:tcW w:w="5640" w:type="dxa"/>
            <w:vAlign w:val="bottom"/>
            <w:gridSpan w:val="3"/>
          </w:tcPr>
          <w:p>
            <w:pPr>
              <w:ind w:left="480"/>
              <w:spacing w:after="0"/>
              <w:rPr>
                <w:sz w:val="20"/>
                <w:szCs w:val="20"/>
                <w:color w:val="auto"/>
              </w:rPr>
            </w:pPr>
            <w:r>
              <w:rPr>
                <w:rFonts w:ascii="Arial" w:cs="Arial" w:eastAsia="Arial" w:hAnsi="Arial"/>
                <w:sz w:val="18"/>
                <w:szCs w:val="18"/>
                <w:color w:val="auto"/>
                <w:w w:val="95"/>
              </w:rPr>
              <w:t>this prospectus supplement and the accompanying prospectus for a</w:t>
            </w:r>
          </w:p>
        </w:tc>
      </w:tr>
      <w:tr>
        <w:trPr>
          <w:trHeight w:val="216"/>
        </w:trPr>
        <w:tc>
          <w:tcPr>
            <w:tcW w:w="2540" w:type="dxa"/>
            <w:vAlign w:val="bottom"/>
          </w:tcPr>
          <w:p>
            <w:pPr>
              <w:spacing w:after="0"/>
              <w:rPr>
                <w:sz w:val="18"/>
                <w:szCs w:val="18"/>
                <w:color w:val="auto"/>
              </w:rPr>
            </w:pPr>
          </w:p>
        </w:tc>
        <w:tc>
          <w:tcPr>
            <w:tcW w:w="5640" w:type="dxa"/>
            <w:vAlign w:val="bottom"/>
            <w:gridSpan w:val="3"/>
          </w:tcPr>
          <w:p>
            <w:pPr>
              <w:ind w:left="480"/>
              <w:spacing w:after="0"/>
              <w:rPr>
                <w:sz w:val="20"/>
                <w:szCs w:val="20"/>
                <w:color w:val="auto"/>
              </w:rPr>
            </w:pPr>
            <w:r>
              <w:rPr>
                <w:rFonts w:ascii="Arial" w:cs="Arial" w:eastAsia="Arial" w:hAnsi="Arial"/>
                <w:sz w:val="18"/>
                <w:szCs w:val="18"/>
                <w:color w:val="auto"/>
                <w:w w:val="97"/>
              </w:rPr>
              <w:t>discussion of factors you should carefully consider before deciding</w:t>
            </w:r>
          </w:p>
        </w:tc>
      </w:tr>
      <w:tr>
        <w:trPr>
          <w:trHeight w:val="230"/>
        </w:trPr>
        <w:tc>
          <w:tcPr>
            <w:tcW w:w="2540" w:type="dxa"/>
            <w:vAlign w:val="bottom"/>
          </w:tcPr>
          <w:p>
            <w:pPr>
              <w:spacing w:after="0"/>
              <w:rPr>
                <w:sz w:val="20"/>
                <w:szCs w:val="20"/>
                <w:color w:val="auto"/>
              </w:rPr>
            </w:pPr>
          </w:p>
        </w:tc>
        <w:tc>
          <w:tcPr>
            <w:tcW w:w="5640" w:type="dxa"/>
            <w:vAlign w:val="bottom"/>
            <w:gridSpan w:val="3"/>
          </w:tcPr>
          <w:p>
            <w:pPr>
              <w:ind w:left="480"/>
              <w:spacing w:after="0"/>
              <w:rPr>
                <w:sz w:val="20"/>
                <w:szCs w:val="20"/>
                <w:color w:val="auto"/>
              </w:rPr>
            </w:pPr>
            <w:r>
              <w:rPr>
                <w:rFonts w:ascii="Arial" w:cs="Arial" w:eastAsia="Arial" w:hAnsi="Arial"/>
                <w:sz w:val="18"/>
                <w:szCs w:val="18"/>
                <w:color w:val="auto"/>
              </w:rPr>
              <w:t>to invest in our common stock.</w:t>
            </w:r>
          </w:p>
        </w:tc>
      </w:tr>
      <w:tr>
        <w:trPr>
          <w:trHeight w:val="324"/>
        </w:trPr>
        <w:tc>
          <w:tcPr>
            <w:tcW w:w="2540" w:type="dxa"/>
            <w:vAlign w:val="bottom"/>
          </w:tcPr>
          <w:p>
            <w:pPr>
              <w:spacing w:after="0"/>
              <w:rPr>
                <w:sz w:val="20"/>
                <w:szCs w:val="20"/>
                <w:color w:val="auto"/>
              </w:rPr>
            </w:pPr>
            <w:r>
              <w:rPr>
                <w:rFonts w:ascii="Arial" w:cs="Arial" w:eastAsia="Arial" w:hAnsi="Arial"/>
                <w:sz w:val="18"/>
                <w:szCs w:val="18"/>
                <w:b w:val="1"/>
                <w:bCs w:val="1"/>
                <w:color w:val="auto"/>
              </w:rPr>
              <w:t>Transfer agent and registrar</w:t>
            </w:r>
          </w:p>
        </w:tc>
        <w:tc>
          <w:tcPr>
            <w:tcW w:w="5640" w:type="dxa"/>
            <w:vAlign w:val="bottom"/>
            <w:gridSpan w:val="3"/>
          </w:tcPr>
          <w:p>
            <w:pPr>
              <w:ind w:left="480"/>
              <w:spacing w:after="0"/>
              <w:rPr>
                <w:sz w:val="20"/>
                <w:szCs w:val="20"/>
                <w:color w:val="auto"/>
              </w:rPr>
            </w:pPr>
            <w:r>
              <w:rPr>
                <w:rFonts w:ascii="Arial" w:cs="Arial" w:eastAsia="Arial" w:hAnsi="Arial"/>
                <w:sz w:val="18"/>
                <w:szCs w:val="18"/>
                <w:color w:val="auto"/>
              </w:rPr>
              <w:t>Equiniti Trust Company.</w:t>
            </w:r>
          </w:p>
        </w:tc>
      </w:tr>
    </w:tbl>
    <w:p>
      <w:pPr>
        <w:spacing w:after="0" w:line="134" w:lineRule="exact"/>
        <w:rPr>
          <w:sz w:val="20"/>
          <w:szCs w:val="20"/>
          <w:color w:val="auto"/>
        </w:rPr>
      </w:pPr>
    </w:p>
    <w:p>
      <w:pPr>
        <w:jc w:val="both"/>
        <w:ind w:left="1280" w:right="419" w:firstLine="360"/>
        <w:spacing w:after="0" w:line="259" w:lineRule="auto"/>
        <w:rPr>
          <w:sz w:val="20"/>
          <w:szCs w:val="20"/>
          <w:color w:val="auto"/>
        </w:rPr>
      </w:pPr>
      <w:r>
        <w:rPr>
          <w:rFonts w:ascii="Arial" w:cs="Arial" w:eastAsia="Arial" w:hAnsi="Arial"/>
          <w:sz w:val="18"/>
          <w:szCs w:val="18"/>
          <w:color w:val="auto"/>
        </w:rPr>
        <w:t>Unless we specifically state otherwise or the context otherwise requires, the information above is as of March 31, 2023, does not give effect to any awards of stock options or restricted stock units (“RSUs”) after March 31, 2023 or the exercise of warrants or stock options or the settlement of RSUs after March 31, 2023, and excludes:</w:t>
      </w:r>
    </w:p>
    <w:p>
      <w:pPr>
        <w:spacing w:after="0" w:line="79" w:lineRule="exact"/>
        <w:rPr>
          <w:sz w:val="20"/>
          <w:szCs w:val="20"/>
          <w:color w:val="auto"/>
        </w:rPr>
      </w:pPr>
    </w:p>
    <w:p>
      <w:pPr>
        <w:ind w:left="1820" w:right="779" w:hanging="186"/>
        <w:spacing w:after="0" w:line="27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44,350,000 shares of our common stock issuable upon the exercise of warrants outstanding as of March 31, 2023, each with an exercise price of $11.50 per share;</w:t>
      </w:r>
    </w:p>
    <w:p>
      <w:pPr>
        <w:spacing w:after="0" w:line="62" w:lineRule="exact"/>
        <w:rPr>
          <w:rFonts w:ascii="Arial" w:cs="Arial" w:eastAsia="Arial" w:hAnsi="Arial"/>
          <w:sz w:val="18"/>
          <w:szCs w:val="18"/>
          <w:color w:val="auto"/>
        </w:rPr>
      </w:pPr>
    </w:p>
    <w:p>
      <w:pPr>
        <w:ind w:left="1820" w:right="439" w:hanging="186"/>
        <w:spacing w:after="0" w:line="27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36,450,296 shares of our common stock issuable upon the exercise of stock options outstanding as of March 31, 2023 with a weighted average exercise price of $1.19 per share;</w:t>
      </w:r>
    </w:p>
    <w:p>
      <w:pPr>
        <w:spacing w:after="0" w:line="62" w:lineRule="exact"/>
        <w:rPr>
          <w:rFonts w:ascii="Arial" w:cs="Arial" w:eastAsia="Arial" w:hAnsi="Arial"/>
          <w:sz w:val="18"/>
          <w:szCs w:val="18"/>
          <w:color w:val="auto"/>
        </w:rPr>
      </w:pPr>
    </w:p>
    <w:p>
      <w:pPr>
        <w:ind w:left="1820" w:hanging="186"/>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46,154,593 shares subject to RSUs outstanding as of March 31, 2023;</w:t>
      </w:r>
    </w:p>
    <w:p>
      <w:pPr>
        <w:spacing w:after="0" w:line="117" w:lineRule="exact"/>
        <w:rPr>
          <w:rFonts w:ascii="Arial" w:cs="Arial" w:eastAsia="Arial" w:hAnsi="Arial"/>
          <w:sz w:val="18"/>
          <w:szCs w:val="18"/>
          <w:color w:val="auto"/>
        </w:rPr>
      </w:pPr>
    </w:p>
    <w:p>
      <w:pPr>
        <w:ind w:left="1820" w:right="699" w:hanging="186"/>
        <w:spacing w:after="0" w:line="286" w:lineRule="auto"/>
        <w:tabs>
          <w:tab w:leader="none" w:pos="1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19,807,360 shares of our common stock reserved for future issuance under the Lucid Group, Inc. Second Amended and Restated 2021 Stock Incentive Plan (including the Lucid Group, Inc. 2021 Employee Stock Purchase Plan, attached thereto, the “Incentive Plan”) as of March 31, 2023; and</w:t>
      </w:r>
    </w:p>
    <w:p>
      <w:pPr>
        <w:spacing w:after="0" w:line="57" w:lineRule="exact"/>
        <w:rPr>
          <w:rFonts w:ascii="Arial" w:cs="Arial" w:eastAsia="Arial" w:hAnsi="Arial"/>
          <w:sz w:val="17"/>
          <w:szCs w:val="17"/>
          <w:color w:val="auto"/>
        </w:rPr>
      </w:pPr>
    </w:p>
    <w:p>
      <w:pPr>
        <w:ind w:left="1820" w:right="419" w:hanging="186"/>
        <w:spacing w:after="0" w:line="27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 to 36,737,785 shares of our common stock issuable upon the conversion of our 1.25% Convertible Senior Notes due 2026 (the “2026 Convertible Notes”).</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8087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5507355" cy="8087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SUMMARY HISTORICAL CONSOLIDATED FINANCIAL DATA</w:t>
      </w:r>
    </w:p>
    <w:p>
      <w:pPr>
        <w:spacing w:after="0" w:line="162" w:lineRule="exact"/>
        <w:rPr>
          <w:sz w:val="20"/>
          <w:szCs w:val="20"/>
          <w:color w:val="auto"/>
        </w:rPr>
      </w:pPr>
    </w:p>
    <w:p>
      <w:pPr>
        <w:ind w:left="1280" w:right="499" w:firstLine="360"/>
        <w:spacing w:after="0" w:line="269" w:lineRule="auto"/>
        <w:rPr>
          <w:sz w:val="20"/>
          <w:szCs w:val="20"/>
          <w:color w:val="auto"/>
        </w:rPr>
      </w:pPr>
      <w:r>
        <w:rPr>
          <w:rFonts w:ascii="Arial" w:cs="Arial" w:eastAsia="Arial" w:hAnsi="Arial"/>
          <w:sz w:val="17"/>
          <w:szCs w:val="17"/>
          <w:color w:val="auto"/>
        </w:rPr>
        <w:t>The summary historical consolidated statements of operations data of Lucid for the years ended December 31, 2022, 2021 and 2020 and the summary historical consolidated balance sheets data as of December 31, 2022 and 2021 are derived from Lucid’s audited consolidated financial statements incorporated by reference into this prospectus supplement. The summary historical condensed consolidated statements of operations data of Lucid for the three months ended March 31, 2023 and 2022 and the summary historical condensed consolidated balance sheet data as of March 31, 2023 are derived from Lucid’s unaudited interim condensed consolidated financial statements incorporated by reference into this prospectus supplement. The unaudited interim condensed consolidated financial data set forth below have been prepared on the same basis as our audited annual consolidated financial statements and, in the opinion of Lucid’s management, reflect all adjustments, consisting only of normal recurring adjustments, that are necessary for the fair statement of such data.</w:t>
      </w:r>
    </w:p>
    <w:p>
      <w:pPr>
        <w:spacing w:after="0" w:line="101" w:lineRule="exact"/>
        <w:rPr>
          <w:sz w:val="20"/>
          <w:szCs w:val="20"/>
          <w:color w:val="auto"/>
        </w:rPr>
      </w:pPr>
    </w:p>
    <w:p>
      <w:pPr>
        <w:ind w:left="1280" w:right="439" w:firstLine="360"/>
        <w:spacing w:after="0" w:line="253" w:lineRule="auto"/>
        <w:rPr>
          <w:sz w:val="20"/>
          <w:szCs w:val="20"/>
          <w:color w:val="auto"/>
        </w:rPr>
      </w:pPr>
      <w:r>
        <w:rPr>
          <w:rFonts w:ascii="Arial" w:cs="Arial" w:eastAsia="Arial" w:hAnsi="Arial"/>
          <w:sz w:val="18"/>
          <w:szCs w:val="18"/>
          <w:color w:val="auto"/>
        </w:rPr>
        <w:t>Lucid’s historical results are not necessarily indicative of the results that may be expected for any other period in the future and Lucid’s results for the three months ended March 31, 2023 are not necessarily indicative of the results that may be expected for the full year ending December 31, 2023 or any other period. The following data should be read together with, and is qualified in its entirety by reference to, “Risk Factors,” “Capitalization,” “Management’s Discussion and Analysis of Financial Condition and Results of Operations” and the historical consolidated financial statements and the accompanying notes included, as applicable, in this prospectus supplement and our reports filed with the SEC incorporated by reference into this prospectus supplement. Among other things, the historical consolidated financial statements include more detailed information regarding the basis of presentation for the information in the following data.</w:t>
      </w:r>
    </w:p>
    <w:p>
      <w:pPr>
        <w:spacing w:after="0" w:line="19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Statement of Operations Data</w:t>
      </w:r>
    </w:p>
    <w:p>
      <w:pPr>
        <w:spacing w:after="0" w:line="180" w:lineRule="exact"/>
        <w:rPr>
          <w:sz w:val="20"/>
          <w:szCs w:val="20"/>
          <w:color w:val="auto"/>
        </w:rPr>
      </w:pPr>
    </w:p>
    <w:tbl>
      <w:tblPr>
        <w:tblLayout w:type="fixed"/>
        <w:tblInd w:w="1280" w:type="dxa"/>
        <w:tblCellMar>
          <w:top w:w="0" w:type="dxa"/>
          <w:left w:w="0" w:type="dxa"/>
          <w:bottom w:w="0" w:type="dxa"/>
          <w:right w:w="0" w:type="dxa"/>
        </w:tblCellMar>
      </w:tblPr>
      <w:tr>
        <w:trPr>
          <w:trHeight w:val="198"/>
        </w:trPr>
        <w:tc>
          <w:tcPr>
            <w:tcW w:w="2760" w:type="dxa"/>
            <w:vAlign w:val="bottom"/>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Three Months Ended March 31,</w:t>
            </w:r>
          </w:p>
        </w:tc>
        <w:tc>
          <w:tcPr>
            <w:tcW w:w="160" w:type="dxa"/>
            <w:vAlign w:val="bottom"/>
          </w:tcPr>
          <w:p>
            <w:pPr>
              <w:spacing w:after="0"/>
              <w:rPr>
                <w:sz w:val="17"/>
                <w:szCs w:val="17"/>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40" w:type="dxa"/>
            <w:vAlign w:val="bottom"/>
            <w:gridSpan w:val="9"/>
          </w:tcPr>
          <w:p>
            <w:pPr>
              <w:jc w:val="right"/>
              <w:ind w:right="120"/>
              <w:spacing w:after="0"/>
              <w:rPr>
                <w:sz w:val="20"/>
                <w:szCs w:val="20"/>
                <w:color w:val="auto"/>
              </w:rPr>
            </w:pPr>
            <w:r>
              <w:rPr>
                <w:rFonts w:ascii="Arial" w:cs="Arial" w:eastAsia="Arial" w:hAnsi="Arial"/>
                <w:sz w:val="14"/>
                <w:szCs w:val="14"/>
                <w:b w:val="1"/>
                <w:bCs w:val="1"/>
                <w:color w:val="auto"/>
                <w:w w:val="97"/>
              </w:rPr>
              <w:t>Fiscal Years Ended, December 31,</w:t>
            </w:r>
          </w:p>
        </w:tc>
        <w:tc>
          <w:tcPr>
            <w:tcW w:w="2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7"/>
                <w:szCs w:val="17"/>
                <w:color w:val="auto"/>
              </w:rPr>
            </w:pPr>
          </w:p>
        </w:tc>
        <w:tc>
          <w:tcPr>
            <w:tcW w:w="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560" w:type="dxa"/>
            <w:vAlign w:val="bottom"/>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7"/>
                <w:szCs w:val="17"/>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7"/>
                <w:szCs w:val="17"/>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84"/>
        </w:trPr>
        <w:tc>
          <w:tcPr>
            <w:tcW w:w="2760" w:type="dxa"/>
            <w:vAlign w:val="bottom"/>
            <w:vMerge w:val="continue"/>
          </w:tcPr>
          <w:p>
            <w:pPr>
              <w:spacing w:after="0"/>
              <w:rPr>
                <w:sz w:val="16"/>
                <w:szCs w:val="16"/>
                <w:color w:val="auto"/>
              </w:rPr>
            </w:pPr>
          </w:p>
        </w:tc>
        <w:tc>
          <w:tcPr>
            <w:tcW w:w="24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(unaudited)</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 ​</w:t>
            </w: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 ​</w:t>
            </w:r>
          </w:p>
        </w:tc>
        <w:tc>
          <w:tcPr>
            <w:tcW w:w="440" w:type="dxa"/>
            <w:vAlign w:val="bottom"/>
          </w:tcPr>
          <w:p>
            <w:pPr>
              <w:spacing w:after="0"/>
              <w:rPr>
                <w:sz w:val="16"/>
                <w:szCs w:val="16"/>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 ​</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760" w:type="dxa"/>
            <w:vAlign w:val="bottom"/>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0" w:type="dxa"/>
            <w:vAlign w:val="bottom"/>
            <w:gridSpan w:val="10"/>
          </w:tcPr>
          <w:p>
            <w:pPr>
              <w:jc w:val="right"/>
              <w:spacing w:after="0"/>
              <w:rPr>
                <w:sz w:val="20"/>
                <w:szCs w:val="20"/>
                <w:color w:val="auto"/>
              </w:rPr>
            </w:pPr>
            <w:r>
              <w:rPr>
                <w:rFonts w:ascii="Arial" w:cs="Arial" w:eastAsia="Arial" w:hAnsi="Arial"/>
                <w:sz w:val="14"/>
                <w:szCs w:val="14"/>
                <w:b w:val="1"/>
                <w:bCs w:val="1"/>
                <w:color w:val="auto"/>
                <w:w w:val="86"/>
              </w:rPr>
              <w:t>(in thousands, except share and per share data)</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340" w:type="dxa"/>
            <w:vAlign w:val="bottom"/>
            <w:gridSpan w:val="5"/>
            <w:shd w:val="clear" w:color="auto" w:fill="CCEEFF"/>
          </w:tcPr>
          <w:p>
            <w:pPr>
              <w:ind w:left="360"/>
              <w:spacing w:after="0"/>
              <w:rPr>
                <w:sz w:val="20"/>
                <w:szCs w:val="20"/>
                <w:color w:val="auto"/>
              </w:rPr>
            </w:pPr>
            <w:r>
              <w:rPr>
                <w:rFonts w:ascii="Arial" w:cs="Arial" w:eastAsia="Arial" w:hAnsi="Arial"/>
                <w:sz w:val="16"/>
                <w:szCs w:val="16"/>
                <w:color w:val="auto"/>
              </w:rPr>
              <w:t>149,432​​​​$</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57,675​​​​$</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608,181​​​​$</w:t>
            </w: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27,111​​​​$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3,976</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6"/>
                <w:szCs w:val="16"/>
                <w:b w:val="1"/>
                <w:bCs w:val="1"/>
                <w:color w:val="auto"/>
              </w:rPr>
              <w:t>Costs and expenses</w:t>
            </w:r>
            <w:r>
              <w:rPr>
                <w:rFonts w:ascii="Arial" w:cs="Arial" w:eastAsia="Arial" w:hAnsi="Arial"/>
                <w:sz w:val="19"/>
                <w:szCs w:val="19"/>
                <w:b w:val="1"/>
                <w:bCs w:val="1"/>
                <w:color w:val="auto"/>
                <w:vertAlign w:val="superscript"/>
              </w:rPr>
              <w:t>(1)</w:t>
            </w:r>
          </w:p>
        </w:tc>
        <w:tc>
          <w:tcPr>
            <w:tcW w:w="360" w:type="dxa"/>
            <w:vAlign w:val="bottom"/>
            <w:gridSpan w:val="2"/>
          </w:tcPr>
          <w:p>
            <w:pPr>
              <w:ind w:left="140"/>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 ​</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 ​</w:t>
            </w:r>
          </w:p>
        </w:tc>
        <w:tc>
          <w:tcPr>
            <w:tcW w:w="44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 ​</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500,524​​​​</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245,970​​​​ ​</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1,646,086​​​​ ​</w:t>
            </w: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154,897​​​​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3,070</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4"/>
          </w:tcPr>
          <w:p>
            <w:pPr>
              <w:jc w:val="right"/>
              <w:spacing w:after="0"/>
              <w:rPr>
                <w:sz w:val="20"/>
                <w:szCs w:val="20"/>
                <w:color w:val="auto"/>
              </w:rPr>
            </w:pPr>
            <w:r>
              <w:rPr>
                <w:rFonts w:ascii="Arial" w:cs="Arial" w:eastAsia="Arial" w:hAnsi="Arial"/>
                <w:sz w:val="16"/>
                <w:szCs w:val="16"/>
                <w:color w:val="auto"/>
              </w:rPr>
              <w:t>229,803​​​​</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1020" w:type="dxa"/>
            <w:vAlign w:val="bottom"/>
            <w:gridSpan w:val="4"/>
          </w:tcPr>
          <w:p>
            <w:pPr>
              <w:jc w:val="right"/>
              <w:ind w:right="60"/>
              <w:spacing w:after="0"/>
              <w:rPr>
                <w:sz w:val="20"/>
                <w:szCs w:val="20"/>
                <w:color w:val="auto"/>
              </w:rPr>
            </w:pPr>
            <w:r>
              <w:rPr>
                <w:rFonts w:ascii="Arial" w:cs="Arial" w:eastAsia="Arial" w:hAnsi="Arial"/>
                <w:sz w:val="16"/>
                <w:szCs w:val="16"/>
                <w:color w:val="auto"/>
              </w:rPr>
              <w:t>186,076​​​​ ​</w:t>
            </w:r>
          </w:p>
        </w:tc>
        <w:tc>
          <w:tcPr>
            <w:tcW w:w="1040" w:type="dxa"/>
            <w:vAlign w:val="bottom"/>
            <w:gridSpan w:val="4"/>
          </w:tcPr>
          <w:p>
            <w:pPr>
              <w:jc w:val="right"/>
              <w:ind w:right="60"/>
              <w:spacing w:after="0"/>
              <w:rPr>
                <w:sz w:val="20"/>
                <w:szCs w:val="20"/>
                <w:color w:val="auto"/>
              </w:rPr>
            </w:pPr>
            <w:r>
              <w:rPr>
                <w:rFonts w:ascii="Arial" w:cs="Arial" w:eastAsia="Arial" w:hAnsi="Arial"/>
                <w:sz w:val="16"/>
                <w:szCs w:val="16"/>
                <w:color w:val="auto"/>
              </w:rPr>
              <w:t>821,512​​​​ ​</w:t>
            </w:r>
          </w:p>
        </w:tc>
        <w:tc>
          <w:tcPr>
            <w:tcW w:w="1020" w:type="dxa"/>
            <w:vAlign w:val="bottom"/>
            <w:gridSpan w:val="4"/>
          </w:tcPr>
          <w:p>
            <w:pPr>
              <w:jc w:val="right"/>
              <w:ind w:right="40"/>
              <w:spacing w:after="0"/>
              <w:rPr>
                <w:sz w:val="20"/>
                <w:szCs w:val="20"/>
                <w:color w:val="auto"/>
              </w:rPr>
            </w:pPr>
            <w:r>
              <w:rPr>
                <w:rFonts w:ascii="Arial" w:cs="Arial" w:eastAsia="Arial" w:hAnsi="Arial"/>
                <w:sz w:val="16"/>
                <w:szCs w:val="16"/>
                <w:color w:val="auto"/>
              </w:rPr>
              <w:t>750,185​​​​ ​</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511,110​</w:t>
            </w: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168,770​​​​</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223,159​​​​ ​</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734,574​​​​ ​</w:t>
            </w: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652,475​​​​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6"/>
                <w:szCs w:val="16"/>
                <w:color w:val="auto"/>
              </w:rPr>
              <w:t>Restructuring Charges</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4"/>
          </w:tcPr>
          <w:p>
            <w:pPr>
              <w:jc w:val="right"/>
              <w:spacing w:after="0"/>
              <w:rPr>
                <w:sz w:val="20"/>
                <w:szCs w:val="20"/>
                <w:color w:val="auto"/>
              </w:rPr>
            </w:pPr>
            <w:r>
              <w:rPr>
                <w:rFonts w:ascii="Arial" w:cs="Arial" w:eastAsia="Arial" w:hAnsi="Arial"/>
                <w:sz w:val="16"/>
                <w:szCs w:val="16"/>
                <w:color w:val="auto"/>
              </w:rPr>
              <w:t>22,496​​​​</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6"/>
                <w:szCs w:val="16"/>
                <w:color w:val="auto"/>
              </w:rPr>
              <w:t>—​​​​ ​</w:t>
            </w:r>
          </w:p>
        </w:tc>
        <w:tc>
          <w:tcPr>
            <w:tcW w:w="46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6"/>
                <w:szCs w:val="16"/>
                <w:color w:val="auto"/>
              </w:rPr>
              <w:t>—​​​​ ​</w:t>
            </w:r>
          </w:p>
        </w:tc>
        <w:tc>
          <w:tcPr>
            <w:tcW w:w="44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6"/>
                <w:szCs w:val="16"/>
                <w:color w:val="auto"/>
              </w:rPr>
              <w:t>—​​​​ ​</w:t>
            </w: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cost and expenses</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921,593​​​​</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655,205​​​​ ​</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3,202,172​​​​ ​</w:t>
            </w: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1,557,557​​​​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603,203</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Arial" w:cs="Arial" w:eastAsia="Arial" w:hAnsi="Arial"/>
                <w:sz w:val="16"/>
                <w:szCs w:val="16"/>
                <w:color w:val="auto"/>
              </w:rPr>
              <w:t>Loss from operations</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4"/>
          </w:tcPr>
          <w:p>
            <w:pPr>
              <w:jc w:val="right"/>
              <w:spacing w:after="0"/>
              <w:rPr>
                <w:sz w:val="20"/>
                <w:szCs w:val="20"/>
                <w:color w:val="auto"/>
              </w:rPr>
            </w:pPr>
            <w:r>
              <w:rPr>
                <w:rFonts w:ascii="Arial" w:cs="Arial" w:eastAsia="Arial" w:hAnsi="Arial"/>
                <w:sz w:val="16"/>
                <w:szCs w:val="16"/>
                <w:color w:val="auto"/>
              </w:rPr>
              <w:t>(772,161​​​​)</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1020" w:type="dxa"/>
            <w:vAlign w:val="bottom"/>
            <w:gridSpan w:val="4"/>
          </w:tcPr>
          <w:p>
            <w:pPr>
              <w:jc w:val="right"/>
              <w:ind w:right="60"/>
              <w:spacing w:after="0"/>
              <w:rPr>
                <w:sz w:val="20"/>
                <w:szCs w:val="20"/>
                <w:color w:val="auto"/>
              </w:rPr>
            </w:pPr>
            <w:r>
              <w:rPr>
                <w:rFonts w:ascii="Arial" w:cs="Arial" w:eastAsia="Arial" w:hAnsi="Arial"/>
                <w:sz w:val="16"/>
                <w:szCs w:val="16"/>
                <w:color w:val="auto"/>
              </w:rPr>
              <w:t>(597,530​​​​) ​</w:t>
            </w:r>
          </w:p>
        </w:tc>
        <w:tc>
          <w:tcPr>
            <w:tcW w:w="1040" w:type="dxa"/>
            <w:vAlign w:val="bottom"/>
            <w:gridSpan w:val="4"/>
          </w:tcPr>
          <w:p>
            <w:pPr>
              <w:jc w:val="right"/>
              <w:ind w:right="60"/>
              <w:spacing w:after="0"/>
              <w:rPr>
                <w:sz w:val="20"/>
                <w:szCs w:val="20"/>
                <w:color w:val="auto"/>
              </w:rPr>
            </w:pPr>
            <w:r>
              <w:rPr>
                <w:rFonts w:ascii="Arial" w:cs="Arial" w:eastAsia="Arial" w:hAnsi="Arial"/>
                <w:sz w:val="16"/>
                <w:szCs w:val="16"/>
                <w:color w:val="auto"/>
              </w:rPr>
              <w:t>(2,593,991​​​​) ​</w:t>
            </w:r>
          </w:p>
        </w:tc>
        <w:tc>
          <w:tcPr>
            <w:tcW w:w="1020" w:type="dxa"/>
            <w:vAlign w:val="bottom"/>
            <w:gridSpan w:val="4"/>
          </w:tcPr>
          <w:p>
            <w:pPr>
              <w:jc w:val="right"/>
              <w:ind w:right="40"/>
              <w:spacing w:after="0"/>
              <w:rPr>
                <w:sz w:val="20"/>
                <w:szCs w:val="20"/>
                <w:color w:val="auto"/>
              </w:rPr>
            </w:pPr>
            <w:r>
              <w:rPr>
                <w:rFonts w:ascii="Arial" w:cs="Arial" w:eastAsia="Arial" w:hAnsi="Arial"/>
                <w:sz w:val="16"/>
                <w:szCs w:val="16"/>
                <w:color w:val="auto"/>
              </w:rPr>
              <w:t>(1,530,446​​​​) ​</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w w:val="96"/>
              </w:rPr>
              <w:t>(599,227​)</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 (expense), net</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 ​</w:t>
            </w:r>
          </w:p>
        </w:tc>
        <w:tc>
          <w:tcPr>
            <w:tcW w:w="4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 ​</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3"/>
        </w:trPr>
        <w:tc>
          <w:tcPr>
            <w:tcW w:w="2760" w:type="dxa"/>
            <w:vAlign w:val="bottom"/>
          </w:tcPr>
          <w:p>
            <w:pPr>
              <w:spacing w:after="0"/>
              <w:rPr>
                <w:sz w:val="20"/>
                <w:szCs w:val="20"/>
                <w:color w:val="auto"/>
              </w:rPr>
            </w:pPr>
            <w:r>
              <w:rPr>
                <w:rFonts w:ascii="Arial" w:cs="Arial" w:eastAsia="Arial" w:hAnsi="Arial"/>
                <w:sz w:val="16"/>
                <w:szCs w:val="16"/>
                <w:color w:val="auto"/>
              </w:rPr>
              <w:t>Change in fair value of forward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760" w:type="dxa"/>
            <w:vAlign w:val="bottom"/>
          </w:tcPr>
          <w:p>
            <w:pPr>
              <w:ind w:left="160"/>
              <w:spacing w:after="0"/>
              <w:rPr>
                <w:sz w:val="20"/>
                <w:szCs w:val="20"/>
                <w:color w:val="auto"/>
              </w:rPr>
            </w:pPr>
            <w:r>
              <w:rPr>
                <w:rFonts w:ascii="Arial" w:cs="Arial" w:eastAsia="Arial" w:hAnsi="Arial"/>
                <w:sz w:val="16"/>
                <w:szCs w:val="16"/>
                <w:color w:val="auto"/>
              </w:rPr>
              <w:t>contracts</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6"/>
                <w:szCs w:val="16"/>
                <w:color w:val="auto"/>
              </w:rPr>
              <w:t>—​​​​ ​</w:t>
            </w:r>
          </w:p>
        </w:tc>
        <w:tc>
          <w:tcPr>
            <w:tcW w:w="46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6"/>
                <w:szCs w:val="16"/>
                <w:color w:val="auto"/>
              </w:rPr>
              <w:t>—​​​​ ​</w:t>
            </w:r>
          </w:p>
        </w:tc>
        <w:tc>
          <w:tcPr>
            <w:tcW w:w="1020" w:type="dxa"/>
            <w:vAlign w:val="bottom"/>
            <w:gridSpan w:val="4"/>
          </w:tcPr>
          <w:p>
            <w:pPr>
              <w:jc w:val="right"/>
              <w:ind w:right="40"/>
              <w:spacing w:after="0"/>
              <w:rPr>
                <w:sz w:val="20"/>
                <w:szCs w:val="20"/>
                <w:color w:val="auto"/>
              </w:rPr>
            </w:pPr>
            <w:r>
              <w:rPr>
                <w:rFonts w:ascii="Arial" w:cs="Arial" w:eastAsia="Arial" w:hAnsi="Arial"/>
                <w:sz w:val="16"/>
                <w:szCs w:val="16"/>
                <w:color w:val="auto"/>
              </w:rPr>
              <w:t>(454,546​​​​) ​</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w w:val="96"/>
              </w:rPr>
              <w:t>(118,382​)</w:t>
            </w:r>
          </w:p>
        </w:tc>
        <w:tc>
          <w:tcPr>
            <w:tcW w:w="0" w:type="dxa"/>
            <w:vAlign w:val="bottom"/>
          </w:tcPr>
          <w:p>
            <w:pPr>
              <w:spacing w:after="0"/>
              <w:rPr>
                <w:sz w:val="1"/>
                <w:szCs w:val="1"/>
                <w:color w:val="auto"/>
              </w:rPr>
            </w:pPr>
          </w:p>
        </w:tc>
      </w:tr>
      <w:tr>
        <w:trPr>
          <w:trHeight w:val="182"/>
        </w:trPr>
        <w:tc>
          <w:tcPr>
            <w:tcW w:w="27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Change in fair value of convertible</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preferred stock warrant liability</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 ​</w:t>
            </w:r>
          </w:p>
        </w:tc>
        <w:tc>
          <w:tcPr>
            <w:tcW w:w="4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 ​</w:t>
            </w: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(6,976)​​​​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760" w:type="dxa"/>
            <w:vAlign w:val="bottom"/>
          </w:tcPr>
          <w:p>
            <w:pPr>
              <w:spacing w:after="0"/>
              <w:rPr>
                <w:sz w:val="20"/>
                <w:szCs w:val="20"/>
                <w:color w:val="auto"/>
              </w:rPr>
            </w:pPr>
            <w:r>
              <w:rPr>
                <w:rFonts w:ascii="Arial" w:cs="Arial" w:eastAsia="Arial" w:hAnsi="Arial"/>
                <w:sz w:val="16"/>
                <w:szCs w:val="16"/>
                <w:color w:val="auto"/>
              </w:rPr>
              <w:t>Change in fair value of common stock</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760" w:type="dxa"/>
            <w:vAlign w:val="bottom"/>
          </w:tcPr>
          <w:p>
            <w:pPr>
              <w:ind w:left="160"/>
              <w:spacing w:after="0"/>
              <w:rPr>
                <w:sz w:val="20"/>
                <w:szCs w:val="20"/>
                <w:color w:val="auto"/>
              </w:rPr>
            </w:pPr>
            <w:r>
              <w:rPr>
                <w:rFonts w:ascii="Arial" w:cs="Arial" w:eastAsia="Arial" w:hAnsi="Arial"/>
                <w:sz w:val="16"/>
                <w:szCs w:val="16"/>
                <w:color w:val="auto"/>
              </w:rPr>
              <w:t>warrant liability</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4"/>
          </w:tcPr>
          <w:p>
            <w:pPr>
              <w:jc w:val="right"/>
              <w:spacing w:after="0"/>
              <w:rPr>
                <w:sz w:val="20"/>
                <w:szCs w:val="20"/>
                <w:color w:val="auto"/>
              </w:rPr>
            </w:pPr>
            <w:r>
              <w:rPr>
                <w:rFonts w:ascii="Arial" w:cs="Arial" w:eastAsia="Arial" w:hAnsi="Arial"/>
                <w:sz w:val="16"/>
                <w:szCs w:val="16"/>
                <w:color w:val="auto"/>
              </w:rPr>
              <w:t>(40,802​​​​)</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1020" w:type="dxa"/>
            <w:vAlign w:val="bottom"/>
            <w:gridSpan w:val="4"/>
          </w:tcPr>
          <w:p>
            <w:pPr>
              <w:jc w:val="right"/>
              <w:ind w:right="60"/>
              <w:spacing w:after="0"/>
              <w:rPr>
                <w:sz w:val="20"/>
                <w:szCs w:val="20"/>
                <w:color w:val="auto"/>
              </w:rPr>
            </w:pPr>
            <w:r>
              <w:rPr>
                <w:rFonts w:ascii="Arial" w:cs="Arial" w:eastAsia="Arial" w:hAnsi="Arial"/>
                <w:sz w:val="16"/>
                <w:szCs w:val="16"/>
                <w:color w:val="auto"/>
              </w:rPr>
              <w:t>523,330​​​​ ​</w:t>
            </w:r>
          </w:p>
        </w:tc>
        <w:tc>
          <w:tcPr>
            <w:tcW w:w="1040" w:type="dxa"/>
            <w:vAlign w:val="bottom"/>
            <w:gridSpan w:val="4"/>
          </w:tcPr>
          <w:p>
            <w:pPr>
              <w:jc w:val="right"/>
              <w:ind w:right="60"/>
              <w:spacing w:after="0"/>
              <w:rPr>
                <w:sz w:val="20"/>
                <w:szCs w:val="20"/>
                <w:color w:val="auto"/>
              </w:rPr>
            </w:pPr>
            <w:r>
              <w:rPr>
                <w:rFonts w:ascii="Arial" w:cs="Arial" w:eastAsia="Arial" w:hAnsi="Arial"/>
                <w:sz w:val="16"/>
                <w:szCs w:val="16"/>
                <w:color w:val="auto"/>
              </w:rPr>
              <w:t>1,254,218​​​​ ​</w:t>
            </w:r>
          </w:p>
        </w:tc>
        <w:tc>
          <w:tcPr>
            <w:tcW w:w="1020" w:type="dxa"/>
            <w:vAlign w:val="bottom"/>
            <w:gridSpan w:val="4"/>
          </w:tcPr>
          <w:p>
            <w:pPr>
              <w:jc w:val="right"/>
              <w:ind w:right="40"/>
              <w:spacing w:after="0"/>
              <w:rPr>
                <w:sz w:val="20"/>
                <w:szCs w:val="20"/>
                <w:color w:val="auto"/>
              </w:rPr>
            </w:pPr>
            <w:r>
              <w:rPr>
                <w:rFonts w:ascii="Arial" w:cs="Arial" w:eastAsia="Arial" w:hAnsi="Arial"/>
                <w:sz w:val="16"/>
                <w:szCs w:val="16"/>
                <w:color w:val="auto"/>
              </w:rPr>
              <w:t>(582,760​​​​) ​</w:t>
            </w: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Transaction costs expensed</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 ​</w:t>
            </w:r>
          </w:p>
        </w:tc>
        <w:tc>
          <w:tcPr>
            <w:tcW w:w="46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 ​</w:t>
            </w: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(2,717​​​​) ​</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6"/>
                <w:szCs w:val="16"/>
                <w:color w:val="auto"/>
              </w:rPr>
              <w:t>Interest income</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4"/>
          </w:tcPr>
          <w:p>
            <w:pPr>
              <w:jc w:val="right"/>
              <w:spacing w:after="0"/>
              <w:rPr>
                <w:sz w:val="20"/>
                <w:szCs w:val="20"/>
                <w:color w:val="auto"/>
              </w:rPr>
            </w:pPr>
            <w:r>
              <w:rPr>
                <w:rFonts w:ascii="Arial" w:cs="Arial" w:eastAsia="Arial" w:hAnsi="Arial"/>
                <w:sz w:val="16"/>
                <w:szCs w:val="16"/>
                <w:color w:val="auto"/>
              </w:rPr>
              <w:t>40,005​​​​</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6"/>
                <w:szCs w:val="16"/>
                <w:color w:val="auto"/>
              </w:rPr>
              <w:t>—​​​​ ​</w:t>
            </w:r>
          </w:p>
        </w:tc>
        <w:tc>
          <w:tcPr>
            <w:tcW w:w="1040" w:type="dxa"/>
            <w:vAlign w:val="bottom"/>
            <w:gridSpan w:val="4"/>
          </w:tcPr>
          <w:p>
            <w:pPr>
              <w:jc w:val="right"/>
              <w:ind w:right="60"/>
              <w:spacing w:after="0"/>
              <w:rPr>
                <w:sz w:val="20"/>
                <w:szCs w:val="20"/>
                <w:color w:val="auto"/>
              </w:rPr>
            </w:pPr>
            <w:r>
              <w:rPr>
                <w:rFonts w:ascii="Arial" w:cs="Arial" w:eastAsia="Arial" w:hAnsi="Arial"/>
                <w:sz w:val="16"/>
                <w:szCs w:val="16"/>
                <w:color w:val="auto"/>
              </w:rPr>
              <w:t>56,756​​​​ ​</w:t>
            </w:r>
          </w:p>
        </w:tc>
        <w:tc>
          <w:tcPr>
            <w:tcW w:w="44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6"/>
                <w:szCs w:val="16"/>
                <w:color w:val="auto"/>
              </w:rPr>
              <w:t>—​​​​ ​</w:t>
            </w: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(7,108)​​​​</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(7,719)​​​​ ​</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(30,596)​​​​ ​</w:t>
            </w: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(1,374)​​​​ ​</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7"/>
              </w:rPr>
              <w:t>(64)</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667​​​​</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1020" w:type="dxa"/>
            <w:vAlign w:val="bottom"/>
            <w:gridSpan w:val="4"/>
          </w:tcPr>
          <w:p>
            <w:pPr>
              <w:jc w:val="right"/>
              <w:ind w:right="60"/>
              <w:spacing w:after="0"/>
              <w:rPr>
                <w:sz w:val="20"/>
                <w:szCs w:val="20"/>
                <w:color w:val="auto"/>
              </w:rPr>
            </w:pPr>
            <w:r>
              <w:rPr>
                <w:rFonts w:ascii="Arial" w:cs="Arial" w:eastAsia="Arial" w:hAnsi="Arial"/>
                <w:sz w:val="16"/>
                <w:szCs w:val="16"/>
                <w:color w:val="auto"/>
              </w:rPr>
              <w:t>956​​​​ ​</w:t>
            </w:r>
          </w:p>
        </w:tc>
        <w:tc>
          <w:tcPr>
            <w:tcW w:w="1040" w:type="dxa"/>
            <w:vAlign w:val="bottom"/>
            <w:gridSpan w:val="4"/>
          </w:tcPr>
          <w:p>
            <w:pPr>
              <w:jc w:val="right"/>
              <w:ind w:right="60"/>
              <w:spacing w:after="0"/>
              <w:rPr>
                <w:sz w:val="20"/>
                <w:szCs w:val="20"/>
                <w:color w:val="auto"/>
              </w:rPr>
            </w:pPr>
            <w:r>
              <w:rPr>
                <w:rFonts w:ascii="Arial" w:cs="Arial" w:eastAsia="Arial" w:hAnsi="Arial"/>
                <w:sz w:val="16"/>
                <w:szCs w:val="16"/>
                <w:color w:val="auto"/>
              </w:rPr>
              <w:t>9,532​​​​ ​</w:t>
            </w:r>
          </w:p>
        </w:tc>
        <w:tc>
          <w:tcPr>
            <w:tcW w:w="440" w:type="dxa"/>
            <w:vAlign w:val="bottom"/>
          </w:tcPr>
          <w:p>
            <w:pPr>
              <w:spacing w:after="0"/>
              <w:rPr>
                <w:sz w:val="17"/>
                <w:szCs w:val="17"/>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6"/>
                <w:szCs w:val="16"/>
                <w:color w:val="auto"/>
              </w:rPr>
              <w:t>(893)​​​​ ​</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other income (expense), net</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(7,238​​​​)</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516,567​​​​ ​</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1,289,910​​​​ ​</w:t>
            </w: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(1,049,266​​​​)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7"/>
              </w:rPr>
              <w:t>(120,341​)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6"/>
                <w:szCs w:val="16"/>
                <w:color w:val="auto"/>
              </w:rPr>
              <w:t>Loss before provision for income taxes</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4"/>
          </w:tcPr>
          <w:p>
            <w:pPr>
              <w:jc w:val="right"/>
              <w:spacing w:after="0"/>
              <w:rPr>
                <w:sz w:val="20"/>
                <w:szCs w:val="20"/>
                <w:color w:val="auto"/>
              </w:rPr>
            </w:pPr>
            <w:r>
              <w:rPr>
                <w:rFonts w:ascii="Arial" w:cs="Arial" w:eastAsia="Arial" w:hAnsi="Arial"/>
                <w:sz w:val="16"/>
                <w:szCs w:val="16"/>
                <w:color w:val="auto"/>
              </w:rPr>
              <w:t>(779,399)​​​​</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1020" w:type="dxa"/>
            <w:vAlign w:val="bottom"/>
            <w:gridSpan w:val="4"/>
          </w:tcPr>
          <w:p>
            <w:pPr>
              <w:jc w:val="right"/>
              <w:ind w:right="60"/>
              <w:spacing w:after="0"/>
              <w:rPr>
                <w:sz w:val="20"/>
                <w:szCs w:val="20"/>
                <w:color w:val="auto"/>
              </w:rPr>
            </w:pPr>
            <w:r>
              <w:rPr>
                <w:rFonts w:ascii="Arial" w:cs="Arial" w:eastAsia="Arial" w:hAnsi="Arial"/>
                <w:sz w:val="16"/>
                <w:szCs w:val="16"/>
                <w:color w:val="auto"/>
              </w:rPr>
              <w:t>(80,963)​​​​ ​</w:t>
            </w:r>
          </w:p>
        </w:tc>
        <w:tc>
          <w:tcPr>
            <w:tcW w:w="1040" w:type="dxa"/>
            <w:vAlign w:val="bottom"/>
            <w:gridSpan w:val="4"/>
          </w:tcPr>
          <w:p>
            <w:pPr>
              <w:jc w:val="right"/>
              <w:ind w:right="60"/>
              <w:spacing w:after="0"/>
              <w:rPr>
                <w:sz w:val="20"/>
                <w:szCs w:val="20"/>
                <w:color w:val="auto"/>
              </w:rPr>
            </w:pPr>
            <w:r>
              <w:rPr>
                <w:rFonts w:ascii="Arial" w:cs="Arial" w:eastAsia="Arial" w:hAnsi="Arial"/>
                <w:sz w:val="16"/>
                <w:szCs w:val="16"/>
                <w:color w:val="auto"/>
              </w:rPr>
              <w:t>(1,304,081)​​​​ ​</w:t>
            </w:r>
          </w:p>
        </w:tc>
        <w:tc>
          <w:tcPr>
            <w:tcW w:w="1020" w:type="dxa"/>
            <w:vAlign w:val="bottom"/>
            <w:gridSpan w:val="4"/>
          </w:tcPr>
          <w:p>
            <w:pPr>
              <w:jc w:val="right"/>
              <w:ind w:right="40"/>
              <w:spacing w:after="0"/>
              <w:rPr>
                <w:sz w:val="20"/>
                <w:szCs w:val="20"/>
                <w:color w:val="auto"/>
              </w:rPr>
            </w:pPr>
            <w:r>
              <w:rPr>
                <w:rFonts w:ascii="Arial" w:cs="Arial" w:eastAsia="Arial" w:hAnsi="Arial"/>
                <w:sz w:val="16"/>
                <w:szCs w:val="16"/>
                <w:color w:val="auto"/>
              </w:rPr>
              <w:t>(2,579,712)​​​​ ​</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w w:val="96"/>
              </w:rPr>
              <w:t>(719,568)​</w:t>
            </w:r>
          </w:p>
        </w:tc>
        <w:tc>
          <w:tcPr>
            <w:tcW w:w="0" w:type="dxa"/>
            <w:vAlign w:val="bottom"/>
          </w:tcPr>
          <w:p>
            <w:pPr>
              <w:spacing w:after="0"/>
              <w:rPr>
                <w:sz w:val="1"/>
                <w:szCs w:val="1"/>
                <w:color w:val="auto"/>
              </w:rPr>
            </w:pPr>
          </w:p>
        </w:tc>
      </w:tr>
      <w:tr>
        <w:trPr>
          <w:trHeight w:val="179"/>
        </w:trPr>
        <w:tc>
          <w:tcPr>
            <w:tcW w:w="276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Provision for (benefit from) income</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taxes</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323​​​​ ​</w:t>
            </w:r>
          </w:p>
        </w:tc>
        <w:tc>
          <w:tcPr>
            <w:tcW w:w="4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379​​​​ ​</w:t>
            </w:r>
          </w:p>
        </w:tc>
        <w:tc>
          <w:tcPr>
            <w:tcW w:w="4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49​​​​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6"/>
                <w:szCs w:val="16"/>
                <w:b w:val="1"/>
                <w:bCs w:val="1"/>
                <w:color w:val="auto"/>
              </w:rPr>
              <w:t>Net loss</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4"/>
          </w:tcPr>
          <w:p>
            <w:pPr>
              <w:jc w:val="right"/>
              <w:spacing w:after="0"/>
              <w:rPr>
                <w:sz w:val="20"/>
                <w:szCs w:val="20"/>
                <w:color w:val="auto"/>
              </w:rPr>
            </w:pPr>
            <w:r>
              <w:rPr>
                <w:rFonts w:ascii="Arial" w:cs="Arial" w:eastAsia="Arial" w:hAnsi="Arial"/>
                <w:sz w:val="16"/>
                <w:szCs w:val="16"/>
                <w:color w:val="auto"/>
              </w:rPr>
              <w:t>(779,528​​​​)</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1020" w:type="dxa"/>
            <w:vAlign w:val="bottom"/>
            <w:gridSpan w:val="4"/>
          </w:tcPr>
          <w:p>
            <w:pPr>
              <w:jc w:val="right"/>
              <w:ind w:right="60"/>
              <w:spacing w:after="0"/>
              <w:rPr>
                <w:sz w:val="20"/>
                <w:szCs w:val="20"/>
                <w:color w:val="auto"/>
              </w:rPr>
            </w:pPr>
            <w:r>
              <w:rPr>
                <w:rFonts w:ascii="Arial" w:cs="Arial" w:eastAsia="Arial" w:hAnsi="Arial"/>
                <w:sz w:val="16"/>
                <w:szCs w:val="16"/>
                <w:color w:val="auto"/>
              </w:rPr>
              <w:t>(81,286​​​​) ​</w:t>
            </w:r>
          </w:p>
        </w:tc>
        <w:tc>
          <w:tcPr>
            <w:tcW w:w="1040" w:type="dxa"/>
            <w:vAlign w:val="bottom"/>
            <w:gridSpan w:val="4"/>
          </w:tcPr>
          <w:p>
            <w:pPr>
              <w:jc w:val="right"/>
              <w:ind w:right="60"/>
              <w:spacing w:after="0"/>
              <w:rPr>
                <w:sz w:val="20"/>
                <w:szCs w:val="20"/>
                <w:color w:val="auto"/>
              </w:rPr>
            </w:pPr>
            <w:r>
              <w:rPr>
                <w:rFonts w:ascii="Arial" w:cs="Arial" w:eastAsia="Arial" w:hAnsi="Arial"/>
                <w:sz w:val="16"/>
                <w:szCs w:val="16"/>
                <w:color w:val="auto"/>
              </w:rPr>
              <w:t>(1,304,460​​​​) ​</w:t>
            </w:r>
          </w:p>
        </w:tc>
        <w:tc>
          <w:tcPr>
            <w:tcW w:w="1020" w:type="dxa"/>
            <w:vAlign w:val="bottom"/>
            <w:gridSpan w:val="4"/>
          </w:tcPr>
          <w:p>
            <w:pPr>
              <w:jc w:val="right"/>
              <w:ind w:right="40"/>
              <w:spacing w:after="0"/>
              <w:rPr>
                <w:sz w:val="20"/>
                <w:szCs w:val="20"/>
                <w:color w:val="auto"/>
              </w:rPr>
            </w:pPr>
            <w:r>
              <w:rPr>
                <w:rFonts w:ascii="Arial" w:cs="Arial" w:eastAsia="Arial" w:hAnsi="Arial"/>
                <w:sz w:val="16"/>
                <w:szCs w:val="16"/>
                <w:color w:val="auto"/>
              </w:rPr>
              <w:t>(2,579,761​​​​) ​</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w w:val="96"/>
              </w:rPr>
              <w:t>(719,380​)</w:t>
            </w:r>
          </w:p>
        </w:tc>
        <w:tc>
          <w:tcPr>
            <w:tcW w:w="0" w:type="dxa"/>
            <w:vAlign w:val="bottom"/>
          </w:tcPr>
          <w:p>
            <w:pPr>
              <w:spacing w:after="0"/>
              <w:rPr>
                <w:sz w:val="1"/>
                <w:szCs w:val="1"/>
                <w:color w:val="auto"/>
              </w:rPr>
            </w:pPr>
          </w:p>
        </w:tc>
      </w:tr>
      <w:tr>
        <w:trPr>
          <w:trHeight w:val="193"/>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Deemed contribution related to</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repurchase of Series B convertible</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preferred stock</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 ​</w:t>
            </w:r>
          </w:p>
        </w:tc>
        <w:tc>
          <w:tcPr>
            <w:tcW w:w="4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 ​</w:t>
            </w:r>
          </w:p>
        </w:tc>
        <w:tc>
          <w:tcPr>
            <w:tcW w:w="4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0" w:right="1440" w:bottom="1440" w:gutter="0" w:footer="0" w:header="0"/>
        </w:sectPr>
      </w:pPr>
    </w:p>
    <w:p>
      <w:pPr>
        <w:spacing w:after="0" w:line="258"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81051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5507355" cy="810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198"/>
        </w:trPr>
        <w:tc>
          <w:tcPr>
            <w:tcW w:w="286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2020" w:type="dxa"/>
            <w:vAlign w:val="bottom"/>
            <w:gridSpan w:val="5"/>
          </w:tcPr>
          <w:p>
            <w:pPr>
              <w:jc w:val="center"/>
              <w:ind w:right="41"/>
              <w:spacing w:after="0"/>
              <w:rPr>
                <w:sz w:val="20"/>
                <w:szCs w:val="20"/>
                <w:color w:val="auto"/>
              </w:rPr>
            </w:pPr>
            <w:r>
              <w:rPr>
                <w:rFonts w:ascii="Arial" w:cs="Arial" w:eastAsia="Arial" w:hAnsi="Arial"/>
                <w:sz w:val="14"/>
                <w:szCs w:val="14"/>
                <w:b w:val="1"/>
                <w:bCs w:val="1"/>
                <w:color w:val="auto"/>
                <w:w w:val="91"/>
              </w:rPr>
              <w:t>Three Months Ended March 31,</w:t>
            </w:r>
          </w:p>
        </w:tc>
        <w:tc>
          <w:tcPr>
            <w:tcW w:w="3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520" w:type="dxa"/>
            <w:vAlign w:val="bottom"/>
            <w:gridSpan w:val="9"/>
          </w:tcPr>
          <w:p>
            <w:pPr>
              <w:jc w:val="right"/>
              <w:ind w:right="181"/>
              <w:spacing w:after="0"/>
              <w:rPr>
                <w:sz w:val="20"/>
                <w:szCs w:val="20"/>
                <w:color w:val="auto"/>
              </w:rPr>
            </w:pPr>
            <w:r>
              <w:rPr>
                <w:rFonts w:ascii="Arial" w:cs="Arial" w:eastAsia="Arial" w:hAnsi="Arial"/>
                <w:sz w:val="14"/>
                <w:szCs w:val="14"/>
                <w:b w:val="1"/>
                <w:bCs w:val="1"/>
                <w:color w:val="auto"/>
                <w:w w:val="98"/>
              </w:rPr>
              <w:t>Fiscal Years Ended, December 31,</w:t>
            </w:r>
          </w:p>
        </w:tc>
        <w:tc>
          <w:tcPr>
            <w:tcW w:w="22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86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7"/>
                <w:szCs w:val="17"/>
                <w:color w:val="auto"/>
              </w:rPr>
            </w:pPr>
          </w:p>
        </w:tc>
        <w:tc>
          <w:tcPr>
            <w:tcW w:w="440" w:type="dxa"/>
            <w:vAlign w:val="bottom"/>
            <w:gridSpan w:val="2"/>
          </w:tcPr>
          <w:p>
            <w:pPr>
              <w:jc w:val="center"/>
              <w:ind w:right="20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301"/>
              <w:spacing w:after="0"/>
              <w:rPr>
                <w:sz w:val="20"/>
                <w:szCs w:val="20"/>
                <w:color w:val="auto"/>
              </w:rPr>
            </w:pPr>
            <w:r>
              <w:rPr>
                <w:rFonts w:ascii="Arial" w:cs="Arial" w:eastAsia="Arial" w:hAnsi="Arial"/>
                <w:sz w:val="14"/>
                <w:szCs w:val="14"/>
                <w:b w:val="1"/>
                <w:bCs w:val="1"/>
                <w:color w:val="auto"/>
                <w:w w:val="96"/>
              </w:rPr>
              <w:t>2022</w:t>
            </w:r>
          </w:p>
        </w:tc>
        <w:tc>
          <w:tcPr>
            <w:tcW w:w="3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2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7"/>
                <w:szCs w:val="17"/>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286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700" w:type="dxa"/>
            <w:vAlign w:val="bottom"/>
          </w:tcPr>
          <w:p>
            <w:pPr>
              <w:spacing w:after="0"/>
              <w:rPr>
                <w:sz w:val="17"/>
                <w:szCs w:val="17"/>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 ​</w:t>
            </w:r>
          </w:p>
        </w:tc>
        <w:tc>
          <w:tcPr>
            <w:tcW w:w="540" w:type="dxa"/>
            <w:vAlign w:val="bottom"/>
          </w:tcPr>
          <w:p>
            <w:pPr>
              <w:spacing w:after="0"/>
              <w:rPr>
                <w:sz w:val="17"/>
                <w:szCs w:val="17"/>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 ​</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 ​</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98"/>
        </w:trPr>
        <w:tc>
          <w:tcPr>
            <w:tcW w:w="2860" w:type="dxa"/>
            <w:vAlign w:val="bottom"/>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gridSpan w:val="9"/>
          </w:tcPr>
          <w:p>
            <w:pPr>
              <w:jc w:val="right"/>
              <w:spacing w:after="0"/>
              <w:rPr>
                <w:sz w:val="20"/>
                <w:szCs w:val="20"/>
                <w:color w:val="auto"/>
              </w:rPr>
            </w:pPr>
            <w:r>
              <w:rPr>
                <w:rFonts w:ascii="Arial" w:cs="Arial" w:eastAsia="Arial" w:hAnsi="Arial"/>
                <w:sz w:val="14"/>
                <w:szCs w:val="14"/>
                <w:b w:val="1"/>
                <w:bCs w:val="1"/>
                <w:color w:val="auto"/>
                <w:w w:val="89"/>
              </w:rPr>
              <w:t>(in thousands, except share and per share data)</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Deemed contribution related to</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2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repurchase of Series C convertible</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12"/>
        </w:trPr>
        <w:tc>
          <w:tcPr>
            <w:tcW w:w="2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preferred stock</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w:t>
            </w:r>
          </w:p>
        </w:tc>
        <w:tc>
          <w:tcPr>
            <w:tcW w:w="5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8"/>
              <w:spacing w:after="0"/>
              <w:rPr>
                <w:sz w:val="20"/>
                <w:szCs w:val="20"/>
                <w:color w:val="auto"/>
              </w:rPr>
            </w:pPr>
            <w:r>
              <w:rPr>
                <w:rFonts w:ascii="Arial" w:cs="Arial" w:eastAsia="Arial" w:hAnsi="Arial"/>
                <w:sz w:val="16"/>
                <w:szCs w:val="16"/>
                <w:color w:val="auto"/>
              </w:rPr>
              <w:t>—​​​​ ​</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5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 ​</w:t>
            </w:r>
          </w:p>
        </w:tc>
        <w:tc>
          <w:tcPr>
            <w:tcW w:w="5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 ​</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12,784</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2860" w:type="dxa"/>
            <w:vAlign w:val="bottom"/>
          </w:tcPr>
          <w:p>
            <w:pPr>
              <w:spacing w:after="0"/>
              <w:rPr>
                <w:sz w:val="20"/>
                <w:szCs w:val="20"/>
                <w:color w:val="auto"/>
              </w:rPr>
            </w:pPr>
            <w:r>
              <w:rPr>
                <w:rFonts w:ascii="Arial" w:cs="Arial" w:eastAsia="Arial" w:hAnsi="Arial"/>
                <w:sz w:val="16"/>
                <w:szCs w:val="16"/>
                <w:color w:val="auto"/>
                <w:w w:val="97"/>
              </w:rPr>
              <w:t>Deemed dividend related to the issuance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2860" w:type="dxa"/>
            <w:vAlign w:val="bottom"/>
          </w:tcPr>
          <w:p>
            <w:pPr>
              <w:ind w:left="160"/>
              <w:spacing w:after="0"/>
              <w:rPr>
                <w:sz w:val="20"/>
                <w:szCs w:val="20"/>
                <w:color w:val="auto"/>
              </w:rPr>
            </w:pPr>
            <w:r>
              <w:rPr>
                <w:rFonts w:ascii="Arial" w:cs="Arial" w:eastAsia="Arial" w:hAnsi="Arial"/>
                <w:sz w:val="16"/>
                <w:szCs w:val="16"/>
                <w:color w:val="auto"/>
              </w:rPr>
              <w:t>of Series E convertible preferred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2"/>
        </w:trPr>
        <w:tc>
          <w:tcPr>
            <w:tcW w:w="2860" w:type="dxa"/>
            <w:vAlign w:val="bottom"/>
          </w:tcPr>
          <w:p>
            <w:pPr>
              <w:ind w:left="160"/>
              <w:spacing w:after="0"/>
              <w:rPr>
                <w:sz w:val="20"/>
                <w:szCs w:val="20"/>
                <w:color w:val="auto"/>
              </w:rPr>
            </w:pPr>
            <w:r>
              <w:rPr>
                <w:rFonts w:ascii="Arial" w:cs="Arial" w:eastAsia="Arial" w:hAnsi="Arial"/>
                <w:sz w:val="16"/>
                <w:szCs w:val="16"/>
                <w:color w:val="auto"/>
              </w:rPr>
              <w:t>stock</w:t>
            </w: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 ​</w:t>
            </w:r>
          </w:p>
        </w:tc>
        <w:tc>
          <w:tcPr>
            <w:tcW w:w="560" w:type="dxa"/>
            <w:vAlign w:val="bottom"/>
          </w:tcPr>
          <w:p>
            <w:pPr>
              <w:spacing w:after="0"/>
              <w:rPr>
                <w:sz w:val="18"/>
                <w:szCs w:val="18"/>
                <w:color w:val="auto"/>
              </w:rPr>
            </w:pPr>
          </w:p>
        </w:tc>
        <w:tc>
          <w:tcPr>
            <w:tcW w:w="760" w:type="dxa"/>
            <w:vAlign w:val="bottom"/>
            <w:gridSpan w:val="3"/>
          </w:tcPr>
          <w:p>
            <w:pPr>
              <w:jc w:val="right"/>
              <w:ind w:right="128"/>
              <w:spacing w:after="0"/>
              <w:rPr>
                <w:sz w:val="20"/>
                <w:szCs w:val="20"/>
                <w:color w:val="auto"/>
              </w:rPr>
            </w:pPr>
            <w:r>
              <w:rPr>
                <w:rFonts w:ascii="Arial" w:cs="Arial" w:eastAsia="Arial" w:hAnsi="Arial"/>
                <w:sz w:val="16"/>
                <w:szCs w:val="16"/>
                <w:color w:val="auto"/>
              </w:rPr>
              <w:t>—​​​​ ​</w:t>
            </w:r>
          </w:p>
        </w:tc>
        <w:tc>
          <w:tcPr>
            <w:tcW w:w="1020" w:type="dxa"/>
            <w:vAlign w:val="bottom"/>
            <w:gridSpan w:val="3"/>
          </w:tcPr>
          <w:p>
            <w:pPr>
              <w:jc w:val="right"/>
              <w:ind w:right="100"/>
              <w:spacing w:after="0"/>
              <w:rPr>
                <w:sz w:val="20"/>
                <w:szCs w:val="20"/>
                <w:color w:val="auto"/>
              </w:rPr>
            </w:pPr>
            <w:r>
              <w:rPr>
                <w:rFonts w:ascii="Arial" w:cs="Arial" w:eastAsia="Arial" w:hAnsi="Arial"/>
                <w:sz w:val="16"/>
                <w:szCs w:val="16"/>
                <w:color w:val="auto"/>
              </w:rPr>
              <w:t>—​​​​ ​</w:t>
            </w:r>
          </w:p>
        </w:tc>
        <w:tc>
          <w:tcPr>
            <w:tcW w:w="54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6"/>
                <w:szCs w:val="16"/>
                <w:color w:val="auto"/>
              </w:rPr>
              <w:t>—​​​​ ​</w:t>
            </w:r>
          </w:p>
        </w:tc>
        <w:tc>
          <w:tcPr>
            <w:tcW w:w="1020" w:type="dxa"/>
            <w:vAlign w:val="bottom"/>
            <w:gridSpan w:val="4"/>
          </w:tcPr>
          <w:p>
            <w:pPr>
              <w:jc w:val="right"/>
              <w:ind w:right="60"/>
              <w:spacing w:after="0"/>
              <w:rPr>
                <w:sz w:val="20"/>
                <w:szCs w:val="20"/>
                <w:color w:val="auto"/>
              </w:rPr>
            </w:pPr>
            <w:r>
              <w:rPr>
                <w:rFonts w:ascii="Arial" w:cs="Arial" w:eastAsia="Arial" w:hAnsi="Arial"/>
                <w:sz w:val="16"/>
                <w:szCs w:val="16"/>
                <w:color w:val="auto"/>
              </w:rPr>
              <w:t>(2,167,332)​​​​ ​</w:t>
            </w:r>
          </w:p>
        </w:tc>
        <w:tc>
          <w:tcPr>
            <w:tcW w:w="4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2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loss attributable to common</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86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stockholders, basic</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w:t>
            </w:r>
          </w:p>
        </w:tc>
        <w:tc>
          <w:tcPr>
            <w:tcW w:w="1320" w:type="dxa"/>
            <w:vAlign w:val="bottom"/>
            <w:gridSpan w:val="4"/>
            <w:shd w:val="clear" w:color="auto" w:fill="CCEEFF"/>
          </w:tcPr>
          <w:p>
            <w:pPr>
              <w:jc w:val="right"/>
              <w:ind w:right="128"/>
              <w:spacing w:after="0"/>
              <w:rPr>
                <w:sz w:val="20"/>
                <w:szCs w:val="20"/>
                <w:color w:val="auto"/>
              </w:rPr>
            </w:pPr>
            <w:r>
              <w:rPr>
                <w:rFonts w:ascii="Arial" w:cs="Arial" w:eastAsia="Arial" w:hAnsi="Arial"/>
                <w:sz w:val="16"/>
                <w:szCs w:val="16"/>
                <w:color w:val="auto"/>
              </w:rPr>
              <w:t>(779,528)​​​​ ​</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(81,286)​​​​ ​</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(1,304,460)​​​​ ​</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(4,747,093)​​​​ ​</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0"/>
              </w:rPr>
              <w:t>(705,596)</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2860" w:type="dxa"/>
            <w:vAlign w:val="bottom"/>
          </w:tcPr>
          <w:p>
            <w:pPr>
              <w:spacing w:after="0"/>
              <w:rPr>
                <w:sz w:val="20"/>
                <w:szCs w:val="20"/>
                <w:color w:val="auto"/>
              </w:rPr>
            </w:pPr>
            <w:r>
              <w:rPr>
                <w:rFonts w:ascii="Arial" w:cs="Arial" w:eastAsia="Arial" w:hAnsi="Arial"/>
                <w:sz w:val="16"/>
                <w:szCs w:val="16"/>
                <w:color w:val="auto"/>
              </w:rPr>
              <w:t>Change in fair value of dilutive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2860" w:type="dxa"/>
            <w:vAlign w:val="bottom"/>
          </w:tcPr>
          <w:p>
            <w:pPr>
              <w:ind w:left="160"/>
              <w:spacing w:after="0"/>
              <w:rPr>
                <w:sz w:val="20"/>
                <w:szCs w:val="20"/>
                <w:color w:val="auto"/>
              </w:rPr>
            </w:pPr>
            <w:r>
              <w:rPr>
                <w:rFonts w:ascii="Arial" w:cs="Arial" w:eastAsia="Arial" w:hAnsi="Arial"/>
                <w:sz w:val="16"/>
                <w:szCs w:val="16"/>
                <w:color w:val="auto"/>
              </w:rPr>
              <w:t>warrants</w:t>
            </w: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 ​</w:t>
            </w:r>
          </w:p>
        </w:tc>
        <w:tc>
          <w:tcPr>
            <w:tcW w:w="560" w:type="dxa"/>
            <w:vAlign w:val="bottom"/>
          </w:tcPr>
          <w:p>
            <w:pPr>
              <w:spacing w:after="0"/>
              <w:rPr>
                <w:sz w:val="18"/>
                <w:szCs w:val="18"/>
                <w:color w:val="auto"/>
              </w:rPr>
            </w:pPr>
          </w:p>
        </w:tc>
        <w:tc>
          <w:tcPr>
            <w:tcW w:w="760" w:type="dxa"/>
            <w:vAlign w:val="bottom"/>
            <w:gridSpan w:val="3"/>
          </w:tcPr>
          <w:p>
            <w:pPr>
              <w:jc w:val="right"/>
              <w:ind w:right="128"/>
              <w:spacing w:after="0"/>
              <w:rPr>
                <w:sz w:val="20"/>
                <w:szCs w:val="20"/>
                <w:color w:val="auto"/>
              </w:rPr>
            </w:pPr>
            <w:r>
              <w:rPr>
                <w:rFonts w:ascii="Arial" w:cs="Arial" w:eastAsia="Arial" w:hAnsi="Arial"/>
                <w:sz w:val="16"/>
                <w:szCs w:val="16"/>
                <w:color w:val="auto"/>
              </w:rPr>
              <w:t>—​​​​ ​</w:t>
            </w:r>
          </w:p>
        </w:tc>
        <w:tc>
          <w:tcPr>
            <w:tcW w:w="1020" w:type="dxa"/>
            <w:vAlign w:val="bottom"/>
            <w:gridSpan w:val="3"/>
          </w:tcPr>
          <w:p>
            <w:pPr>
              <w:jc w:val="right"/>
              <w:ind w:right="100"/>
              <w:spacing w:after="0"/>
              <w:rPr>
                <w:sz w:val="20"/>
                <w:szCs w:val="20"/>
                <w:color w:val="auto"/>
              </w:rPr>
            </w:pPr>
            <w:r>
              <w:rPr>
                <w:rFonts w:ascii="Arial" w:cs="Arial" w:eastAsia="Arial" w:hAnsi="Arial"/>
                <w:sz w:val="16"/>
                <w:szCs w:val="16"/>
                <w:color w:val="auto"/>
              </w:rPr>
              <w:t>(523,330)​​​​ ​</w:t>
            </w:r>
          </w:p>
        </w:tc>
        <w:tc>
          <w:tcPr>
            <w:tcW w:w="1080" w:type="dxa"/>
            <w:vAlign w:val="bottom"/>
            <w:gridSpan w:val="4"/>
          </w:tcPr>
          <w:p>
            <w:pPr>
              <w:jc w:val="right"/>
              <w:ind w:right="40"/>
              <w:spacing w:after="0"/>
              <w:rPr>
                <w:sz w:val="20"/>
                <w:szCs w:val="20"/>
                <w:color w:val="auto"/>
              </w:rPr>
            </w:pPr>
            <w:r>
              <w:rPr>
                <w:rFonts w:ascii="Arial" w:cs="Arial" w:eastAsia="Arial" w:hAnsi="Arial"/>
                <w:sz w:val="16"/>
                <w:szCs w:val="16"/>
                <w:color w:val="auto"/>
              </w:rPr>
              <w:t>(1,254,218)​​​​ ​</w:t>
            </w:r>
          </w:p>
        </w:tc>
        <w:tc>
          <w:tcPr>
            <w:tcW w:w="50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6"/>
                <w:szCs w:val="16"/>
                <w:color w:val="auto"/>
              </w:rPr>
              <w:t>—​​​​ ​</w:t>
            </w:r>
          </w:p>
        </w:tc>
        <w:tc>
          <w:tcPr>
            <w:tcW w:w="4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2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loss attributable to common</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86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stockholders, diluted</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w:t>
            </w:r>
          </w:p>
        </w:tc>
        <w:tc>
          <w:tcPr>
            <w:tcW w:w="1320" w:type="dxa"/>
            <w:vAlign w:val="bottom"/>
            <w:gridSpan w:val="4"/>
            <w:shd w:val="clear" w:color="auto" w:fill="CCEEFF"/>
          </w:tcPr>
          <w:p>
            <w:pPr>
              <w:jc w:val="right"/>
              <w:ind w:right="128"/>
              <w:spacing w:after="0"/>
              <w:rPr>
                <w:sz w:val="20"/>
                <w:szCs w:val="20"/>
                <w:color w:val="auto"/>
              </w:rPr>
            </w:pPr>
            <w:r>
              <w:rPr>
                <w:rFonts w:ascii="Arial" w:cs="Arial" w:eastAsia="Arial" w:hAnsi="Arial"/>
                <w:sz w:val="16"/>
                <w:szCs w:val="16"/>
                <w:color w:val="auto"/>
              </w:rPr>
              <w:t>(779,528​​​​) ​</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(604,616​​​​) ​</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(2,558,678​​​​) ​</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(4,747,093​​​​) ​</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0"/>
              </w:rPr>
              <w:t>(705,596​)</w:t>
            </w:r>
          </w:p>
        </w:tc>
        <w:tc>
          <w:tcPr>
            <w:tcW w:w="60" w:type="dxa"/>
            <w:vAlign w:val="bottom"/>
          </w:tcPr>
          <w:p>
            <w:pPr>
              <w:spacing w:after="0"/>
              <w:rPr>
                <w:sz w:val="18"/>
                <w:szCs w:val="18"/>
                <w:color w:val="auto"/>
              </w:rPr>
            </w:pPr>
          </w:p>
        </w:tc>
      </w:tr>
      <w:tr>
        <w:trPr>
          <w:trHeight w:val="193"/>
        </w:trPr>
        <w:tc>
          <w:tcPr>
            <w:tcW w:w="2860" w:type="dxa"/>
            <w:vAlign w:val="bottom"/>
          </w:tcPr>
          <w:p>
            <w:pPr>
              <w:spacing w:after="0"/>
              <w:rPr>
                <w:sz w:val="20"/>
                <w:szCs w:val="20"/>
                <w:color w:val="auto"/>
              </w:rPr>
            </w:pPr>
            <w:r>
              <w:rPr>
                <w:rFonts w:ascii="Arial" w:cs="Arial" w:eastAsia="Arial" w:hAnsi="Arial"/>
                <w:sz w:val="16"/>
                <w:szCs w:val="16"/>
                <w:color w:val="auto"/>
                <w:w w:val="92"/>
              </w:rPr>
              <w:t>Weighted average shares outstanding used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2860" w:type="dxa"/>
            <w:vAlign w:val="bottom"/>
          </w:tcPr>
          <w:p>
            <w:pPr>
              <w:ind w:left="160"/>
              <w:spacing w:after="0"/>
              <w:rPr>
                <w:sz w:val="20"/>
                <w:szCs w:val="20"/>
                <w:color w:val="auto"/>
              </w:rPr>
            </w:pPr>
            <w:r>
              <w:rPr>
                <w:rFonts w:ascii="Arial" w:cs="Arial" w:eastAsia="Arial" w:hAnsi="Arial"/>
                <w:sz w:val="16"/>
                <w:szCs w:val="16"/>
                <w:color w:val="auto"/>
              </w:rPr>
              <w:t>in computing net loss per share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2860" w:type="dxa"/>
            <w:vAlign w:val="bottom"/>
          </w:tcPr>
          <w:p>
            <w:pPr>
              <w:ind w:left="160"/>
              <w:spacing w:after="0"/>
              <w:rPr>
                <w:sz w:val="20"/>
                <w:szCs w:val="20"/>
                <w:color w:val="auto"/>
              </w:rPr>
            </w:pPr>
            <w:r>
              <w:rPr>
                <w:rFonts w:ascii="Arial" w:cs="Arial" w:eastAsia="Arial" w:hAnsi="Arial"/>
                <w:sz w:val="16"/>
                <w:szCs w:val="16"/>
                <w:color w:val="auto"/>
              </w:rPr>
              <w:t>attributable to common stockholders,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2"/>
        </w:trPr>
        <w:tc>
          <w:tcPr>
            <w:tcW w:w="2860" w:type="dxa"/>
            <w:vAlign w:val="bottom"/>
          </w:tcPr>
          <w:p>
            <w:pPr>
              <w:ind w:left="160"/>
              <w:spacing w:after="0"/>
              <w:rPr>
                <w:sz w:val="20"/>
                <w:szCs w:val="20"/>
                <w:color w:val="auto"/>
              </w:rPr>
            </w:pPr>
            <w:r>
              <w:rPr>
                <w:rFonts w:ascii="Arial" w:cs="Arial" w:eastAsia="Arial" w:hAnsi="Arial"/>
                <w:sz w:val="16"/>
                <w:szCs w:val="16"/>
                <w:color w:val="auto"/>
              </w:rPr>
              <w:t>basic</w:t>
            </w:r>
          </w:p>
        </w:tc>
        <w:tc>
          <w:tcPr>
            <w:tcW w:w="5400" w:type="dxa"/>
            <w:vAlign w:val="bottom"/>
            <w:gridSpan w:val="20"/>
          </w:tcPr>
          <w:p>
            <w:pPr>
              <w:jc w:val="right"/>
              <w:spacing w:after="0"/>
              <w:rPr>
                <w:sz w:val="20"/>
                <w:szCs w:val="20"/>
                <w:color w:val="auto"/>
              </w:rPr>
            </w:pPr>
            <w:r>
              <w:rPr>
                <w:rFonts w:ascii="Arial" w:cs="Arial" w:eastAsia="Arial" w:hAnsi="Arial"/>
                <w:sz w:val="16"/>
                <w:szCs w:val="16"/>
                <w:color w:val="auto"/>
              </w:rPr>
              <w:t>​​​ ​1,831,725,009​​​​ ​1,654,322,379​​​​ ​1,678,346,079​​​​ ​740,393,759​​​​ ​24,825,944​</w:t>
            </w:r>
          </w:p>
        </w:tc>
      </w:tr>
      <w:tr>
        <w:trPr>
          <w:trHeight w:val="20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w w:val="92"/>
              </w:rPr>
              <w:t>Weighted average shares outstanding used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2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 computing net loss per share</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2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attributable to common stockholders,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2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5340" w:type="dxa"/>
            <w:vAlign w:val="bottom"/>
            <w:gridSpan w:val="19"/>
            <w:shd w:val="clear" w:color="auto" w:fill="CCEEFF"/>
          </w:tcPr>
          <w:p>
            <w:pPr>
              <w:ind w:left="40"/>
              <w:spacing w:after="0"/>
              <w:rPr>
                <w:sz w:val="20"/>
                <w:szCs w:val="20"/>
                <w:color w:val="auto"/>
              </w:rPr>
            </w:pPr>
            <w:r>
              <w:rPr>
                <w:rFonts w:ascii="Arial" w:cs="Arial" w:eastAsia="Arial" w:hAnsi="Arial"/>
                <w:sz w:val="16"/>
                <w:szCs w:val="16"/>
                <w:color w:val="auto"/>
              </w:rPr>
              <w:t>​​​ ​1,831,725,009​​​​ ​1,681,545,859​​​​ ​1,693,258,608​​​​ ​740,393,759​​​​ ​24,825,944​</w:t>
            </w:r>
          </w:p>
        </w:tc>
        <w:tc>
          <w:tcPr>
            <w:tcW w:w="60" w:type="dxa"/>
            <w:vAlign w:val="bottom"/>
          </w:tcPr>
          <w:p>
            <w:pPr>
              <w:spacing w:after="0"/>
              <w:rPr>
                <w:sz w:val="18"/>
                <w:szCs w:val="18"/>
                <w:color w:val="auto"/>
              </w:rPr>
            </w:pPr>
          </w:p>
        </w:tc>
      </w:tr>
    </w:tbl>
    <w:p>
      <w:pPr>
        <w:spacing w:after="0" w:line="4" w:lineRule="exact"/>
        <w:rPr>
          <w:sz w:val="20"/>
          <w:szCs w:val="20"/>
          <w:color w:val="auto"/>
        </w:rPr>
      </w:pPr>
    </w:p>
    <w:p>
      <w:pPr>
        <w:sectPr>
          <w:pgSz w:w="11900" w:h="16838" w:orient="portrait"/>
          <w:cols w:equalWidth="0" w:num="1">
            <w:col w:w="9879"/>
          </w:cols>
          <w:pgMar w:left="580" w:top="90" w:right="1440" w:bottom="1440" w:gutter="0" w:footer="0" w:header="0"/>
        </w:sectPr>
      </w:pPr>
    </w:p>
    <w:p>
      <w:pPr>
        <w:ind w:left="1440" w:hanging="161"/>
        <w:spacing w:after="0" w:line="272" w:lineRule="auto"/>
        <w:rPr>
          <w:sz w:val="20"/>
          <w:szCs w:val="20"/>
          <w:color w:val="auto"/>
        </w:rPr>
      </w:pPr>
      <w:r>
        <w:rPr>
          <w:rFonts w:ascii="Arial" w:cs="Arial" w:eastAsia="Arial" w:hAnsi="Arial"/>
          <w:sz w:val="16"/>
          <w:szCs w:val="16"/>
          <w:color w:val="auto"/>
        </w:rPr>
        <w:t>Net loss per share attributable to common stockholders, basic</w:t>
      </w:r>
    </w:p>
    <w:p>
      <w:pPr>
        <w:spacing w:after="0" w:line="1" w:lineRule="exact"/>
        <w:rPr>
          <w:sz w:val="20"/>
          <w:szCs w:val="20"/>
          <w:color w:val="auto"/>
        </w:rPr>
      </w:pPr>
    </w:p>
    <w:p>
      <w:pPr>
        <w:ind w:left="1440" w:hanging="161"/>
        <w:spacing w:after="0" w:line="266" w:lineRule="auto"/>
        <w:rPr>
          <w:sz w:val="20"/>
          <w:szCs w:val="20"/>
          <w:color w:val="auto"/>
        </w:rPr>
      </w:pPr>
      <w:r>
        <w:rPr>
          <w:rFonts w:ascii="Arial" w:cs="Arial" w:eastAsia="Arial" w:hAnsi="Arial"/>
          <w:sz w:val="16"/>
          <w:szCs w:val="16"/>
          <w:color w:val="auto"/>
        </w:rPr>
        <w:t>Net loss per share attributable to common stockholders, diluted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48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tcPr>
          <w:p>
            <w:pPr>
              <w:ind w:left="300"/>
              <w:spacing w:after="0"/>
              <w:rPr>
                <w:sz w:val="20"/>
                <w:szCs w:val="20"/>
                <w:color w:val="auto"/>
              </w:rPr>
            </w:pPr>
            <w:r>
              <w:rPr>
                <w:rFonts w:ascii="Arial" w:cs="Arial" w:eastAsia="Arial" w:hAnsi="Arial"/>
                <w:sz w:val="16"/>
                <w:szCs w:val="16"/>
                <w:color w:val="auto"/>
              </w:rPr>
              <w:t>(0.43)​​​​$</w:t>
            </w:r>
          </w:p>
        </w:tc>
        <w:tc>
          <w:tcPr>
            <w:tcW w:w="1120" w:type="dxa"/>
            <w:vAlign w:val="bottom"/>
          </w:tcPr>
          <w:p>
            <w:pPr>
              <w:ind w:left="300"/>
              <w:spacing w:after="0"/>
              <w:rPr>
                <w:sz w:val="20"/>
                <w:szCs w:val="20"/>
                <w:color w:val="auto"/>
              </w:rPr>
            </w:pPr>
            <w:r>
              <w:rPr>
                <w:rFonts w:ascii="Arial" w:cs="Arial" w:eastAsia="Arial" w:hAnsi="Arial"/>
                <w:sz w:val="16"/>
                <w:szCs w:val="16"/>
                <w:color w:val="auto"/>
              </w:rPr>
              <w:t>(0.05)​​​​$</w:t>
            </w:r>
          </w:p>
        </w:tc>
        <w:tc>
          <w:tcPr>
            <w:tcW w:w="1080" w:type="dxa"/>
            <w:vAlign w:val="bottom"/>
          </w:tcPr>
          <w:p>
            <w:pPr>
              <w:ind w:left="320"/>
              <w:spacing w:after="0"/>
              <w:rPr>
                <w:sz w:val="20"/>
                <w:szCs w:val="20"/>
                <w:color w:val="auto"/>
              </w:rPr>
            </w:pPr>
            <w:r>
              <w:rPr>
                <w:rFonts w:ascii="Arial" w:cs="Arial" w:eastAsia="Arial" w:hAnsi="Arial"/>
                <w:sz w:val="16"/>
                <w:szCs w:val="16"/>
                <w:color w:val="auto"/>
              </w:rPr>
              <w:t>(0.78)​​​​$</w:t>
            </w:r>
          </w:p>
        </w:tc>
        <w:tc>
          <w:tcPr>
            <w:tcW w:w="920" w:type="dxa"/>
            <w:vAlign w:val="bottom"/>
          </w:tcPr>
          <w:p>
            <w:pPr>
              <w:ind w:left="240"/>
              <w:spacing w:after="0"/>
              <w:rPr>
                <w:sz w:val="20"/>
                <w:szCs w:val="20"/>
                <w:color w:val="auto"/>
              </w:rPr>
            </w:pPr>
            <w:r>
              <w:rPr>
                <w:rFonts w:ascii="Arial" w:cs="Arial" w:eastAsia="Arial" w:hAnsi="Arial"/>
                <w:sz w:val="16"/>
                <w:szCs w:val="16"/>
                <w:color w:val="auto"/>
              </w:rPr>
              <w:t>(6.41)​​​​$</w:t>
            </w:r>
          </w:p>
        </w:tc>
        <w:tc>
          <w:tcPr>
            <w:tcW w:w="640" w:type="dxa"/>
            <w:vAlign w:val="bottom"/>
          </w:tcPr>
          <w:p>
            <w:pPr>
              <w:ind w:left="160"/>
              <w:spacing w:after="0"/>
              <w:rPr>
                <w:sz w:val="20"/>
                <w:szCs w:val="20"/>
                <w:color w:val="auto"/>
              </w:rPr>
            </w:pPr>
            <w:r>
              <w:rPr>
                <w:rFonts w:ascii="Arial" w:cs="Arial" w:eastAsia="Arial" w:hAnsi="Arial"/>
                <w:sz w:val="16"/>
                <w:szCs w:val="16"/>
                <w:color w:val="auto"/>
                <w:w w:val="90"/>
              </w:rPr>
              <w:t>(28.42)​</w:t>
            </w:r>
          </w:p>
        </w:tc>
      </w:tr>
      <w:tr>
        <w:trPr>
          <w:trHeight w:val="418"/>
        </w:trPr>
        <w:tc>
          <w:tcPr>
            <w:tcW w:w="48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tcPr>
          <w:p>
            <w:pPr>
              <w:ind w:left="300"/>
              <w:spacing w:after="0"/>
              <w:rPr>
                <w:sz w:val="20"/>
                <w:szCs w:val="20"/>
                <w:color w:val="auto"/>
              </w:rPr>
            </w:pPr>
            <w:r>
              <w:rPr>
                <w:rFonts w:ascii="Arial" w:cs="Arial" w:eastAsia="Arial" w:hAnsi="Arial"/>
                <w:sz w:val="16"/>
                <w:szCs w:val="16"/>
                <w:color w:val="auto"/>
              </w:rPr>
              <w:t>(0.43)​​​​$</w:t>
            </w:r>
          </w:p>
        </w:tc>
        <w:tc>
          <w:tcPr>
            <w:tcW w:w="1120" w:type="dxa"/>
            <w:vAlign w:val="bottom"/>
          </w:tcPr>
          <w:p>
            <w:pPr>
              <w:ind w:left="300"/>
              <w:spacing w:after="0"/>
              <w:rPr>
                <w:sz w:val="20"/>
                <w:szCs w:val="20"/>
                <w:color w:val="auto"/>
              </w:rPr>
            </w:pPr>
            <w:r>
              <w:rPr>
                <w:rFonts w:ascii="Arial" w:cs="Arial" w:eastAsia="Arial" w:hAnsi="Arial"/>
                <w:sz w:val="16"/>
                <w:szCs w:val="16"/>
                <w:color w:val="auto"/>
              </w:rPr>
              <w:t>(0.36)​​​​$</w:t>
            </w:r>
          </w:p>
        </w:tc>
        <w:tc>
          <w:tcPr>
            <w:tcW w:w="1080" w:type="dxa"/>
            <w:vAlign w:val="bottom"/>
          </w:tcPr>
          <w:p>
            <w:pPr>
              <w:ind w:left="320"/>
              <w:spacing w:after="0"/>
              <w:rPr>
                <w:sz w:val="20"/>
                <w:szCs w:val="20"/>
                <w:color w:val="auto"/>
              </w:rPr>
            </w:pPr>
            <w:r>
              <w:rPr>
                <w:rFonts w:ascii="Arial" w:cs="Arial" w:eastAsia="Arial" w:hAnsi="Arial"/>
                <w:sz w:val="16"/>
                <w:szCs w:val="16"/>
                <w:color w:val="auto"/>
              </w:rPr>
              <w:t>(1.51)​​​​$</w:t>
            </w:r>
          </w:p>
        </w:tc>
        <w:tc>
          <w:tcPr>
            <w:tcW w:w="920" w:type="dxa"/>
            <w:vAlign w:val="bottom"/>
          </w:tcPr>
          <w:p>
            <w:pPr>
              <w:ind w:left="240"/>
              <w:spacing w:after="0"/>
              <w:rPr>
                <w:sz w:val="20"/>
                <w:szCs w:val="20"/>
                <w:color w:val="auto"/>
              </w:rPr>
            </w:pPr>
            <w:r>
              <w:rPr>
                <w:rFonts w:ascii="Arial" w:cs="Arial" w:eastAsia="Arial" w:hAnsi="Arial"/>
                <w:sz w:val="16"/>
                <w:szCs w:val="16"/>
                <w:color w:val="auto"/>
              </w:rPr>
              <w:t>(6.41)​​​​$</w:t>
            </w:r>
          </w:p>
        </w:tc>
        <w:tc>
          <w:tcPr>
            <w:tcW w:w="640" w:type="dxa"/>
            <w:vAlign w:val="bottom"/>
          </w:tcPr>
          <w:p>
            <w:pPr>
              <w:ind w:left="160"/>
              <w:spacing w:after="0"/>
              <w:rPr>
                <w:sz w:val="20"/>
                <w:szCs w:val="20"/>
                <w:color w:val="auto"/>
              </w:rPr>
            </w:pPr>
            <w:r>
              <w:rPr>
                <w:rFonts w:ascii="Arial" w:cs="Arial" w:eastAsia="Arial" w:hAnsi="Arial"/>
                <w:sz w:val="16"/>
                <w:szCs w:val="16"/>
                <w:color w:val="auto"/>
                <w:w w:val="90"/>
              </w:rPr>
              <w:t>(28.42)​</w:t>
            </w:r>
          </w:p>
        </w:tc>
      </w:tr>
    </w:tbl>
    <w:p>
      <w:pPr>
        <w:spacing w:after="0" w:line="1" w:lineRule="exact"/>
        <w:rPr>
          <w:sz w:val="20"/>
          <w:szCs w:val="20"/>
          <w:color w:val="auto"/>
        </w:rPr>
      </w:pPr>
    </w:p>
    <w:p>
      <w:pPr>
        <w:sectPr>
          <w:pgSz w:w="11900" w:h="16838" w:orient="portrait"/>
          <w:cols w:equalWidth="0" w:num="2">
            <w:col w:w="4120" w:space="60"/>
            <w:col w:w="5699"/>
          </w:cols>
          <w:pgMar w:left="580" w:top="90" w:right="1440" w:bottom="1440" w:gutter="0" w:footer="0" w:header="0"/>
          <w:type w:val="continuous"/>
        </w:sectPr>
      </w:pPr>
    </w:p>
    <w:tbl>
      <w:tblPr>
        <w:tblLayout w:type="fixed"/>
        <w:tblInd w:w="1280" w:type="dxa"/>
        <w:tblCellMar>
          <w:top w:w="0" w:type="dxa"/>
          <w:left w:w="0" w:type="dxa"/>
          <w:bottom w:w="0" w:type="dxa"/>
          <w:right w:w="0" w:type="dxa"/>
        </w:tblCellMar>
      </w:tblPr>
      <w:tr>
        <w:trPr>
          <w:trHeight w:val="208"/>
        </w:trPr>
        <w:tc>
          <w:tcPr>
            <w:tcW w:w="2820" w:type="dxa"/>
            <w:vAlign w:val="bottom"/>
          </w:tcPr>
          <w:p>
            <w:pPr>
              <w:spacing w:after="0"/>
              <w:rPr>
                <w:sz w:val="20"/>
                <w:szCs w:val="20"/>
                <w:color w:val="auto"/>
              </w:rPr>
            </w:pPr>
            <w:r>
              <w:rPr>
                <w:rFonts w:ascii="Arial" w:cs="Arial" w:eastAsia="Arial" w:hAnsi="Arial"/>
                <w:sz w:val="16"/>
                <w:szCs w:val="16"/>
                <w:b w:val="1"/>
                <w:bCs w:val="1"/>
                <w:color w:val="auto"/>
              </w:rPr>
              <w:t>Other comprehensive income (loss)</w:t>
            </w:r>
          </w:p>
        </w:tc>
        <w:tc>
          <w:tcPr>
            <w:tcW w:w="440" w:type="dxa"/>
            <w:vAlign w:val="bottom"/>
          </w:tcPr>
          <w:p>
            <w:pPr>
              <w:ind w:left="80"/>
              <w:spacing w:after="0"/>
              <w:rPr>
                <w:sz w:val="20"/>
                <w:szCs w:val="20"/>
                <w:color w:val="auto"/>
              </w:rPr>
            </w:pPr>
            <w:r>
              <w:rPr>
                <w:rFonts w:ascii="Arial" w:cs="Arial" w:eastAsia="Arial" w:hAnsi="Arial"/>
                <w:sz w:val="16"/>
                <w:szCs w:val="16"/>
                <w:b w:val="1"/>
                <w:bCs w:val="1"/>
                <w:color w:val="auto"/>
              </w:rPr>
              <w:t>​​​ ​</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 ​</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 ​</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 ​</w:t>
            </w:r>
          </w:p>
        </w:tc>
        <w:tc>
          <w:tcPr>
            <w:tcW w:w="6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06"/>
        </w:trPr>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Net unrealized gains (losses) on</w:t>
            </w:r>
          </w:p>
        </w:tc>
        <w:tc>
          <w:tcPr>
            <w:tcW w:w="4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2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investments, net of tax</w:t>
            </w:r>
          </w:p>
        </w:tc>
        <w:tc>
          <w:tcPr>
            <w:tcW w:w="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4,035​​​​$</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(11,572​​​​)$</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203"/>
        </w:trPr>
        <w:tc>
          <w:tcPr>
            <w:tcW w:w="2820" w:type="dxa"/>
            <w:vAlign w:val="bottom"/>
          </w:tcPr>
          <w:p>
            <w:pPr>
              <w:spacing w:after="0"/>
              <w:rPr>
                <w:sz w:val="20"/>
                <w:szCs w:val="20"/>
                <w:color w:val="auto"/>
              </w:rPr>
            </w:pPr>
            <w:r>
              <w:rPr>
                <w:rFonts w:ascii="Arial" w:cs="Arial" w:eastAsia="Arial" w:hAnsi="Arial"/>
                <w:sz w:val="16"/>
                <w:szCs w:val="16"/>
                <w:b w:val="1"/>
                <w:bCs w:val="1"/>
                <w:color w:val="auto"/>
              </w:rPr>
              <w:t>Comprehensive loss</w:t>
            </w:r>
          </w:p>
        </w:tc>
        <w:tc>
          <w:tcPr>
            <w:tcW w:w="440" w:type="dxa"/>
            <w:vAlign w:val="bottom"/>
          </w:tcPr>
          <w:p>
            <w:pPr>
              <w:ind w:left="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(775,493​​​​)$</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(81,286​​​​)$</w:t>
            </w:r>
          </w:p>
        </w:tc>
        <w:tc>
          <w:tcPr>
            <w:tcW w:w="1080" w:type="dxa"/>
            <w:vAlign w:val="bottom"/>
          </w:tcPr>
          <w:p>
            <w:pPr>
              <w:jc w:val="right"/>
              <w:spacing w:after="0"/>
              <w:rPr>
                <w:sz w:val="20"/>
                <w:szCs w:val="20"/>
                <w:color w:val="auto"/>
              </w:rPr>
            </w:pPr>
            <w:r>
              <w:rPr>
                <w:rFonts w:ascii="Arial" w:cs="Arial" w:eastAsia="Arial" w:hAnsi="Arial"/>
                <w:sz w:val="16"/>
                <w:szCs w:val="16"/>
                <w:color w:val="auto"/>
              </w:rPr>
              <w:t>(1,316,032​​​​)$</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w w:val="99"/>
              </w:rPr>
              <w:t>(2,579,761​​​​)$</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w w:val="99"/>
              </w:rPr>
              <w:t>(719,380​)</w:t>
            </w:r>
          </w:p>
        </w:tc>
      </w:tr>
      <w:tr>
        <w:trPr>
          <w:trHeight w:val="206"/>
        </w:trPr>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Deemed contribution related to</w:t>
            </w:r>
          </w:p>
        </w:tc>
        <w:tc>
          <w:tcPr>
            <w:tcW w:w="4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repurchase of Series B convertible</w:t>
            </w:r>
          </w:p>
        </w:tc>
        <w:tc>
          <w:tcPr>
            <w:tcW w:w="4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2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preferred stock</w:t>
            </w:r>
          </w:p>
        </w:tc>
        <w:tc>
          <w:tcPr>
            <w:tcW w:w="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60" w:type="dxa"/>
            <w:vAlign w:val="bottom"/>
          </w:tcPr>
          <w:p>
            <w:pPr>
              <w:spacing w:after="0"/>
              <w:rPr>
                <w:sz w:val="18"/>
                <w:szCs w:val="18"/>
                <w:color w:val="auto"/>
              </w:rPr>
            </w:pPr>
          </w:p>
        </w:tc>
      </w:tr>
      <w:tr>
        <w:trPr>
          <w:trHeight w:val="193"/>
        </w:trPr>
        <w:tc>
          <w:tcPr>
            <w:tcW w:w="2820" w:type="dxa"/>
            <w:vAlign w:val="bottom"/>
          </w:tcPr>
          <w:p>
            <w:pPr>
              <w:spacing w:after="0"/>
              <w:rPr>
                <w:sz w:val="20"/>
                <w:szCs w:val="20"/>
                <w:color w:val="auto"/>
              </w:rPr>
            </w:pPr>
            <w:r>
              <w:rPr>
                <w:rFonts w:ascii="Arial" w:cs="Arial" w:eastAsia="Arial" w:hAnsi="Arial"/>
                <w:sz w:val="16"/>
                <w:szCs w:val="16"/>
                <w:color w:val="auto"/>
              </w:rPr>
              <w:t>Deemed contribution related to</w:t>
            </w: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2820" w:type="dxa"/>
            <w:vAlign w:val="bottom"/>
          </w:tcPr>
          <w:p>
            <w:pPr>
              <w:ind w:left="160"/>
              <w:spacing w:after="0"/>
              <w:rPr>
                <w:sz w:val="20"/>
                <w:szCs w:val="20"/>
                <w:color w:val="auto"/>
              </w:rPr>
            </w:pPr>
            <w:r>
              <w:rPr>
                <w:rFonts w:ascii="Arial" w:cs="Arial" w:eastAsia="Arial" w:hAnsi="Arial"/>
                <w:sz w:val="16"/>
                <w:szCs w:val="16"/>
                <w:color w:val="auto"/>
              </w:rPr>
              <w:t>repurchase of Series C convertible</w:t>
            </w: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2820" w:type="dxa"/>
            <w:vAlign w:val="bottom"/>
          </w:tcPr>
          <w:p>
            <w:pPr>
              <w:ind w:left="160"/>
              <w:spacing w:after="0"/>
              <w:rPr>
                <w:sz w:val="20"/>
                <w:szCs w:val="20"/>
                <w:color w:val="auto"/>
              </w:rPr>
            </w:pPr>
            <w:r>
              <w:rPr>
                <w:rFonts w:ascii="Arial" w:cs="Arial" w:eastAsia="Arial" w:hAnsi="Arial"/>
                <w:sz w:val="16"/>
                <w:szCs w:val="16"/>
                <w:color w:val="auto"/>
              </w:rPr>
              <w:t>preferred stock</w:t>
            </w:r>
          </w:p>
        </w:tc>
        <w:tc>
          <w:tcPr>
            <w:tcW w:w="440" w:type="dxa"/>
            <w:vAlign w:val="bottom"/>
          </w:tcPr>
          <w:p>
            <w:pPr>
              <w:ind w:left="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12,784​</w:t>
            </w:r>
          </w:p>
        </w:tc>
      </w:tr>
      <w:tr>
        <w:trPr>
          <w:trHeight w:val="196"/>
        </w:trPr>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w w:val="96"/>
              </w:rPr>
              <w:t>Deemed dividend related to the issuance</w:t>
            </w:r>
          </w:p>
        </w:tc>
        <w:tc>
          <w:tcPr>
            <w:tcW w:w="4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of Series E convertible preferred</w:t>
            </w:r>
          </w:p>
        </w:tc>
        <w:tc>
          <w:tcPr>
            <w:tcW w:w="4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2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w:t>
            </w:r>
          </w:p>
        </w:tc>
        <w:tc>
          <w:tcPr>
            <w:tcW w:w="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(2,167,332​​​​)$</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202"/>
        </w:trPr>
        <w:tc>
          <w:tcPr>
            <w:tcW w:w="2820" w:type="dxa"/>
            <w:vAlign w:val="bottom"/>
          </w:tcPr>
          <w:p>
            <w:pPr>
              <w:spacing w:after="0"/>
              <w:rPr>
                <w:sz w:val="20"/>
                <w:szCs w:val="20"/>
                <w:color w:val="auto"/>
              </w:rPr>
            </w:pPr>
            <w:r>
              <w:rPr>
                <w:rFonts w:ascii="Arial" w:cs="Arial" w:eastAsia="Arial" w:hAnsi="Arial"/>
                <w:sz w:val="16"/>
                <w:szCs w:val="16"/>
                <w:b w:val="1"/>
                <w:bCs w:val="1"/>
                <w:color w:val="auto"/>
              </w:rPr>
              <w:t>Comprehensive loss attributable to</w:t>
            </w: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2820" w:type="dxa"/>
            <w:vAlign w:val="bottom"/>
          </w:tcPr>
          <w:p>
            <w:pPr>
              <w:ind w:left="160"/>
              <w:spacing w:after="0"/>
              <w:rPr>
                <w:sz w:val="20"/>
                <w:szCs w:val="20"/>
                <w:color w:val="auto"/>
              </w:rPr>
            </w:pPr>
            <w:r>
              <w:rPr>
                <w:rFonts w:ascii="Arial" w:cs="Arial" w:eastAsia="Arial" w:hAnsi="Arial"/>
                <w:sz w:val="16"/>
                <w:szCs w:val="16"/>
                <w:b w:val="1"/>
                <w:bCs w:val="1"/>
                <w:color w:val="auto"/>
              </w:rPr>
              <w:t>common stockholders</w:t>
            </w:r>
          </w:p>
        </w:tc>
        <w:tc>
          <w:tcPr>
            <w:tcW w:w="440" w:type="dxa"/>
            <w:vAlign w:val="bottom"/>
          </w:tcPr>
          <w:p>
            <w:pPr>
              <w:ind w:left="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(775,493​​​​)$</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(81,286​​​​)$</w:t>
            </w:r>
          </w:p>
        </w:tc>
        <w:tc>
          <w:tcPr>
            <w:tcW w:w="1080" w:type="dxa"/>
            <w:vAlign w:val="bottom"/>
          </w:tcPr>
          <w:p>
            <w:pPr>
              <w:jc w:val="right"/>
              <w:spacing w:after="0"/>
              <w:rPr>
                <w:sz w:val="20"/>
                <w:szCs w:val="20"/>
                <w:color w:val="auto"/>
              </w:rPr>
            </w:pPr>
            <w:r>
              <w:rPr>
                <w:rFonts w:ascii="Arial" w:cs="Arial" w:eastAsia="Arial" w:hAnsi="Arial"/>
                <w:sz w:val="16"/>
                <w:szCs w:val="16"/>
                <w:color w:val="auto"/>
              </w:rPr>
              <w:t>(1,316,032​​​​)$</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w w:val="99"/>
              </w:rPr>
              <w:t>(4,747,093​​​​)$</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w w:val="99"/>
              </w:rPr>
              <w:t>(705,596​)</w:t>
            </w:r>
          </w:p>
        </w:tc>
      </w:tr>
    </w:tbl>
    <w:p>
      <w:pPr>
        <w:spacing w:after="0" w:line="200" w:lineRule="exact"/>
        <w:rPr>
          <w:sz w:val="20"/>
          <w:szCs w:val="20"/>
          <w:color w:val="auto"/>
        </w:rPr>
      </w:pPr>
    </w:p>
    <w:p>
      <w:pPr>
        <w:spacing w:after="0" w:line="224" w:lineRule="exact"/>
        <w:rPr>
          <w:sz w:val="20"/>
          <w:szCs w:val="20"/>
          <w:color w:val="auto"/>
        </w:rPr>
      </w:pPr>
    </w:p>
    <w:p>
      <w:pPr>
        <w:ind w:left="1280"/>
        <w:spacing w:after="0"/>
        <w:tabs>
          <w:tab w:leader="none" w:pos="1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stock-based compensation expense as follows:</w:t>
      </w:r>
    </w:p>
    <w:p>
      <w:pPr>
        <w:spacing w:after="0" w:line="23" w:lineRule="exact"/>
        <w:rPr>
          <w:sz w:val="20"/>
          <w:szCs w:val="20"/>
          <w:color w:val="auto"/>
        </w:rPr>
      </w:pPr>
    </w:p>
    <w:tbl>
      <w:tblPr>
        <w:tblLayout w:type="fixed"/>
        <w:tblInd w:w="1640" w:type="dxa"/>
        <w:tblCellMar>
          <w:top w:w="0" w:type="dxa"/>
          <w:left w:w="0" w:type="dxa"/>
          <w:bottom w:w="0" w:type="dxa"/>
          <w:right w:w="0" w:type="dxa"/>
        </w:tblCellMar>
      </w:tblPr>
      <w:tr>
        <w:trPr>
          <w:trHeight w:val="364"/>
        </w:trPr>
        <w:tc>
          <w:tcPr>
            <w:tcW w:w="2740" w:type="dxa"/>
            <w:vAlign w:val="bottom"/>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2340" w:type="dxa"/>
            <w:vAlign w:val="bottom"/>
            <w:gridSpan w:val="12"/>
          </w:tcPr>
          <w:p>
            <w:pPr>
              <w:ind w:left="20"/>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Three Months Ended March 31, </w:t>
            </w:r>
            <w:r>
              <w:rPr>
                <w:rFonts w:ascii="Arial" w:cs="Arial" w:eastAsia="Arial" w:hAnsi="Arial"/>
                <w:sz w:val="28"/>
                <w:szCs w:val="28"/>
                <w:b w:val="1"/>
                <w:bCs w:val="1"/>
                <w:color w:val="auto"/>
                <w:vertAlign w:val="subscript"/>
              </w:rPr>
              <w:t>​ ​</w:t>
            </w:r>
          </w:p>
        </w:tc>
        <w:tc>
          <w:tcPr>
            <w:tcW w:w="2140" w:type="dxa"/>
            <w:vAlign w:val="bottom"/>
            <w:gridSpan w:val="10"/>
          </w:tcPr>
          <w:p>
            <w:pPr>
              <w:jc w:val="right"/>
              <w:ind w:right="52"/>
              <w:spacing w:after="0"/>
              <w:rPr>
                <w:sz w:val="20"/>
                <w:szCs w:val="20"/>
                <w:color w:val="auto"/>
              </w:rPr>
            </w:pPr>
            <w:r>
              <w:rPr>
                <w:rFonts w:ascii="Arial" w:cs="Arial" w:eastAsia="Arial" w:hAnsi="Arial"/>
                <w:sz w:val="14"/>
                <w:szCs w:val="14"/>
                <w:b w:val="1"/>
                <w:bCs w:val="1"/>
                <w:color w:val="auto"/>
                <w:w w:val="87"/>
              </w:rPr>
              <w:t>Fiscal Years Ended, December 31,</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37"/>
        </w:trPr>
        <w:tc>
          <w:tcPr>
            <w:tcW w:w="2740" w:type="dxa"/>
            <w:vAlign w:val="bottom"/>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gridSpan w:val="2"/>
          </w:tcPr>
          <w:p>
            <w:pPr>
              <w:jc w:val="right"/>
              <w:ind w:right="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top w:val="single" w:sz="8" w:color="auto"/>
            </w:tcBorders>
          </w:tcPr>
          <w:p>
            <w:pPr>
              <w:spacing w:after="0"/>
              <w:rPr>
                <w:sz w:val="20"/>
                <w:szCs w:val="20"/>
                <w:color w:val="auto"/>
              </w:rPr>
            </w:pP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2"/>
          </w:tcPr>
          <w:p>
            <w:pPr>
              <w:jc w:val="right"/>
              <w:spacing w:after="0" w:line="236" w:lineRule="exact"/>
              <w:rPr>
                <w:sz w:val="20"/>
                <w:szCs w:val="20"/>
                <w:color w:val="auto"/>
              </w:rPr>
            </w:pPr>
            <w:r>
              <w:rPr>
                <w:rFonts w:ascii="Arial" w:cs="Arial" w:eastAsia="Arial" w:hAnsi="Arial"/>
                <w:sz w:val="14"/>
                <w:szCs w:val="14"/>
                <w:b w:val="1"/>
                <w:bCs w:val="1"/>
                <w:color w:val="auto"/>
              </w:rPr>
              <w:t xml:space="preserve">2022   </w:t>
            </w:r>
            <w:r>
              <w:rPr>
                <w:rFonts w:ascii="Arial" w:cs="Arial" w:eastAsia="Arial" w:hAnsi="Arial"/>
                <w:sz w:val="27"/>
                <w:szCs w:val="27"/>
                <w:b w:val="1"/>
                <w:bCs w:val="1"/>
                <w:color w:val="auto"/>
                <w:vertAlign w:val="subscript"/>
              </w:rPr>
              <w:t>​</w:t>
            </w:r>
          </w:p>
        </w:tc>
        <w:tc>
          <w:tcPr>
            <w:tcW w:w="2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gridSpan w:val="2"/>
          </w:tcPr>
          <w:p>
            <w:pPr>
              <w:jc w:val="right"/>
              <w:spacing w:after="0" w:line="236" w:lineRule="exact"/>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27"/>
                <w:szCs w:val="27"/>
                <w:b w:val="1"/>
                <w:bCs w:val="1"/>
                <w:color w:val="auto"/>
                <w:vertAlign w:val="subscript"/>
              </w:rPr>
              <w:t>​</w:t>
            </w:r>
          </w:p>
        </w:tc>
        <w:tc>
          <w:tcPr>
            <w:tcW w:w="1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2740" w:type="dxa"/>
            <w:vAlign w:val="bottom"/>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200" w:type="dxa"/>
            <w:vAlign w:val="bottom"/>
            <w:gridSpan w:val="5"/>
          </w:tcPr>
          <w:p>
            <w:pPr>
              <w:ind w:left="500"/>
              <w:spacing w:after="0"/>
              <w:rPr>
                <w:sz w:val="20"/>
                <w:szCs w:val="20"/>
                <w:color w:val="auto"/>
              </w:rPr>
            </w:pPr>
            <w:r>
              <w:rPr>
                <w:rFonts w:ascii="Arial" w:cs="Arial" w:eastAsia="Arial" w:hAnsi="Arial"/>
                <w:sz w:val="14"/>
                <w:szCs w:val="14"/>
                <w:b w:val="1"/>
                <w:bCs w:val="1"/>
                <w:color w:val="auto"/>
                <w:w w:val="89"/>
              </w:rPr>
              <w:t>(unaudited)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5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26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5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8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jc w:val="right"/>
              <w:ind w:right="21"/>
              <w:spacing w:after="0"/>
              <w:rPr>
                <w:sz w:val="20"/>
                <w:szCs w:val="20"/>
                <w:color w:val="auto"/>
              </w:rPr>
            </w:pPr>
            <w:r>
              <w:rPr>
                <w:rFonts w:ascii="Arial" w:cs="Arial" w:eastAsia="Arial" w:hAnsi="Arial"/>
                <w:sz w:val="1"/>
                <w:szCs w:val="1"/>
                <w:b w:val="1"/>
                <w:bCs w:val="1"/>
                <w:color w:val="auto"/>
                <w:w w:val="4294942296"/>
              </w:rPr>
              <w:t>​</w:t>
            </w:r>
          </w:p>
        </w:tc>
        <w:tc>
          <w:tcPr>
            <w:tcW w:w="32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89"/>
        </w:trPr>
        <w:tc>
          <w:tcPr>
            <w:tcW w:w="2740" w:type="dxa"/>
            <w:vAlign w:val="bottom"/>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ind w:left="100"/>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6"/>
          </w:tcPr>
          <w:p>
            <w:pPr>
              <w:ind w:left="48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574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11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​​$ 41,753​​</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8,737​​ ​​$</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213</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 ​27,983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 49,756</w:t>
            </w:r>
          </w:p>
        </w:tc>
        <w:tc>
          <w:tcPr>
            <w:tcW w:w="1120" w:type="dxa"/>
            <w:vAlign w:val="bottom"/>
            <w:gridSpan w:val="6"/>
          </w:tcPr>
          <w:p>
            <w:pPr>
              <w:jc w:val="right"/>
              <w:spacing w:after="0"/>
              <w:rPr>
                <w:sz w:val="20"/>
                <w:szCs w:val="20"/>
                <w:color w:val="auto"/>
              </w:rPr>
            </w:pPr>
            <w:r>
              <w:rPr>
                <w:rFonts w:ascii="Arial" w:cs="Arial" w:eastAsia="Arial" w:hAnsi="Arial"/>
                <w:sz w:val="18"/>
                <w:szCs w:val="18"/>
                <w:color w:val="auto"/>
              </w:rPr>
              <w:t>​​ ​​ ​151,549​​</w:t>
            </w:r>
          </w:p>
        </w:tc>
        <w:tc>
          <w:tcPr>
            <w:tcW w:w="1520" w:type="dxa"/>
            <w:vAlign w:val="bottom"/>
            <w:gridSpan w:val="9"/>
          </w:tcPr>
          <w:p>
            <w:pPr>
              <w:jc w:val="right"/>
              <w:spacing w:after="0"/>
              <w:rPr>
                <w:sz w:val="20"/>
                <w:szCs w:val="20"/>
                <w:color w:val="auto"/>
              </w:rPr>
            </w:pPr>
            <w:r>
              <w:rPr>
                <w:rFonts w:ascii="Arial" w:cs="Arial" w:eastAsia="Arial" w:hAnsi="Arial"/>
                <w:sz w:val="18"/>
                <w:szCs w:val="18"/>
                <w:color w:val="auto"/>
              </w:rPr>
              <w:t>​​ ​137,303​​ ​​ ​3,724</w:t>
            </w:r>
            <w:r>
              <w:rPr>
                <w:rFonts w:ascii="Arial" w:cs="Arial" w:eastAsia="Arial" w:hAnsi="Arial"/>
                <w:sz w:val="18"/>
                <w:szCs w:val="18"/>
                <w:b w:val="1"/>
                <w:bCs w:val="1"/>
                <w:color w:val="auto"/>
              </w:rPr>
              <w:t>​</w:t>
            </w:r>
          </w:p>
        </w:tc>
      </w:tr>
      <w:tr>
        <w:trPr>
          <w:trHeight w:val="25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8"/>
                <w:shd w:val="clear" w:color="auto" w:fill="CCEEFF"/>
              </w:rPr>
              <w:t>Selling, general and administrative</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shd w:val="clear" w:color="auto" w:fill="CCEEFF"/>
              </w:rPr>
              <w:t>​</w:t>
            </w:r>
          </w:p>
        </w:tc>
        <w:tc>
          <w:tcPr>
            <w:tcW w:w="60" w:type="dxa"/>
            <w:vAlign w:val="bottom"/>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shd w:val="clear" w:color="auto" w:fill="CCEEFF"/>
              </w:rPr>
              <w:t>​ ​26,705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 ​</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 ​116,196</w:t>
            </w:r>
          </w:p>
        </w:tc>
        <w:tc>
          <w:tcPr>
            <w:tcW w:w="11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 ​​ ​230,198​​</w:t>
            </w:r>
          </w:p>
        </w:tc>
        <w:tc>
          <w:tcPr>
            <w:tcW w:w="116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 ​370,717​​ ​​ ​</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677</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4"/>
        </w:trPr>
        <w:tc>
          <w:tcPr>
            <w:tcW w:w="2740" w:type="dxa"/>
            <w:vAlign w:val="bottom"/>
          </w:tcPr>
          <w:p>
            <w:pPr>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00" w:type="dxa"/>
            <w:vAlign w:val="bottom"/>
            <w:gridSpan w:val="3"/>
          </w:tcPr>
          <w:p>
            <w:pPr>
              <w:jc w:val="right"/>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​(1,433) </w:t>
            </w:r>
            <w:r>
              <w:rPr>
                <w:rFonts w:ascii="Arial" w:cs="Arial" w:eastAsia="Arial" w:hAnsi="Arial"/>
                <w:sz w:val="32"/>
                <w:szCs w:val="32"/>
                <w:color w:val="auto"/>
                <w:vertAlign w:val="subscript"/>
              </w:rPr>
              <w:t>​​ ​</w:t>
            </w:r>
          </w:p>
        </w:tc>
        <w:tc>
          <w:tcPr>
            <w:tcW w:w="300" w:type="dxa"/>
            <w:vAlign w:val="bottom"/>
            <w:gridSpan w:val="2"/>
          </w:tcPr>
          <w:p>
            <w:pPr>
              <w:ind w:left="120"/>
              <w:spacing w:after="0" w:line="283" w:lineRule="exact"/>
              <w:rPr>
                <w:sz w:val="20"/>
                <w:szCs w:val="20"/>
                <w:color w:val="auto"/>
              </w:rPr>
            </w:pPr>
            <w:r>
              <w:rPr>
                <w:rFonts w:ascii="Arial" w:cs="Arial" w:eastAsia="Arial" w:hAnsi="Arial"/>
                <w:sz w:val="17"/>
                <w:szCs w:val="17"/>
                <w:color w:val="auto"/>
              </w:rPr>
              <w:t xml:space="preserve">​ </w:t>
            </w:r>
            <w:r>
              <w:rPr>
                <w:rFonts w:ascii="Arial" w:cs="Arial" w:eastAsia="Arial" w:hAnsi="Arial"/>
                <w:sz w:val="32"/>
                <w:szCs w:val="32"/>
                <w:color w:val="auto"/>
                <w:vertAlign w:val="superscript"/>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4"/>
          </w:tcPr>
          <w:p>
            <w:pPr>
              <w:ind w:left="100"/>
              <w:spacing w:after="0" w:line="283"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2"/>
                <w:szCs w:val="32"/>
                <w:color w:val="auto"/>
                <w:vertAlign w:val="superscript"/>
              </w:rPr>
              <w:t>​</w:t>
            </w:r>
          </w:p>
        </w:tc>
        <w:tc>
          <w:tcPr>
            <w:tcW w:w="660" w:type="dxa"/>
            <w:vAlign w:val="bottom"/>
            <w:gridSpan w:val="2"/>
          </w:tcPr>
          <w:p>
            <w:pPr>
              <w:jc w:val="right"/>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w:t>
            </w:r>
          </w:p>
        </w:tc>
        <w:tc>
          <w:tcPr>
            <w:tcW w:w="260" w:type="dxa"/>
            <w:vAlign w:val="bottom"/>
            <w:gridSpan w:val="2"/>
          </w:tcPr>
          <w:p>
            <w:pPr>
              <w:ind w:left="40"/>
              <w:spacing w:after="0" w:line="283" w:lineRule="exact"/>
              <w:rPr>
                <w:sz w:val="20"/>
                <w:szCs w:val="20"/>
                <w:color w:val="auto"/>
              </w:rPr>
            </w:pPr>
            <w:r>
              <w:rPr>
                <w:rFonts w:ascii="Arial" w:cs="Arial" w:eastAsia="Arial" w:hAnsi="Arial"/>
                <w:sz w:val="17"/>
                <w:szCs w:val="17"/>
                <w:color w:val="auto"/>
              </w:rPr>
              <w:t xml:space="preserve">​​ </w:t>
            </w:r>
            <w:r>
              <w:rPr>
                <w:rFonts w:ascii="Arial" w:cs="Arial" w:eastAsia="Arial" w:hAnsi="Arial"/>
                <w:sz w:val="32"/>
                <w:szCs w:val="32"/>
                <w:color w:val="auto"/>
                <w:vertAlign w:val="superscript"/>
              </w:rPr>
              <w:t>​</w:t>
            </w:r>
          </w:p>
        </w:tc>
        <w:tc>
          <w:tcPr>
            <w:tcW w:w="900" w:type="dxa"/>
            <w:vAlign w:val="bottom"/>
            <w:gridSpan w:val="5"/>
          </w:tcPr>
          <w:p>
            <w:pPr>
              <w:jc w:val="right"/>
              <w:ind w:right="1"/>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 xml:space="preserve">​​ ​​ </w:t>
            </w:r>
            <w:r>
              <w:rPr>
                <w:rFonts w:ascii="Arial" w:cs="Arial" w:eastAsia="Arial" w:hAnsi="Arial"/>
                <w:sz w:val="32"/>
                <w:szCs w:val="32"/>
                <w:color w:val="auto"/>
                <w:vertAlign w:val="superscript"/>
              </w:rPr>
              <w:t>​</w:t>
            </w:r>
          </w:p>
        </w:tc>
        <w:tc>
          <w:tcPr>
            <w:tcW w:w="360" w:type="dxa"/>
            <w:vAlign w:val="bottom"/>
            <w:gridSpan w:val="2"/>
          </w:tcPr>
          <w:p>
            <w:pPr>
              <w:jc w:val="right"/>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b w:val="1"/>
                <w:bCs w:val="1"/>
                <w:color w:val="auto"/>
              </w:rPr>
              <w:t>​</w:t>
            </w:r>
          </w:p>
        </w:tc>
      </w:tr>
      <w:tr>
        <w:trPr>
          <w:trHeight w:val="20"/>
        </w:trPr>
        <w:tc>
          <w:tcPr>
            <w:tcW w:w="2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line="264" w:lineRule="exact"/>
              <w:rPr>
                <w:sz w:val="20"/>
                <w:szCs w:val="20"/>
                <w:color w:val="auto"/>
              </w:rPr>
            </w:pPr>
            <w:r>
              <w:rPr>
                <w:rFonts w:ascii="Arial" w:cs="Arial" w:eastAsia="Arial" w:hAnsi="Arial"/>
                <w:sz w:val="30"/>
                <w:szCs w:val="30"/>
                <w:color w:val="auto"/>
                <w:w w:val="96"/>
                <w:vertAlign w:val="subscript"/>
              </w:rPr>
              <w:t>​</w:t>
            </w:r>
            <w:r>
              <w:rPr>
                <w:rFonts w:ascii="Arial" w:cs="Arial" w:eastAsia="Arial" w:hAnsi="Arial"/>
                <w:sz w:val="16"/>
                <w:szCs w:val="16"/>
                <w:u w:val="single" w:color="auto"/>
                <w:color w:val="auto"/>
                <w:w w:val="96"/>
              </w:rPr>
              <w:t>$</w:t>
            </w:r>
            <w:r>
              <w:rPr>
                <w:rFonts w:ascii="Arial" w:cs="Arial" w:eastAsia="Arial" w:hAnsi="Arial"/>
                <w:sz w:val="16"/>
                <w:szCs w:val="16"/>
                <w:color w:val="auto"/>
                <w:w w:val="96"/>
              </w:rPr>
              <w:t>53,819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3"/>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u w:val="single" w:color="auto"/>
                <w:color w:val="auto"/>
              </w:rPr>
              <w:t>$</w:t>
            </w:r>
            <w:r>
              <w:rPr>
                <w:rFonts w:ascii="Arial" w:cs="Arial" w:eastAsia="Arial" w:hAnsi="Arial"/>
                <w:sz w:val="16"/>
                <w:szCs w:val="16"/>
                <w:color w:val="auto"/>
              </w:rPr>
              <w:t>174,551</w:t>
            </w:r>
          </w:p>
        </w:tc>
        <w:tc>
          <w:tcPr>
            <w:tcW w:w="1120" w:type="dxa"/>
            <w:vAlign w:val="bottom"/>
            <w:gridSpan w:val="6"/>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u w:val="single" w:color="auto"/>
                <w:color w:val="auto"/>
              </w:rPr>
              <w:t>$</w:t>
            </w:r>
            <w:r>
              <w:rPr>
                <w:rFonts w:ascii="Arial" w:cs="Arial" w:eastAsia="Arial" w:hAnsi="Arial"/>
                <w:sz w:val="16"/>
                <w:szCs w:val="16"/>
                <w:color w:val="auto"/>
              </w:rPr>
              <w:t>423,500</w:t>
            </w:r>
            <w:r>
              <w:rPr>
                <w:rFonts w:ascii="Arial" w:cs="Arial" w:eastAsia="Arial" w:hAnsi="Arial"/>
                <w:sz w:val="30"/>
                <w:szCs w:val="30"/>
                <w:color w:val="auto"/>
                <w:vertAlign w:val="subscript"/>
              </w:rPr>
              <w:t>​​</w:t>
            </w:r>
          </w:p>
        </w:tc>
        <w:tc>
          <w:tcPr>
            <w:tcW w:w="1480" w:type="dxa"/>
            <w:vAlign w:val="bottom"/>
            <w:gridSpan w:val="8"/>
            <w:shd w:val="clear" w:color="auto" w:fill="CCEEFF"/>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u w:val="single" w:color="auto"/>
                <w:color w:val="auto"/>
              </w:rPr>
              <w:t>$</w:t>
            </w:r>
            <w:r>
              <w:rPr>
                <w:rFonts w:ascii="Arial" w:cs="Arial" w:eastAsia="Arial" w:hAnsi="Arial"/>
                <w:sz w:val="16"/>
                <w:szCs w:val="16"/>
                <w:color w:val="auto"/>
              </w:rPr>
              <w:t>516,757</w:t>
            </w:r>
            <w:r>
              <w:rPr>
                <w:rFonts w:ascii="Arial" w:cs="Arial" w:eastAsia="Arial" w:hAnsi="Arial"/>
                <w:sz w:val="30"/>
                <w:szCs w:val="30"/>
                <w:color w:val="auto"/>
                <w:vertAlign w:val="subscript"/>
              </w:rPr>
              <w:t>​​ ​​</w:t>
            </w:r>
            <w:r>
              <w:rPr>
                <w:rFonts w:ascii="Arial" w:cs="Arial" w:eastAsia="Arial" w:hAnsi="Arial"/>
                <w:sz w:val="16"/>
                <w:szCs w:val="16"/>
                <w:u w:val="single" w:color="auto"/>
                <w:color w:val="auto"/>
              </w:rPr>
              <w:t>$</w:t>
            </w:r>
            <w:r>
              <w:rPr>
                <w:rFonts w:ascii="Arial" w:cs="Arial" w:eastAsia="Arial" w:hAnsi="Arial"/>
                <w:sz w:val="16"/>
                <w:szCs w:val="16"/>
                <w:color w:val="auto"/>
              </w:rPr>
              <w:t>4,614</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0" w:right="1440"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7959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550735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Balance Sheet Data</w:t>
      </w:r>
    </w:p>
    <w:p>
      <w:pPr>
        <w:spacing w:after="0" w:line="28" w:lineRule="exact"/>
        <w:rPr>
          <w:sz w:val="20"/>
          <w:szCs w:val="20"/>
          <w:color w:val="auto"/>
        </w:rPr>
      </w:pPr>
    </w:p>
    <w:tbl>
      <w:tblPr>
        <w:tblLayout w:type="fixed"/>
        <w:tblInd w:w="1280" w:type="dxa"/>
        <w:tblCellMar>
          <w:top w:w="0" w:type="dxa"/>
          <w:left w:w="0" w:type="dxa"/>
          <w:bottom w:w="0" w:type="dxa"/>
          <w:right w:w="0" w:type="dxa"/>
        </w:tblCellMar>
      </w:tblPr>
      <w:tr>
        <w:trPr>
          <w:trHeight w:val="364"/>
        </w:trPr>
        <w:tc>
          <w:tcPr>
            <w:tcW w:w="2220" w:type="dxa"/>
            <w:vAlign w:val="bottom"/>
          </w:tcPr>
          <w:p>
            <w:pPr>
              <w:spacing w:after="0"/>
              <w:rPr>
                <w:sz w:val="20"/>
                <w:szCs w:val="20"/>
                <w:color w:val="auto"/>
              </w:rPr>
            </w:pPr>
            <w:r>
              <w:rPr>
                <w:rFonts w:ascii="Arial" w:cs="Arial" w:eastAsia="Arial" w:hAnsi="Arial"/>
                <w:sz w:val="14"/>
                <w:szCs w:val="14"/>
                <w:b w:val="1"/>
                <w:bCs w:val="1"/>
                <w:color w:val="auto"/>
              </w:rPr>
              <w:t>​</w:t>
            </w:r>
          </w:p>
        </w:tc>
        <w:tc>
          <w:tcPr>
            <w:tcW w:w="2300" w:type="dxa"/>
            <w:vAlign w:val="bottom"/>
          </w:tcPr>
          <w:p>
            <w:pPr>
              <w:ind w:left="2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ind w:left="180"/>
              <w:spacing w:after="0"/>
              <w:rPr>
                <w:sz w:val="20"/>
                <w:szCs w:val="20"/>
                <w:color w:val="auto"/>
              </w:rPr>
            </w:pPr>
            <w:r>
              <w:rPr>
                <w:rFonts w:ascii="Arial" w:cs="Arial" w:eastAsia="Arial" w:hAnsi="Arial"/>
                <w:sz w:val="14"/>
                <w:szCs w:val="14"/>
                <w:b w:val="1"/>
                <w:bCs w:val="1"/>
                <w:color w:val="auto"/>
              </w:rPr>
              <w:t>​ ​</w:t>
            </w:r>
          </w:p>
        </w:tc>
        <w:tc>
          <w:tcPr>
            <w:tcW w:w="2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160" w:type="dxa"/>
            <w:vAlign w:val="bottom"/>
            <w:gridSpan w:val="9"/>
          </w:tcPr>
          <w:p>
            <w:pPr>
              <w:jc w:val="right"/>
              <w:spacing w:after="0"/>
              <w:rPr>
                <w:sz w:val="20"/>
                <w:szCs w:val="20"/>
                <w:color w:val="auto"/>
              </w:rPr>
            </w:pPr>
            <w:r>
              <w:rPr>
                <w:rFonts w:ascii="Arial" w:cs="Arial" w:eastAsia="Arial" w:hAnsi="Arial"/>
                <w:sz w:val="28"/>
                <w:szCs w:val="28"/>
                <w:b w:val="1"/>
                <w:bCs w:val="1"/>
                <w:color w:val="auto"/>
                <w:w w:val="91"/>
                <w:vertAlign w:val="subscript"/>
              </w:rPr>
              <w:t>​</w:t>
            </w:r>
            <w:r>
              <w:rPr>
                <w:rFonts w:ascii="Arial" w:cs="Arial" w:eastAsia="Arial" w:hAnsi="Arial"/>
                <w:sz w:val="14"/>
                <w:szCs w:val="14"/>
                <w:b w:val="1"/>
                <w:bCs w:val="1"/>
                <w:color w:val="auto"/>
                <w:w w:val="91"/>
              </w:rPr>
              <w:t xml:space="preserve"> Fiscal Years Ended, December 31, </w:t>
            </w:r>
            <w:r>
              <w:rPr>
                <w:rFonts w:ascii="Arial" w:cs="Arial" w:eastAsia="Arial" w:hAnsi="Arial"/>
                <w:sz w:val="28"/>
                <w:szCs w:val="28"/>
                <w:b w:val="1"/>
                <w:bCs w:val="1"/>
                <w:color w:val="auto"/>
                <w:w w:val="91"/>
                <w:vertAlign w:val="subscript"/>
              </w:rPr>
              <w:t>​</w:t>
            </w:r>
          </w:p>
        </w:tc>
      </w:tr>
      <w:tr>
        <w:trPr>
          <w:trHeight w:val="250"/>
        </w:trPr>
        <w:tc>
          <w:tcPr>
            <w:tcW w:w="2220" w:type="dxa"/>
            <w:vAlign w:val="bottom"/>
          </w:tcPr>
          <w:p>
            <w:pPr>
              <w:spacing w:after="0"/>
              <w:rPr>
                <w:sz w:val="20"/>
                <w:szCs w:val="20"/>
                <w:color w:val="auto"/>
              </w:rPr>
            </w:pPr>
            <w:r>
              <w:rPr>
                <w:rFonts w:ascii="Arial" w:cs="Arial" w:eastAsia="Arial" w:hAnsi="Arial"/>
                <w:sz w:val="14"/>
                <w:szCs w:val="14"/>
                <w:b w:val="1"/>
                <w:bCs w:val="1"/>
                <w:color w:val="auto"/>
              </w:rPr>
              <w:t>​</w:t>
            </w:r>
          </w:p>
        </w:tc>
        <w:tc>
          <w:tcPr>
            <w:tcW w:w="2300" w:type="dxa"/>
            <w:vAlign w:val="bottom"/>
          </w:tcPr>
          <w:p>
            <w:pPr>
              <w:ind w:left="2260"/>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3"/>
          </w:tcPr>
          <w:p>
            <w:pPr>
              <w:ind w:left="80"/>
              <w:spacing w:after="0" w:line="250" w:lineRule="exact"/>
              <w:rPr>
                <w:sz w:val="20"/>
                <w:szCs w:val="20"/>
                <w:color w:val="auto"/>
              </w:rPr>
            </w:pPr>
            <w:r>
              <w:rPr>
                <w:rFonts w:ascii="Arial" w:cs="Arial" w:eastAsia="Arial" w:hAnsi="Arial"/>
                <w:sz w:val="28"/>
                <w:szCs w:val="28"/>
                <w:b w:val="1"/>
                <w:bCs w:val="1"/>
                <w:color w:val="auto"/>
                <w:w w:val="92"/>
                <w:vertAlign w:val="subscript"/>
              </w:rPr>
              <w:t>​</w:t>
            </w:r>
            <w:r>
              <w:rPr>
                <w:rFonts w:ascii="Arial" w:cs="Arial" w:eastAsia="Arial" w:hAnsi="Arial"/>
                <w:sz w:val="14"/>
                <w:szCs w:val="14"/>
                <w:b w:val="1"/>
                <w:bCs w:val="1"/>
                <w:color w:val="auto"/>
                <w:w w:val="92"/>
              </w:rPr>
              <w:t xml:space="preserve"> As of March 31, 2023</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2220" w:type="dxa"/>
            <w:vAlign w:val="bottom"/>
          </w:tcPr>
          <w:p>
            <w:pPr>
              <w:spacing w:after="0"/>
              <w:rPr>
                <w:sz w:val="20"/>
                <w:szCs w:val="20"/>
                <w:color w:val="auto"/>
              </w:rPr>
            </w:pPr>
            <w:r>
              <w:rPr>
                <w:rFonts w:ascii="Arial" w:cs="Arial" w:eastAsia="Arial" w:hAnsi="Arial"/>
                <w:sz w:val="14"/>
                <w:szCs w:val="14"/>
                <w:b w:val="1"/>
                <w:bCs w:val="1"/>
                <w:color w:val="auto"/>
              </w:rPr>
              <w:t>​</w:t>
            </w:r>
          </w:p>
        </w:tc>
        <w:tc>
          <w:tcPr>
            <w:tcW w:w="2300" w:type="dxa"/>
            <w:vAlign w:val="bottom"/>
          </w:tcPr>
          <w:p>
            <w:pPr>
              <w:ind w:left="2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ind w:left="300"/>
              <w:spacing w:after="0"/>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gridSpan w:val="2"/>
          </w:tcPr>
          <w:p>
            <w:pPr>
              <w:ind w:left="40"/>
              <w:spacing w:after="0"/>
              <w:rPr>
                <w:sz w:val="20"/>
                <w:szCs w:val="20"/>
                <w:color w:val="auto"/>
              </w:rPr>
            </w:pPr>
            <w:r>
              <w:rPr>
                <w:rFonts w:ascii="Arial" w:cs="Arial" w:eastAsia="Arial" w:hAnsi="Arial"/>
                <w:sz w:val="14"/>
                <w:szCs w:val="14"/>
                <w:b w:val="1"/>
                <w:bCs w:val="1"/>
                <w:color w:val="auto"/>
              </w:rPr>
              <w:t>​ ​ ​</w:t>
            </w:r>
          </w:p>
        </w:tc>
        <w:tc>
          <w:tcPr>
            <w:tcW w:w="56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300" w:type="dxa"/>
            <w:vAlign w:val="bottom"/>
            <w:gridSpan w:val="2"/>
          </w:tcPr>
          <w:p>
            <w:pPr>
              <w:ind w:left="20"/>
              <w:spacing w:after="0"/>
              <w:rPr>
                <w:sz w:val="20"/>
                <w:szCs w:val="20"/>
                <w:color w:val="auto"/>
              </w:rPr>
            </w:pPr>
            <w:r>
              <w:rPr>
                <w:rFonts w:ascii="Arial" w:cs="Arial" w:eastAsia="Arial" w:hAnsi="Arial"/>
                <w:sz w:val="14"/>
                <w:szCs w:val="14"/>
                <w:b w:val="1"/>
                <w:bCs w:val="1"/>
                <w:color w:val="auto"/>
              </w:rPr>
              <w:t>​ ​ ​</w:t>
            </w:r>
          </w:p>
        </w:tc>
        <w:tc>
          <w:tcPr>
            <w:tcW w:w="68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90"/>
        </w:trPr>
        <w:tc>
          <w:tcPr>
            <w:tcW w:w="2220" w:type="dxa"/>
            <w:vAlign w:val="bottom"/>
          </w:tcPr>
          <w:p>
            <w:pPr>
              <w:spacing w:after="0"/>
              <w:rPr>
                <w:sz w:val="20"/>
                <w:szCs w:val="20"/>
                <w:color w:val="auto"/>
              </w:rPr>
            </w:pPr>
            <w:r>
              <w:rPr>
                <w:rFonts w:ascii="Arial" w:cs="Arial" w:eastAsia="Arial" w:hAnsi="Arial"/>
                <w:sz w:val="14"/>
                <w:szCs w:val="14"/>
                <w:b w:val="1"/>
                <w:bCs w:val="1"/>
                <w:color w:val="auto"/>
              </w:rPr>
              <w:t>​</w:t>
            </w:r>
          </w:p>
        </w:tc>
        <w:tc>
          <w:tcPr>
            <w:tcW w:w="2300" w:type="dxa"/>
            <w:vAlign w:val="bottom"/>
          </w:tcPr>
          <w:p>
            <w:pPr>
              <w:ind w:left="2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bl>
    <w:p>
      <w:pPr>
        <w:spacing w:after="0" w:line="21" w:lineRule="exact"/>
        <w:rPr>
          <w:sz w:val="20"/>
          <w:szCs w:val="20"/>
          <w:color w:val="auto"/>
        </w:rPr>
      </w:pPr>
    </w:p>
    <w:p>
      <w:pPr>
        <w:sectPr>
          <w:pgSz w:w="11900" w:h="16838" w:orient="portrait"/>
          <w:cols w:equalWidth="0" w:num="1">
            <w:col w:w="9879"/>
          </w:cols>
          <w:pgMar w:left="580" w:top="90" w:right="1440" w:bottom="1440" w:gutter="0" w:footer="0" w:header="0"/>
        </w:sectPr>
      </w:pPr>
    </w:p>
    <w:p>
      <w:pPr>
        <w:ind w:left="128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Cash and cash equivalents</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Total assets</w:t>
      </w:r>
    </w:p>
    <w:p>
      <w:pPr>
        <w:spacing w:after="0" w:line="8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Liabilities</w:t>
      </w:r>
    </w:p>
    <w:p>
      <w:pPr>
        <w:spacing w:after="0" w:line="6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Long-term debt</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Common stock warrant liability</w:t>
      </w:r>
    </w:p>
    <w:p>
      <w:pPr>
        <w:spacing w:after="0" w:line="7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Total liabilities</w:t>
      </w:r>
    </w:p>
    <w:p>
      <w:pPr>
        <w:spacing w:after="0" w:line="8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Stockholders’ Equity</w:t>
      </w:r>
    </w:p>
    <w:p>
      <w:pPr>
        <w:spacing w:after="0" w:line="6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Common stock</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Accumulated deficit</w:t>
      </w:r>
    </w:p>
    <w:p>
      <w:pPr>
        <w:spacing w:after="0" w:line="10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Total stockholders’ equity</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tcPr>
          <w:p>
            <w:pPr>
              <w:spacing w:after="0"/>
              <w:rPr>
                <w:sz w:val="20"/>
                <w:szCs w:val="20"/>
                <w:color w:val="auto"/>
              </w:rPr>
            </w:pPr>
            <w:r>
              <w:rPr>
                <w:rFonts w:ascii="Arial" w:cs="Arial" w:eastAsia="Arial" w:hAnsi="Arial"/>
                <w:sz w:val="18"/>
                <w:szCs w:val="18"/>
                <w:b w:val="1"/>
                <w:bCs w:val="1"/>
                <w:color w:val="auto"/>
              </w:rPr>
              <w:t>​ ​</w:t>
            </w:r>
          </w:p>
        </w:tc>
        <w:tc>
          <w:tcPr>
            <w:tcW w:w="7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3"/>
          </w:tcPr>
          <w:p>
            <w:pPr>
              <w:ind w:left="20"/>
              <w:spacing w:after="0"/>
              <w:rPr>
                <w:sz w:val="20"/>
                <w:szCs w:val="20"/>
                <w:color w:val="auto"/>
              </w:rPr>
            </w:pPr>
            <w:r>
              <w:rPr>
                <w:rFonts w:ascii="Arial" w:cs="Arial" w:eastAsia="Arial" w:hAnsi="Arial"/>
                <w:sz w:val="18"/>
                <w:szCs w:val="18"/>
                <w:b w:val="1"/>
                <w:bCs w:val="1"/>
                <w:color w:val="auto"/>
              </w:rPr>
              <w:t>​​ ​</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900,038</w:t>
            </w:r>
          </w:p>
        </w:tc>
        <w:tc>
          <w:tcPr>
            <w:tcW w:w="140" w:type="dxa"/>
            <w:vAlign w:val="bottom"/>
          </w:tcPr>
          <w:p>
            <w:pPr>
              <w:spacing w:after="0"/>
              <w:rPr>
                <w:sz w:val="23"/>
                <w:szCs w:val="23"/>
                <w:color w:val="auto"/>
              </w:rPr>
            </w:pPr>
          </w:p>
        </w:tc>
        <w:tc>
          <w:tcPr>
            <w:tcW w:w="1340" w:type="dxa"/>
            <w:vAlign w:val="bottom"/>
            <w:gridSpan w:val="6"/>
          </w:tcPr>
          <w:p>
            <w:pPr>
              <w:jc w:val="right"/>
              <w:spacing w:after="0"/>
              <w:rPr>
                <w:sz w:val="20"/>
                <w:szCs w:val="20"/>
                <w:color w:val="auto"/>
              </w:rPr>
            </w:pPr>
            <w:r>
              <w:rPr>
                <w:rFonts w:ascii="Arial" w:cs="Arial" w:eastAsia="Arial" w:hAnsi="Arial"/>
                <w:sz w:val="18"/>
                <w:szCs w:val="18"/>
                <w:color w:val="auto"/>
              </w:rPr>
              <w:t>​​ ​​$ 1,735,765​​</w:t>
            </w: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​​$ 6,262,905​</w:t>
            </w:r>
          </w:p>
        </w:tc>
        <w:tc>
          <w:tcPr>
            <w:tcW w:w="0" w:type="dxa"/>
            <w:vAlign w:val="bottom"/>
          </w:tcPr>
          <w:p>
            <w:pPr>
              <w:spacing w:after="0"/>
              <w:rPr>
                <w:sz w:val="1"/>
                <w:szCs w:val="1"/>
                <w:color w:val="auto"/>
              </w:rPr>
            </w:pPr>
          </w:p>
        </w:tc>
      </w:tr>
      <w:tr>
        <w:trPr>
          <w:trHeight w:val="270"/>
        </w:trPr>
        <w:tc>
          <w:tcPr>
            <w:tcW w:w="120" w:type="dxa"/>
            <w:vAlign w:val="bottom"/>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4"/>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7,260,931</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1140" w:type="dxa"/>
            <w:vAlign w:val="bottom"/>
            <w:gridSpan w:val="5"/>
          </w:tcPr>
          <w:p>
            <w:pPr>
              <w:jc w:val="right"/>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7,879,238</w:t>
            </w:r>
            <w:r>
              <w:rPr>
                <w:rFonts w:ascii="Arial" w:cs="Arial" w:eastAsia="Arial" w:hAnsi="Arial"/>
                <w:sz w:val="31"/>
                <w:szCs w:val="31"/>
                <w:color w:val="auto"/>
                <w:vertAlign w:val="subscript"/>
              </w:rPr>
              <w:t>​​</w:t>
            </w:r>
          </w:p>
        </w:tc>
        <w:tc>
          <w:tcPr>
            <w:tcW w:w="1040" w:type="dxa"/>
            <w:vAlign w:val="bottom"/>
            <w:gridSpan w:val="6"/>
          </w:tcPr>
          <w:p>
            <w:pPr>
              <w:jc w:val="right"/>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7,881,713</w:t>
            </w:r>
            <w:r>
              <w:rPr>
                <w:rFonts w:ascii="Arial" w:cs="Arial" w:eastAsia="Arial" w:hAnsi="Arial"/>
                <w:sz w:val="31"/>
                <w:szCs w:val="31"/>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tcPr>
          <w:p>
            <w:pPr>
              <w:spacing w:after="0"/>
              <w:rPr>
                <w:sz w:val="20"/>
                <w:szCs w:val="20"/>
                <w:color w:val="auto"/>
              </w:rPr>
            </w:pPr>
            <w:r>
              <w:rPr>
                <w:rFonts w:ascii="Arial" w:cs="Arial" w:eastAsia="Arial" w:hAnsi="Arial"/>
                <w:sz w:val="18"/>
                <w:szCs w:val="18"/>
                <w:b w:val="1"/>
                <w:bCs w:val="1"/>
                <w:color w:val="auto"/>
              </w:rPr>
              <w:t>​ ​</w:t>
            </w:r>
          </w:p>
        </w:tc>
        <w:tc>
          <w:tcPr>
            <w:tcW w:w="7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ind w:left="40"/>
              <w:spacing w:after="0"/>
              <w:rPr>
                <w:sz w:val="20"/>
                <w:szCs w:val="20"/>
                <w:color w:val="auto"/>
              </w:rPr>
            </w:pPr>
            <w:r>
              <w:rPr>
                <w:rFonts w:ascii="Arial" w:cs="Arial" w:eastAsia="Arial" w:hAnsi="Arial"/>
                <w:sz w:val="18"/>
                <w:szCs w:val="18"/>
                <w:b w:val="1"/>
                <w:bCs w:val="1"/>
                <w:color w:val="auto"/>
              </w:rPr>
              <w:t>​​ ​</w:t>
            </w:r>
          </w:p>
        </w:tc>
        <w:tc>
          <w:tcPr>
            <w:tcW w:w="7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3"/>
          </w:tcPr>
          <w:p>
            <w:pPr>
              <w:ind w:left="20"/>
              <w:spacing w:after="0"/>
              <w:rPr>
                <w:sz w:val="20"/>
                <w:szCs w:val="20"/>
                <w:color w:val="auto"/>
              </w:rPr>
            </w:pPr>
            <w:r>
              <w:rPr>
                <w:rFonts w:ascii="Arial" w:cs="Arial" w:eastAsia="Arial" w:hAnsi="Arial"/>
                <w:sz w:val="18"/>
                <w:szCs w:val="18"/>
                <w:b w:val="1"/>
                <w:bCs w:val="1"/>
                <w:color w:val="auto"/>
              </w:rPr>
              <w:t>​​ ​</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1040" w:type="dxa"/>
            <w:vAlign w:val="bottom"/>
            <w:gridSpan w:val="4"/>
          </w:tcPr>
          <w:p>
            <w:pPr>
              <w:spacing w:after="0"/>
              <w:rPr>
                <w:sz w:val="20"/>
                <w:szCs w:val="20"/>
                <w:color w:val="auto"/>
              </w:rPr>
            </w:pPr>
            <w:r>
              <w:rPr>
                <w:rFonts w:ascii="Arial" w:cs="Arial" w:eastAsia="Arial" w:hAnsi="Arial"/>
                <w:sz w:val="18"/>
                <w:szCs w:val="18"/>
                <w:color w:val="auto"/>
              </w:rPr>
              <w:t>​ ​ 1,993,113</w:t>
            </w:r>
          </w:p>
        </w:tc>
        <w:tc>
          <w:tcPr>
            <w:tcW w:w="1340" w:type="dxa"/>
            <w:vAlign w:val="bottom"/>
            <w:gridSpan w:val="6"/>
          </w:tcPr>
          <w:p>
            <w:pPr>
              <w:jc w:val="right"/>
              <w:spacing w:after="0"/>
              <w:rPr>
                <w:sz w:val="20"/>
                <w:szCs w:val="20"/>
                <w:color w:val="auto"/>
              </w:rPr>
            </w:pPr>
            <w:r>
              <w:rPr>
                <w:rFonts w:ascii="Arial" w:cs="Arial" w:eastAsia="Arial" w:hAnsi="Arial"/>
                <w:sz w:val="18"/>
                <w:szCs w:val="18"/>
                <w:color w:val="auto"/>
              </w:rPr>
              <w:t>​​ ​​ ​ 1,991,840​​</w:t>
            </w: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 ​ 1,986,791​</w:t>
            </w:r>
          </w:p>
        </w:tc>
        <w:tc>
          <w:tcPr>
            <w:tcW w:w="0" w:type="dxa"/>
            <w:vAlign w:val="bottom"/>
          </w:tcPr>
          <w:p>
            <w:pPr>
              <w:spacing w:after="0"/>
              <w:rPr>
                <w:sz w:val="1"/>
                <w:szCs w:val="1"/>
                <w:color w:val="auto"/>
              </w:rPr>
            </w:pPr>
          </w:p>
        </w:tc>
      </w:tr>
      <w:tr>
        <w:trPr>
          <w:trHeight w:val="270"/>
        </w:trPr>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160" w:type="dxa"/>
            <w:vAlign w:val="bottom"/>
            <w:gridSpan w:val="2"/>
          </w:tcPr>
          <w:p>
            <w:pPr>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181,392</w:t>
            </w:r>
          </w:p>
        </w:tc>
        <w:tc>
          <w:tcPr>
            <w:tcW w:w="140" w:type="dxa"/>
            <w:vAlign w:val="bottom"/>
          </w:tcPr>
          <w:p>
            <w:pPr>
              <w:spacing w:after="0"/>
              <w:rPr>
                <w:sz w:val="23"/>
                <w:szCs w:val="23"/>
                <w:color w:val="auto"/>
              </w:rPr>
            </w:pPr>
          </w:p>
        </w:tc>
        <w:tc>
          <w:tcPr>
            <w:tcW w:w="460" w:type="dxa"/>
            <w:vAlign w:val="bottom"/>
            <w:gridSpan w:val="4"/>
          </w:tcPr>
          <w:p>
            <w:pPr>
              <w:ind w:left="60"/>
              <w:spacing w:after="0"/>
              <w:rPr>
                <w:sz w:val="20"/>
                <w:szCs w:val="20"/>
                <w:color w:val="auto"/>
              </w:rPr>
            </w:pPr>
            <w:r>
              <w:rPr>
                <w:rFonts w:ascii="Arial" w:cs="Arial" w:eastAsia="Arial" w:hAnsi="Arial"/>
                <w:sz w:val="18"/>
                <w:szCs w:val="18"/>
                <w:color w:val="auto"/>
              </w:rPr>
              <w:t>​​ ​​ ​</w:t>
            </w:r>
          </w:p>
        </w:tc>
        <w:tc>
          <w:tcPr>
            <w:tcW w:w="740" w:type="dxa"/>
            <w:vAlign w:val="bottom"/>
          </w:tcPr>
          <w:p>
            <w:pPr>
              <w:jc w:val="right"/>
              <w:spacing w:after="0"/>
              <w:rPr>
                <w:sz w:val="20"/>
                <w:szCs w:val="20"/>
                <w:color w:val="auto"/>
              </w:rPr>
            </w:pPr>
            <w:r>
              <w:rPr>
                <w:rFonts w:ascii="Arial" w:cs="Arial" w:eastAsia="Arial" w:hAnsi="Arial"/>
                <w:sz w:val="18"/>
                <w:szCs w:val="18"/>
                <w:color w:val="auto"/>
              </w:rPr>
              <w:t>140,590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 ​ 1,394,808​</w:t>
            </w:r>
          </w:p>
        </w:tc>
        <w:tc>
          <w:tcPr>
            <w:tcW w:w="0" w:type="dxa"/>
            <w:vAlign w:val="bottom"/>
          </w:tcPr>
          <w:p>
            <w:pPr>
              <w:spacing w:after="0"/>
              <w:rPr>
                <w:sz w:val="1"/>
                <w:szCs w:val="1"/>
                <w:color w:val="auto"/>
              </w:rPr>
            </w:pPr>
          </w:p>
        </w:tc>
      </w:tr>
      <w:tr>
        <w:trPr>
          <w:trHeight w:val="270"/>
        </w:trPr>
        <w:tc>
          <w:tcPr>
            <w:tcW w:w="120" w:type="dxa"/>
            <w:vAlign w:val="bottom"/>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4"/>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3,629,080</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1140" w:type="dxa"/>
            <w:vAlign w:val="bottom"/>
            <w:gridSpan w:val="5"/>
          </w:tcPr>
          <w:p>
            <w:pPr>
              <w:jc w:val="right"/>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3,529,537</w:t>
            </w:r>
            <w:r>
              <w:rPr>
                <w:rFonts w:ascii="Arial" w:cs="Arial" w:eastAsia="Arial" w:hAnsi="Arial"/>
                <w:sz w:val="31"/>
                <w:szCs w:val="31"/>
                <w:color w:val="auto"/>
                <w:vertAlign w:val="subscript"/>
              </w:rPr>
              <w:t>​​</w:t>
            </w:r>
          </w:p>
        </w:tc>
        <w:tc>
          <w:tcPr>
            <w:tcW w:w="980" w:type="dxa"/>
            <w:vAlign w:val="bottom"/>
            <w:gridSpan w:val="5"/>
          </w:tcPr>
          <w:p>
            <w:pPr>
              <w:jc w:val="right"/>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3,972,358</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tcPr>
          <w:p>
            <w:pPr>
              <w:spacing w:after="0"/>
              <w:rPr>
                <w:sz w:val="20"/>
                <w:szCs w:val="20"/>
                <w:color w:val="auto"/>
              </w:rPr>
            </w:pPr>
            <w:r>
              <w:rPr>
                <w:rFonts w:ascii="Arial" w:cs="Arial" w:eastAsia="Arial" w:hAnsi="Arial"/>
                <w:sz w:val="18"/>
                <w:szCs w:val="18"/>
                <w:b w:val="1"/>
                <w:bCs w:val="1"/>
                <w:color w:val="auto"/>
              </w:rPr>
              <w:t>​ ​</w:t>
            </w:r>
          </w:p>
        </w:tc>
        <w:tc>
          <w:tcPr>
            <w:tcW w:w="7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ind w:left="40"/>
              <w:spacing w:after="0"/>
              <w:rPr>
                <w:sz w:val="20"/>
                <w:szCs w:val="20"/>
                <w:color w:val="auto"/>
              </w:rPr>
            </w:pPr>
            <w:r>
              <w:rPr>
                <w:rFonts w:ascii="Arial" w:cs="Arial" w:eastAsia="Arial" w:hAnsi="Arial"/>
                <w:sz w:val="18"/>
                <w:szCs w:val="18"/>
                <w:b w:val="1"/>
                <w:bCs w:val="1"/>
                <w:color w:val="auto"/>
              </w:rPr>
              <w:t>​​ ​</w:t>
            </w:r>
          </w:p>
        </w:tc>
        <w:tc>
          <w:tcPr>
            <w:tcW w:w="7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3"/>
          </w:tcPr>
          <w:p>
            <w:pPr>
              <w:ind w:left="20"/>
              <w:spacing w:after="0"/>
              <w:rPr>
                <w:sz w:val="20"/>
                <w:szCs w:val="20"/>
                <w:color w:val="auto"/>
              </w:rPr>
            </w:pPr>
            <w:r>
              <w:rPr>
                <w:rFonts w:ascii="Arial" w:cs="Arial" w:eastAsia="Arial" w:hAnsi="Arial"/>
                <w:sz w:val="18"/>
                <w:szCs w:val="18"/>
                <w:b w:val="1"/>
                <w:bCs w:val="1"/>
                <w:color w:val="auto"/>
              </w:rPr>
              <w:t>​​ ​</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160" w:type="dxa"/>
            <w:vAlign w:val="bottom"/>
            <w:gridSpan w:val="2"/>
          </w:tcPr>
          <w:p>
            <w:pPr>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23"/>
                <w:szCs w:val="23"/>
                <w:color w:val="auto"/>
              </w:rPr>
            </w:pPr>
          </w:p>
        </w:tc>
        <w:tc>
          <w:tcPr>
            <w:tcW w:w="460" w:type="dxa"/>
            <w:vAlign w:val="bottom"/>
            <w:gridSpan w:val="4"/>
          </w:tcPr>
          <w:p>
            <w:pPr>
              <w:ind w:left="60"/>
              <w:spacing w:after="0"/>
              <w:rPr>
                <w:sz w:val="20"/>
                <w:szCs w:val="20"/>
                <w:color w:val="auto"/>
              </w:rPr>
            </w:pPr>
            <w:r>
              <w:rPr>
                <w:rFonts w:ascii="Arial" w:cs="Arial" w:eastAsia="Arial" w:hAnsi="Arial"/>
                <w:sz w:val="18"/>
                <w:szCs w:val="18"/>
                <w:color w:val="auto"/>
              </w:rPr>
              <w:t>​​ ​​ ​</w:t>
            </w:r>
          </w:p>
        </w:tc>
        <w:tc>
          <w:tcPr>
            <w:tcW w:w="740" w:type="dxa"/>
            <w:vAlign w:val="bottom"/>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1040" w:type="dxa"/>
            <w:vAlign w:val="bottom"/>
            <w:gridSpan w:val="4"/>
          </w:tcPr>
          <w:p>
            <w:pPr>
              <w:spacing w:after="0"/>
              <w:rPr>
                <w:sz w:val="20"/>
                <w:szCs w:val="20"/>
                <w:color w:val="auto"/>
              </w:rPr>
            </w:pPr>
            <w:r>
              <w:rPr>
                <w:rFonts w:ascii="Arial" w:cs="Arial" w:eastAsia="Arial" w:hAnsi="Arial"/>
                <w:sz w:val="18"/>
                <w:szCs w:val="18"/>
                <w:color w:val="auto"/>
              </w:rPr>
              <w:t>​ ​11,809,781</w:t>
            </w:r>
          </w:p>
        </w:tc>
        <w:tc>
          <w:tcPr>
            <w:tcW w:w="1340" w:type="dxa"/>
            <w:vAlign w:val="bottom"/>
            <w:gridSpan w:val="6"/>
          </w:tcPr>
          <w:p>
            <w:pPr>
              <w:jc w:val="right"/>
              <w:spacing w:after="0"/>
              <w:rPr>
                <w:sz w:val="20"/>
                <w:szCs w:val="20"/>
                <w:color w:val="auto"/>
              </w:rPr>
            </w:pPr>
            <w:r>
              <w:rPr>
                <w:rFonts w:ascii="Arial" w:cs="Arial" w:eastAsia="Arial" w:hAnsi="Arial"/>
                <w:sz w:val="18"/>
                <w:szCs w:val="18"/>
                <w:color w:val="auto"/>
              </w:rPr>
              <w:t>​​ ​​ ​11,752,138​​</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 ​ 9,995,778</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12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line="189" w:lineRule="exact"/>
              <w:rPr>
                <w:sz w:val="20"/>
                <w:szCs w:val="20"/>
                <w:color w:val="auto"/>
              </w:rPr>
            </w:pPr>
            <w:r>
              <w:rPr>
                <w:rFonts w:ascii="Arial" w:cs="Arial" w:eastAsia="Arial" w:hAnsi="Arial"/>
                <w:sz w:val="18"/>
                <w:szCs w:val="18"/>
                <w:color w:val="auto"/>
                <w:w w:val="91"/>
              </w:rPr>
              <w:t>​(8,149,860)</w:t>
            </w:r>
          </w:p>
        </w:tc>
        <w:tc>
          <w:tcPr>
            <w:tcW w:w="20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80" w:type="dxa"/>
            <w:vAlign w:val="bottom"/>
            <w:gridSpan w:val="2"/>
            <w:vMerge w:val="restart"/>
          </w:tcPr>
          <w:p>
            <w:pPr>
              <w:ind w:left="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line="189" w:lineRule="exact"/>
              <w:rPr>
                <w:sz w:val="20"/>
                <w:szCs w:val="20"/>
                <w:color w:val="auto"/>
              </w:rPr>
            </w:pPr>
            <w:r>
              <w:rPr>
                <w:rFonts w:ascii="Arial" w:cs="Arial" w:eastAsia="Arial" w:hAnsi="Arial"/>
                <w:sz w:val="18"/>
                <w:szCs w:val="18"/>
                <w:color w:val="auto"/>
                <w:w w:val="93"/>
              </w:rPr>
              <w:t>​(7,370,332)</w:t>
            </w:r>
          </w:p>
        </w:tc>
        <w:tc>
          <w:tcPr>
            <w:tcW w:w="16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spacing w:after="0" w:line="189" w:lineRule="exact"/>
              <w:rPr>
                <w:sz w:val="20"/>
                <w:szCs w:val="20"/>
                <w:color w:val="auto"/>
              </w:rPr>
            </w:pPr>
            <w:r>
              <w:rPr>
                <w:rFonts w:ascii="Arial" w:cs="Arial" w:eastAsia="Arial" w:hAnsi="Arial"/>
                <w:sz w:val="18"/>
                <w:szCs w:val="18"/>
                <w:color w:val="auto"/>
                <w:w w:val="93"/>
              </w:rPr>
              <w:t>​(6,065,872)</w:t>
            </w:r>
          </w:p>
        </w:tc>
        <w:tc>
          <w:tcPr>
            <w:tcW w:w="0" w:type="dxa"/>
            <w:vAlign w:val="bottom"/>
          </w:tcPr>
          <w:p>
            <w:pPr>
              <w:spacing w:after="0"/>
              <w:rPr>
                <w:sz w:val="1"/>
                <w:szCs w:val="1"/>
                <w:color w:val="auto"/>
              </w:rPr>
            </w:pPr>
          </w:p>
        </w:tc>
      </w:tr>
      <w:tr>
        <w:trPr>
          <w:trHeight w:val="81"/>
        </w:trPr>
        <w:tc>
          <w:tcPr>
            <w:tcW w:w="12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jc w:val="right"/>
              <w:spacing w:after="0" w:line="81" w:lineRule="exact"/>
              <w:rPr>
                <w:sz w:val="20"/>
                <w:szCs w:val="20"/>
                <w:color w:val="auto"/>
              </w:rPr>
            </w:pPr>
            <w:r>
              <w:rPr>
                <w:rFonts w:ascii="Arial" w:cs="Arial" w:eastAsia="Arial" w:hAnsi="Arial"/>
                <w:sz w:val="9"/>
                <w:szCs w:val="9"/>
                <w:color w:val="auto"/>
              </w:rPr>
              <w:t>​​</w:t>
            </w:r>
          </w:p>
        </w:tc>
        <w:tc>
          <w:tcPr>
            <w:tcW w:w="16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jc w:val="right"/>
              <w:spacing w:after="0" w:line="8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 w:type="dxa"/>
            <w:vAlign w:val="bottom"/>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64" w:lineRule="exact"/>
              <w:rPr>
                <w:sz w:val="20"/>
                <w:szCs w:val="20"/>
                <w:color w:val="auto"/>
              </w:rPr>
            </w:pPr>
            <w:r>
              <w:rPr>
                <w:rFonts w:ascii="Arial" w:cs="Arial" w:eastAsia="Arial" w:hAnsi="Arial"/>
                <w:sz w:val="30"/>
                <w:szCs w:val="30"/>
                <w:color w:val="auto"/>
                <w:w w:val="89"/>
                <w:vertAlign w:val="subscript"/>
              </w:rPr>
              <w:t>​</w:t>
            </w:r>
            <w:r>
              <w:rPr>
                <w:rFonts w:ascii="Arial" w:cs="Arial" w:eastAsia="Arial" w:hAnsi="Arial"/>
                <w:sz w:val="16"/>
                <w:szCs w:val="16"/>
                <w:color w:val="auto"/>
                <w:w w:val="89"/>
              </w:rPr>
              <w:t>$</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3,631,851</w:t>
            </w:r>
          </w:p>
        </w:tc>
        <w:tc>
          <w:tcPr>
            <w:tcW w:w="140" w:type="dxa"/>
            <w:vAlign w:val="bottom"/>
          </w:tcPr>
          <w:p>
            <w:pPr>
              <w:spacing w:after="0"/>
              <w:rPr>
                <w:sz w:val="24"/>
                <w:szCs w:val="24"/>
                <w:color w:val="auto"/>
              </w:rPr>
            </w:pP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4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4,349,701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5"/>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$ 3,909,355</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000" w:space="720"/>
            <w:col w:w="4159"/>
          </w:cols>
          <w:pgMar w:left="580" w:top="9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i w:val="1"/>
          <w:iCs w:val="1"/>
          <w:color w:val="auto"/>
        </w:rPr>
        <w:t>An investment in our common stock involves a high degree of risk. Before making an investment decision, you should carefully consider the following risk factors, in addition to the risks and uncertainties discussed above under “Special Note Regarding Forward-Looking Statements,” together with the risk factors described in our Quarterly Report on Form 10-Q for the three months ended March 31, 2023, as well as the other information contained or incorporated by reference into this prospectus supplement or the accompanying prospectus. The occurrence of one or more of the events or circumstances described in these risk factors, alone or in combination with other events or circumstances, may have an adverse effect on our business, cash flows, financial condition and results of operations. We may face additional risks and uncertainties that are not presently known to us or that we currently deem immaterial, which may also impair our business or financial condition.</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229" w:lineRule="exact"/>
        <w:rPr>
          <w:sz w:val="20"/>
          <w:szCs w:val="20"/>
          <w:color w:val="auto"/>
        </w:rPr>
      </w:pPr>
    </w:p>
    <w:p>
      <w:pPr>
        <w:ind w:left="1260" w:right="599"/>
        <w:spacing w:after="0" w:line="381" w:lineRule="auto"/>
        <w:rPr>
          <w:sz w:val="20"/>
          <w:szCs w:val="20"/>
          <w:color w:val="auto"/>
        </w:rPr>
      </w:pPr>
      <w:r>
        <w:rPr>
          <w:rFonts w:ascii="Arial" w:cs="Arial" w:eastAsia="Arial" w:hAnsi="Arial"/>
          <w:sz w:val="15"/>
          <w:szCs w:val="15"/>
          <w:b w:val="1"/>
          <w:bCs w:val="1"/>
          <w:i w:val="1"/>
          <w:iCs w:val="1"/>
          <w:color w:val="auto"/>
        </w:rPr>
        <w:t>We have broad discretion in the use of the net proceeds from this offering and may invest or spend the proceeds in ways with which you do not agree and in ways that may not yield a return on your investment.</w:t>
      </w:r>
    </w:p>
    <w:p>
      <w:pPr>
        <w:spacing w:after="0" w:line="19"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You will not have the opportunity, as part of your investment decision, to assess whether the proceeds are being used effectively. Our management might not apply the net proceeds or our existing cash in ways that ultimately increase the value of your investment. If we do not invest or apply the net proceeds from this offering or our existing cash in ways that enhance stockholder value, we may fail to achieve expected results, which could cause our stock price to decline. Pending their use, we may invest the net proceeds from this offering in short -term U.S. Treasury securities with insignificant rates of return. These investments may not yield a favorable return to our stockholders.</w:t>
      </w:r>
    </w:p>
    <w:p>
      <w:pPr>
        <w:spacing w:after="0" w:line="186" w:lineRule="exact"/>
        <w:rPr>
          <w:sz w:val="20"/>
          <w:szCs w:val="20"/>
          <w:color w:val="auto"/>
        </w:rPr>
      </w:pPr>
    </w:p>
    <w:p>
      <w:pPr>
        <w:ind w:left="1260" w:right="839"/>
        <w:spacing w:after="0" w:line="381" w:lineRule="auto"/>
        <w:rPr>
          <w:sz w:val="20"/>
          <w:szCs w:val="20"/>
          <w:color w:val="auto"/>
        </w:rPr>
      </w:pPr>
      <w:r>
        <w:rPr>
          <w:rFonts w:ascii="Arial" w:cs="Arial" w:eastAsia="Arial" w:hAnsi="Arial"/>
          <w:sz w:val="15"/>
          <w:szCs w:val="15"/>
          <w:b w:val="1"/>
          <w:bCs w:val="1"/>
          <w:i w:val="1"/>
          <w:iCs w:val="1"/>
          <w:color w:val="auto"/>
        </w:rPr>
        <w:t>The issuance of additional shares of our common stock or other equity or equity-linked securities, or sales of a significant portion of our common stock, could depress the market price of our common stock.</w:t>
      </w:r>
    </w:p>
    <w:p>
      <w:pPr>
        <w:spacing w:after="0" w:line="19"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Future issuances of shares of our common stock, or of securities convertible into or exercisable for our common stock, could depress the market price of our common stock and result in significant dilution for holders of our common stock. The exercise of our outstanding warrants and options, the vesting and settlement of our RSUs, or the conversion of our 2026 Convertible Notes would result in additional dilution to holders of our common stock. In the future, we may issue additional shares of our common stock, or securities convertible into or exercisable for common stock, in connection with generating additional capital, future acquisitions, repayment of outstanding indebtedness, under our Incentive Plan, or for other reasons.</w:t>
      </w:r>
    </w:p>
    <w:p>
      <w:pPr>
        <w:spacing w:after="0" w:line="119" w:lineRule="exact"/>
        <w:rPr>
          <w:sz w:val="20"/>
          <w:szCs w:val="20"/>
          <w:color w:val="auto"/>
        </w:rPr>
      </w:pPr>
    </w:p>
    <w:p>
      <w:pPr>
        <w:ind w:left="1260" w:right="599" w:firstLine="360"/>
        <w:spacing w:after="0" w:line="249" w:lineRule="auto"/>
        <w:rPr>
          <w:sz w:val="20"/>
          <w:szCs w:val="20"/>
          <w:color w:val="auto"/>
        </w:rPr>
      </w:pPr>
      <w:r>
        <w:rPr>
          <w:rFonts w:ascii="Arial" w:cs="Arial" w:eastAsia="Arial" w:hAnsi="Arial"/>
          <w:sz w:val="18"/>
          <w:szCs w:val="18"/>
          <w:color w:val="auto"/>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spacing w:after="0" w:line="113" w:lineRule="exact"/>
        <w:rPr>
          <w:sz w:val="20"/>
          <w:szCs w:val="20"/>
          <w:color w:val="auto"/>
        </w:rPr>
      </w:pPr>
    </w:p>
    <w:p>
      <w:pPr>
        <w:ind w:left="1260" w:right="419" w:firstLine="360"/>
        <w:spacing w:after="0" w:line="258" w:lineRule="auto"/>
        <w:rPr>
          <w:sz w:val="20"/>
          <w:szCs w:val="20"/>
          <w:color w:val="auto"/>
        </w:rPr>
      </w:pPr>
      <w:r>
        <w:rPr>
          <w:rFonts w:ascii="Arial" w:cs="Arial" w:eastAsia="Arial" w:hAnsi="Arial"/>
          <w:sz w:val="17"/>
          <w:szCs w:val="17"/>
          <w:color w:val="auto"/>
        </w:rPr>
        <w:t>In addition, pursuant to the Investor Rights Agreement, Ayar, and certain other parties thereto are entitled to, among other things, certain registration rights, including demand, piggy-back and shelf registration rights. On May 31, 2023, we entered into a second amendment to the Investor Rights Agreement (the “Second IRA Amendment”). Pursuant to the Second IRA Amendment, Ayar will be entitled to certain registration rights, including demand, piggy-back and shelf registration rights, with respect to any shares of common stock Ayar purchases in the Ayar Investment. If one or more of these stockholders were to sell a substantial portion of the shares they hold, it could cause the trading price of our common stock to decline. For six months following the closing of the Ayar Investment, Ayar will be subject to a contractual lock-up with respect to our common stock or other equity securities. See “Ayar Investment.”</w:t>
      </w:r>
    </w:p>
    <w:p>
      <w:pPr>
        <w:spacing w:after="0" w:line="188" w:lineRule="exact"/>
        <w:rPr>
          <w:sz w:val="20"/>
          <w:szCs w:val="20"/>
          <w:color w:val="auto"/>
        </w:rPr>
      </w:pPr>
    </w:p>
    <w:p>
      <w:pPr>
        <w:jc w:val="both"/>
        <w:ind w:left="1260" w:right="499"/>
        <w:spacing w:after="0" w:line="248" w:lineRule="auto"/>
        <w:rPr>
          <w:sz w:val="20"/>
          <w:szCs w:val="20"/>
          <w:color w:val="auto"/>
        </w:rPr>
      </w:pPr>
      <w:r>
        <w:rPr>
          <w:rFonts w:ascii="Arial" w:cs="Arial" w:eastAsia="Arial" w:hAnsi="Arial"/>
          <w:sz w:val="18"/>
          <w:szCs w:val="18"/>
          <w:b w:val="1"/>
          <w:bCs w:val="1"/>
          <w:i w:val="1"/>
          <w:iCs w:val="1"/>
          <w:color w:val="auto"/>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spacing w:after="0" w:line="114" w:lineRule="exact"/>
        <w:rPr>
          <w:sz w:val="20"/>
          <w:szCs w:val="20"/>
          <w:color w:val="auto"/>
        </w:rPr>
      </w:pPr>
    </w:p>
    <w:p>
      <w:pPr>
        <w:ind w:left="1260" w:right="439" w:firstLine="360"/>
        <w:spacing w:after="0" w:line="308" w:lineRule="auto"/>
        <w:rPr>
          <w:sz w:val="20"/>
          <w:szCs w:val="20"/>
          <w:color w:val="auto"/>
        </w:rPr>
      </w:pPr>
      <w:r>
        <w:rPr>
          <w:rFonts w:ascii="Arial" w:cs="Arial" w:eastAsia="Arial" w:hAnsi="Arial"/>
          <w:sz w:val="17"/>
          <w:szCs w:val="17"/>
          <w:color w:val="auto"/>
        </w:rPr>
        <w:t>The trading market for our common stock can be influenced by the research and reports that industry or securities analysts may publish about us, our business and operations, our market, or our competitors.</w:t>
      </w:r>
    </w:p>
    <w:p>
      <w:pPr>
        <w:sectPr>
          <w:pgSz w:w="11900" w:h="16838" w:orient="portrait"/>
          <w:cols w:equalWidth="0" w:num="1">
            <w:col w:w="9879"/>
          </w:cols>
          <w:pgMar w:left="580" w:top="90" w:right="1440" w:bottom="1440" w:gutter="0" w:footer="0" w:header="0"/>
        </w:sectPr>
      </w:pPr>
    </w:p>
    <w:p>
      <w:pPr>
        <w:spacing w:after="0" w:line="308"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99"/>
        <w:spacing w:after="0" w:line="257" w:lineRule="auto"/>
        <w:rPr>
          <w:sz w:val="20"/>
          <w:szCs w:val="20"/>
          <w:color w:val="auto"/>
        </w:rPr>
      </w:pPr>
      <w:r>
        <w:rPr>
          <w:rFonts w:ascii="Arial" w:cs="Arial" w:eastAsia="Arial" w:hAnsi="Arial"/>
          <w:sz w:val="18"/>
          <w:szCs w:val="18"/>
          <w:color w:val="auto"/>
        </w:rPr>
        <w:t>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spacing w:after="0" w:line="188" w:lineRule="exact"/>
        <w:rPr>
          <w:sz w:val="20"/>
          <w:szCs w:val="20"/>
          <w:color w:val="auto"/>
        </w:rPr>
      </w:pPr>
    </w:p>
    <w:p>
      <w:pPr>
        <w:ind w:left="1260" w:right="459"/>
        <w:spacing w:after="0" w:line="277" w:lineRule="auto"/>
        <w:rPr>
          <w:sz w:val="20"/>
          <w:szCs w:val="20"/>
          <w:color w:val="auto"/>
        </w:rPr>
      </w:pPr>
      <w:r>
        <w:rPr>
          <w:rFonts w:ascii="Arial" w:cs="Arial" w:eastAsia="Arial" w:hAnsi="Arial"/>
          <w:sz w:val="18"/>
          <w:szCs w:val="18"/>
          <w:b w:val="1"/>
          <w:bCs w:val="1"/>
          <w:i w:val="1"/>
          <w:iCs w:val="1"/>
          <w:color w:val="auto"/>
        </w:rPr>
        <w:t>The price of our common stock is volatile, and this volatility may negatively impact the market price of our common stock.</w:t>
      </w:r>
    </w:p>
    <w:p>
      <w:pPr>
        <w:spacing w:after="0" w:line="103"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The trading price of our common stock has fluctuated substantially. The trading price of our common stock depends on many factors, including those described elsewhere in this “Risk Factors” section, many of which are beyond our control and may not be related to our operating performance. These fluctuations could cause investors to lose all or part of the investment in our common stock since investors might be unable to sell them at or above the price the investor paid for them. Any of the factors listed below could have a material adverse effect on your investment in our common stock and our common stock may trade at prices significantly below the price you paid for it. In such circumstances, the trading price of our common stock may not recover and may experience a further decline.</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Factors affecting the trading price of our common stock may include:</w:t>
      </w:r>
    </w:p>
    <w:p>
      <w:pPr>
        <w:spacing w:after="0" w:line="117" w:lineRule="exact"/>
        <w:rPr>
          <w:sz w:val="20"/>
          <w:szCs w:val="20"/>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conditions in the broader stock market in general, or in our industry in particular;</w:t>
      </w:r>
    </w:p>
    <w:p>
      <w:pPr>
        <w:spacing w:after="0" w:line="117"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or operating results or the quarterly financial or operating results of companies perceived to be similar to ours;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128" w:lineRule="exact"/>
        <w:rPr>
          <w:rFonts w:ascii="Arial" w:cs="Arial" w:eastAsia="Arial" w:hAnsi="Arial"/>
          <w:sz w:val="17"/>
          <w:szCs w:val="17"/>
          <w:color w:val="auto"/>
        </w:rPr>
      </w:pPr>
    </w:p>
    <w:p>
      <w:pPr>
        <w:ind w:left="1800" w:right="49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public’s reaction to the number of unit reservations, financial projections and any other guidance or metrics that we may publicly disclose from time to time;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competitors’ businesses or the competitive landscape generally;</w:t>
      </w:r>
    </w:p>
    <w:p>
      <w:pPr>
        <w:spacing w:after="0" w:line="62"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operating results failing to meet the expectation of securities analysts or investors in a particular period;</w:t>
      </w:r>
    </w:p>
    <w:p>
      <w:pPr>
        <w:spacing w:after="0" w:line="62"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the achievement of objectives under our business plan and the timing and amount of costs we incur in connection therewith;</w:t>
      </w:r>
    </w:p>
    <w:p>
      <w:pPr>
        <w:spacing w:after="0" w:line="62"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operating and stock price performance of other companies that investors deem comparable to ours;</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commencement of, or involvement in, litigation or investigations involving us;</w:t>
      </w:r>
    </w:p>
    <w:p>
      <w:pPr>
        <w:spacing w:after="0" w:line="117"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volume of our common stock available for public sale;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17" w:lineRule="exact"/>
        <w:rPr>
          <w:rFonts w:ascii="Arial" w:cs="Arial" w:eastAsia="Arial" w:hAnsi="Arial"/>
          <w:sz w:val="18"/>
          <w:szCs w:val="18"/>
          <w:color w:val="auto"/>
        </w:rPr>
      </w:pPr>
    </w:p>
    <w:p>
      <w:pPr>
        <w:ind w:left="1800" w:right="719" w:hanging="180"/>
        <w:spacing w:after="0" w:line="286" w:lineRule="auto"/>
        <w:tabs>
          <w:tab w:leader="none" w:pos="1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sales of substantial amounts of our common stock by our directors, officers or significant stockholders or the perception that such sales could occur, including the expiration of the lock-up periods applicable to certain holders of our common stock pursuant to the Sponsor Agreement;</w:t>
      </w:r>
    </w:p>
    <w:p>
      <w:pPr>
        <w:spacing w:after="0" w:line="57" w:lineRule="exact"/>
        <w:rPr>
          <w:rFonts w:ascii="Arial" w:cs="Arial" w:eastAsia="Arial" w:hAnsi="Arial"/>
          <w:sz w:val="17"/>
          <w:szCs w:val="17"/>
          <w:color w:val="auto"/>
        </w:rPr>
      </w:pPr>
    </w:p>
    <w:p>
      <w:pPr>
        <w:ind w:left="1800" w:right="839" w:hanging="180"/>
        <w:spacing w:after="0" w:line="308" w:lineRule="auto"/>
        <w:tabs>
          <w:tab w:leader="none" w:pos="1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general economic and political conditions, such as recessions, interest rates, pandemics (such as COVID-19), inflation, government closures of banks and liquidity concerns at other financial</w:t>
      </w:r>
    </w:p>
    <w:p>
      <w:pPr>
        <w:sectPr>
          <w:pgSz w:w="11900" w:h="16838" w:orient="portrait"/>
          <w:cols w:equalWidth="0" w:num="1">
            <w:col w:w="9879"/>
          </w:cols>
          <w:pgMar w:left="580" w:top="90"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479"/>
        <w:spacing w:after="0" w:line="277" w:lineRule="auto"/>
        <w:rPr>
          <w:sz w:val="20"/>
          <w:szCs w:val="20"/>
          <w:color w:val="auto"/>
        </w:rPr>
      </w:pPr>
      <w:r>
        <w:rPr>
          <w:rFonts w:ascii="Arial" w:cs="Arial" w:eastAsia="Arial" w:hAnsi="Arial"/>
          <w:sz w:val="18"/>
          <w:szCs w:val="18"/>
          <w:color w:val="auto"/>
        </w:rPr>
        <w:t>institutions, changes in diplomatic and trade relationships, fluctuations in foreign currency exchange rates, acts of war or terrorism, and natural disasters; and</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other risk factors listed in this section “Risk Factors.”</w:t>
      </w:r>
    </w:p>
    <w:p>
      <w:pPr>
        <w:spacing w:after="0" w:line="158"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regardless of our business, prospects, financial conditions or results of operations. Broad market and industry factors, including the impact of the conflict between Ukraine and Russia, natural disasters, the COVID-19 pandemic, and any other global pandemics, as well as general economic, political and market conditions such as recessions, inflation, government closures of banks and liquidity concerns at other financial institutions, or interest rate changes, may seriously affect the market price of our common stock and other securities, regardless of our actual operating performance. These fluctuations may be even more pronounced in the trading market for our stock shortly following the transactions. A decline in the market price of our securities also could adversely affect our ability to issue additional securities and our ability to obtain additional financing in the future.</w:t>
      </w:r>
    </w:p>
    <w:p>
      <w:pPr>
        <w:spacing w:after="0" w:line="117"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Furthermore, the stock markets in general, and the markets for technology and electric vehicle stocks in particular, have experienced extreme volatility, including as a result of the COVID-19 pandemic,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2026 Convertible Notes may impact the market price of our common stock, in particular during any redemption conversion period in connection with a redemption of the 2026 Convertible Notes or any observation period for a conversion of the 2026 Convertible Notes.</w:t>
      </w:r>
    </w:p>
    <w:p>
      <w:pPr>
        <w:spacing w:after="0" w:line="101"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76" w:lineRule="exact"/>
        <w:rPr>
          <w:sz w:val="20"/>
          <w:szCs w:val="20"/>
          <w:color w:val="auto"/>
        </w:rPr>
      </w:pPr>
    </w:p>
    <w:p>
      <w:pPr>
        <w:ind w:left="1260" w:right="599"/>
        <w:spacing w:after="0" w:line="311" w:lineRule="auto"/>
        <w:rPr>
          <w:sz w:val="20"/>
          <w:szCs w:val="20"/>
          <w:color w:val="auto"/>
        </w:rPr>
      </w:pPr>
      <w:r>
        <w:rPr>
          <w:rFonts w:ascii="Arial" w:cs="Arial" w:eastAsia="Arial" w:hAnsi="Arial"/>
          <w:sz w:val="16"/>
          <w:szCs w:val="16"/>
          <w:b w:val="1"/>
          <w:bCs w:val="1"/>
          <w:i w:val="1"/>
          <w:iCs w:val="1"/>
          <w:color w:val="auto"/>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spacing w:after="0" w:line="81"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As of March 31, 2023, PIF, both directly and indirectly through Ayar, held approximately 60.5% of our common stock.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sectPr>
          <w:pgSz w:w="11900" w:h="16838" w:orient="portrait"/>
          <w:cols w:equalWidth="0" w:num="1">
            <w:col w:w="9879"/>
          </w:cols>
          <w:pgMar w:left="580" w:top="90" w:right="1440" w:bottom="1440" w:gutter="0" w:footer="0" w:header="0"/>
        </w:sectPr>
      </w:pPr>
    </w:p>
    <w:p>
      <w:pPr>
        <w:spacing w:after="0" w:line="37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Further, this concentration of ownership and voting power allows Ayar to control our decisions,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7" w:name="page18"/>
    <w:bookmarkEnd w:id="1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1260" w:right="639" w:firstLine="360"/>
        <w:spacing w:after="0" w:line="257" w:lineRule="auto"/>
        <w:rPr>
          <w:sz w:val="20"/>
          <w:szCs w:val="20"/>
          <w:color w:val="auto"/>
        </w:rPr>
      </w:pPr>
      <w:r>
        <w:rPr>
          <w:rFonts w:ascii="Arial" w:cs="Arial" w:eastAsia="Arial" w:hAnsi="Arial"/>
          <w:sz w:val="18"/>
          <w:szCs w:val="18"/>
          <w:color w:val="auto"/>
        </w:rPr>
        <w:t>We estimate that the net proceeds from the sale of our common stock in this offering and the Ayar Investment will be approximately $      million, after deducting the estimated expenses of this offering and the Ayar Investment. We intend to use the net proceeds from the sale of our common stock in this offering and the Ayar Investment for general corporate purposes, which may include capital expenditures and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ind w:left="1260" w:right="459" w:firstLine="360"/>
        <w:spacing w:after="0" w:line="293" w:lineRule="auto"/>
        <w:rPr>
          <w:sz w:val="20"/>
          <w:szCs w:val="20"/>
          <w:color w:val="auto"/>
        </w:rPr>
      </w:pPr>
      <w:r>
        <w:rPr>
          <w:rFonts w:ascii="Arial" w:cs="Arial" w:eastAsia="Arial" w:hAnsi="Arial"/>
          <w:sz w:val="16"/>
          <w:szCs w:val="16"/>
          <w:color w:val="auto"/>
        </w:rPr>
        <w:t>We have not paid any cash dividends on our common stock to date and we do not anticipate declaring any cash dividends in the foreseeable future. The payment of cash dividends in the future is dependent upon our revenues and earnings, if any, capital requirements, the terms of any indebtedness and general financial condition. In June 2022, we entered into a five-year senior secured asset-based revolving credit facility (the “ABL Credit Facility”), which contains restrictions on our ability to pay dividends. In addition, the Board is not currently contemplating and does not anticipate declaring any stock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9" w:name="page20"/>
    <w:bookmarkEnd w:id="1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CAPITALIZATION</w:t>
      </w:r>
    </w:p>
    <w:p>
      <w:pPr>
        <w:spacing w:after="0" w:line="162" w:lineRule="exact"/>
        <w:rPr>
          <w:sz w:val="20"/>
          <w:szCs w:val="20"/>
          <w:color w:val="auto"/>
        </w:rPr>
      </w:pPr>
    </w:p>
    <w:p>
      <w:pPr>
        <w:ind w:left="1260" w:right="1239" w:firstLine="360"/>
        <w:spacing w:after="0" w:line="261" w:lineRule="auto"/>
        <w:rPr>
          <w:sz w:val="20"/>
          <w:szCs w:val="20"/>
          <w:color w:val="auto"/>
        </w:rPr>
      </w:pPr>
      <w:r>
        <w:rPr>
          <w:rFonts w:ascii="Arial" w:cs="Arial" w:eastAsia="Arial" w:hAnsi="Arial"/>
          <w:sz w:val="18"/>
          <w:szCs w:val="18"/>
          <w:color w:val="auto"/>
        </w:rPr>
        <w:t>The following table sets forth our cash, cash equivalents and short-term investments, and our capitalization as of March 31, 2023:</w:t>
      </w:r>
    </w:p>
    <w:p>
      <w:pPr>
        <w:spacing w:after="0" w:line="63" w:lineRule="exact"/>
        <w:rPr>
          <w:sz w:val="20"/>
          <w:szCs w:val="20"/>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17" w:lineRule="exact"/>
        <w:rPr>
          <w:rFonts w:ascii="Arial" w:cs="Arial" w:eastAsia="Arial" w:hAnsi="Arial"/>
          <w:sz w:val="18"/>
          <w:szCs w:val="18"/>
          <w:color w:val="auto"/>
        </w:rPr>
      </w:pPr>
    </w:p>
    <w:p>
      <w:pPr>
        <w:ind w:left="1800" w:right="103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an as adjusted basis to give effect to this offering and the Ayar Investment, after deducting estimated offering expenses payable by us.</w:t>
      </w:r>
    </w:p>
    <w:p>
      <w:pPr>
        <w:spacing w:after="0" w:line="103" w:lineRule="exact"/>
        <w:rPr>
          <w:sz w:val="20"/>
          <w:szCs w:val="20"/>
          <w:color w:val="auto"/>
        </w:rPr>
      </w:pPr>
    </w:p>
    <w:p>
      <w:pPr>
        <w:ind w:left="1260" w:right="539" w:firstLine="360"/>
        <w:spacing w:after="0" w:line="245" w:lineRule="auto"/>
        <w:rPr>
          <w:rFonts w:ascii="Arial" w:cs="Arial" w:eastAsia="Arial" w:hAnsi="Arial"/>
          <w:sz w:val="18"/>
          <w:szCs w:val="18"/>
          <w:color w:val="auto"/>
        </w:rPr>
      </w:pPr>
      <w:r>
        <w:rPr>
          <w:rFonts w:ascii="Arial" w:cs="Arial" w:eastAsia="Arial" w:hAnsi="Arial"/>
          <w:sz w:val="18"/>
          <w:szCs w:val="18"/>
          <w:color w:val="auto"/>
        </w:rPr>
        <w:t xml:space="preserve">You should read this table in conjunction with the section “Management’s Discussion and Analysis of Financial Condition and Results of Operations” and our consolidated financial statements and related notes from our Annual Report on Form 10-K for the year ended </w:t>
      </w:r>
      <w:hyperlink r:id="rId31">
        <w:r>
          <w:rPr>
            <w:rFonts w:ascii="Arial" w:cs="Arial" w:eastAsia="Arial" w:hAnsi="Arial"/>
            <w:sz w:val="18"/>
            <w:szCs w:val="18"/>
            <w:u w:val="single" w:color="auto"/>
            <w:color w:val="0000EE"/>
          </w:rPr>
          <w:t>December 31,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our Quarterly Report on Form 10-Q for the three months ended </w:t>
      </w:r>
      <w:hyperlink r:id="rId32">
        <w:r>
          <w:rPr>
            <w:rFonts w:ascii="Arial" w:cs="Arial" w:eastAsia="Arial" w:hAnsi="Arial"/>
            <w:sz w:val="18"/>
            <w:szCs w:val="18"/>
            <w:u w:val="single" w:color="auto"/>
            <w:color w:val="0000EE"/>
          </w:rPr>
          <w:t>March 31, 2023</w:t>
        </w:r>
      </w:hyperlink>
      <w:r>
        <w:rPr>
          <w:rFonts w:ascii="Arial" w:cs="Arial" w:eastAsia="Arial" w:hAnsi="Arial"/>
          <w:sz w:val="18"/>
          <w:szCs w:val="18"/>
          <w:color w:val="auto"/>
        </w:rPr>
        <w:t>, incorporated by reference into this prospectus supplement and the accompanying prospectus.</w:t>
      </w:r>
    </w:p>
    <w:p>
      <w:pPr>
        <w:spacing w:after="0" w:line="137"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622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0"/>
              </w:rPr>
              <w:t>As of March 31, 2023</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622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p>
        </w:tc>
        <w:tc>
          <w:tcPr>
            <w:tcW w:w="700" w:type="dxa"/>
            <w:vAlign w:val="bottom"/>
            <w:gridSpan w:val="2"/>
          </w:tcPr>
          <w:p>
            <w:pPr>
              <w:jc w:val="right"/>
              <w:spacing w:after="0" w:line="236" w:lineRule="exact"/>
              <w:rPr>
                <w:sz w:val="20"/>
                <w:szCs w:val="20"/>
                <w:color w:val="auto"/>
              </w:rPr>
            </w:pPr>
            <w:r>
              <w:rPr>
                <w:rFonts w:ascii="Arial" w:cs="Arial" w:eastAsia="Arial" w:hAnsi="Arial"/>
                <w:sz w:val="14"/>
                <w:szCs w:val="14"/>
                <w:b w:val="1"/>
                <w:bCs w:val="1"/>
                <w:color w:val="auto"/>
              </w:rPr>
              <w:t xml:space="preserve">Actual   </w:t>
            </w:r>
            <w:r>
              <w:rPr>
                <w:rFonts w:ascii="Arial" w:cs="Arial" w:eastAsia="Arial" w:hAnsi="Arial"/>
                <w:sz w:val="27"/>
                <w:szCs w:val="27"/>
                <w:b w:val="1"/>
                <w:bCs w:val="1"/>
                <w:color w:val="auto"/>
                <w:vertAlign w:val="subscript"/>
              </w:rPr>
              <w:t>​</w:t>
            </w:r>
          </w:p>
        </w:tc>
        <w:tc>
          <w:tcPr>
            <w:tcW w:w="960" w:type="dxa"/>
            <w:vAlign w:val="bottom"/>
            <w:gridSpan w:val="3"/>
          </w:tcPr>
          <w:p>
            <w:pPr>
              <w:ind w:left="40"/>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 As Adjusted </w:t>
            </w:r>
            <w:r>
              <w:rPr>
                <w:rFonts w:ascii="Arial" w:cs="Arial" w:eastAsia="Arial" w:hAnsi="Arial"/>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94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(in millions, except for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share and per share amounts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22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6"/>
              </w:rPr>
              <w:t>and footnotes)</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03"/>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 term investments</w:t>
            </w:r>
          </w:p>
        </w:tc>
        <w:tc>
          <w:tcPr>
            <w:tcW w:w="380" w:type="dxa"/>
            <w:vAlign w:val="bottom"/>
            <w:gridSpan w:val="3"/>
            <w:shd w:val="clear" w:color="auto" w:fill="CCEEFF"/>
          </w:tcPr>
          <w:p>
            <w:pPr>
              <w:ind w:left="8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600" w:type="dxa"/>
            <w:vAlign w:val="bottom"/>
            <w:gridSpan w:val="4"/>
            <w:shd w:val="clear" w:color="auto" w:fill="CCEEFF"/>
          </w:tcPr>
          <w:p>
            <w:pPr>
              <w:jc w:val="right"/>
              <w:spacing w:after="0" w:line="264" w:lineRule="exact"/>
              <w:rPr>
                <w:sz w:val="20"/>
                <w:szCs w:val="20"/>
                <w:color w:val="auto"/>
              </w:rPr>
            </w:pPr>
            <w:r>
              <w:rPr>
                <w:rFonts w:ascii="Arial" w:cs="Arial" w:eastAsia="Arial" w:hAnsi="Arial"/>
                <w:sz w:val="16"/>
                <w:szCs w:val="16"/>
                <w:color w:val="auto"/>
              </w:rPr>
              <w:t>2,978.4</w:t>
            </w:r>
            <w:r>
              <w:rPr>
                <w:rFonts w:ascii="Arial" w:cs="Arial" w:eastAsia="Arial" w:hAnsi="Arial"/>
                <w:sz w:val="30"/>
                <w:szCs w:val="30"/>
                <w:color w:val="auto"/>
                <w:vertAlign w:val="subscript"/>
              </w:rPr>
              <w:t>​​ ​​</w:t>
            </w:r>
            <w:r>
              <w:rPr>
                <w:rFonts w:ascii="Arial" w:cs="Arial" w:eastAsia="Arial" w:hAnsi="Arial"/>
                <w:sz w:val="16"/>
                <w:szCs w:val="16"/>
                <w:color w:val="auto"/>
              </w:rPr>
              <w:t xml:space="preserve">$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Long-term debt (including current portion):</w:t>
            </w:r>
          </w:p>
        </w:tc>
        <w:tc>
          <w:tcPr>
            <w:tcW w:w="2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20" w:type="dxa"/>
            <w:vAlign w:val="bottom"/>
            <w:gridSpan w:val="2"/>
            <w:vMerge w:val="continue"/>
          </w:tcPr>
          <w:p>
            <w:pPr>
              <w:spacing w:after="0"/>
              <w:rPr>
                <w:sz w:val="17"/>
                <w:szCs w:val="17"/>
                <w:color w:val="auto"/>
              </w:rPr>
            </w:pPr>
          </w:p>
        </w:tc>
        <w:tc>
          <w:tcPr>
            <w:tcW w:w="380" w:type="dxa"/>
            <w:vAlign w:val="bottom"/>
            <w:gridSpan w:val="3"/>
          </w:tcPr>
          <w:p>
            <w:pPr>
              <w:ind w:left="80"/>
              <w:spacing w:after="0" w:line="203" w:lineRule="exact"/>
              <w:rPr>
                <w:sz w:val="20"/>
                <w:szCs w:val="20"/>
                <w:color w:val="auto"/>
              </w:rPr>
            </w:pPr>
            <w:r>
              <w:rPr>
                <w:rFonts w:ascii="Arial" w:cs="Arial" w:eastAsia="Arial" w:hAnsi="Arial"/>
                <w:sz w:val="18"/>
                <w:szCs w:val="18"/>
                <w:color w:val="auto"/>
              </w:rPr>
              <w:t>​ ​​ ​</w:t>
            </w:r>
          </w:p>
        </w:tc>
        <w:tc>
          <w:tcPr>
            <w:tcW w:w="560" w:type="dxa"/>
            <w:vAlign w:val="bottom"/>
          </w:tcPr>
          <w:p>
            <w:pPr>
              <w:spacing w:after="0"/>
              <w:rPr>
                <w:sz w:val="17"/>
                <w:szCs w:val="17"/>
                <w:color w:val="auto"/>
              </w:rPr>
            </w:pPr>
          </w:p>
        </w:tc>
        <w:tc>
          <w:tcPr>
            <w:tcW w:w="1040" w:type="dxa"/>
            <w:vAlign w:val="bottom"/>
            <w:gridSpan w:val="3"/>
          </w:tcPr>
          <w:p>
            <w:pPr>
              <w:jc w:val="right"/>
              <w:ind w:right="680"/>
              <w:spacing w:after="0" w:line="203"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 ​</w:t>
            </w:r>
          </w:p>
        </w:tc>
        <w:tc>
          <w:tcPr>
            <w:tcW w:w="6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2026 Convertible Notes</w:t>
            </w:r>
            <w:r>
              <w:rPr>
                <w:rFonts w:ascii="Arial" w:cs="Arial" w:eastAsia="Arial" w:hAnsi="Arial"/>
                <w:sz w:val="23"/>
                <w:szCs w:val="23"/>
                <w:color w:val="auto"/>
                <w:vertAlign w:val="superscript"/>
              </w:rPr>
              <w:t>(1)</w:t>
            </w:r>
          </w:p>
        </w:tc>
        <w:tc>
          <w:tcPr>
            <w:tcW w:w="1980" w:type="dxa"/>
            <w:vAlign w:val="bottom"/>
            <w:gridSpan w:val="7"/>
            <w:shd w:val="clear" w:color="auto" w:fill="CCEEFF"/>
          </w:tcPr>
          <w:p>
            <w:pPr>
              <w:ind w:left="80"/>
              <w:spacing w:after="0"/>
              <w:rPr>
                <w:sz w:val="20"/>
                <w:szCs w:val="20"/>
                <w:color w:val="auto"/>
              </w:rPr>
            </w:pPr>
            <w:r>
              <w:rPr>
                <w:rFonts w:ascii="Arial" w:cs="Arial" w:eastAsia="Arial" w:hAnsi="Arial"/>
                <w:sz w:val="18"/>
                <w:szCs w:val="18"/>
                <w:color w:val="auto"/>
              </w:rPr>
              <w:t>​ ​​ ​ 2,012.5​​ ​​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ABL Credit Facility</w:t>
            </w:r>
            <w:r>
              <w:rPr>
                <w:rFonts w:ascii="Arial" w:cs="Arial" w:eastAsia="Arial" w:hAnsi="Arial"/>
                <w:sz w:val="23"/>
                <w:szCs w:val="23"/>
                <w:color w:val="auto"/>
                <w:vertAlign w:val="superscript"/>
              </w:rPr>
              <w:t>(2)</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 ​​ ​</w:t>
            </w:r>
          </w:p>
        </w:tc>
        <w:tc>
          <w:tcPr>
            <w:tcW w:w="1600" w:type="dxa"/>
            <w:vAlign w:val="bottom"/>
            <w:gridSpan w:val="4"/>
          </w:tcPr>
          <w:p>
            <w:pPr>
              <w:jc w:val="right"/>
              <w:ind w:right="680"/>
              <w:spacing w:after="0"/>
              <w:rPr>
                <w:sz w:val="20"/>
                <w:szCs w:val="20"/>
                <w:color w:val="auto"/>
              </w:rPr>
            </w:pPr>
            <w:r>
              <w:rPr>
                <w:rFonts w:ascii="Arial" w:cs="Arial" w:eastAsia="Arial" w:hAnsi="Arial"/>
                <w:sz w:val="18"/>
                <w:szCs w:val="18"/>
                <w:color w:val="auto"/>
              </w:rPr>
              <w:t>—​​ ​​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GIB Facility</w:t>
            </w:r>
            <w:r>
              <w:rPr>
                <w:rFonts w:ascii="Arial" w:cs="Arial" w:eastAsia="Arial" w:hAnsi="Arial"/>
                <w:sz w:val="23"/>
                <w:szCs w:val="23"/>
                <w:color w:val="auto"/>
                <w:vertAlign w:val="superscript"/>
              </w:rPr>
              <w:t>(3)</w:t>
            </w:r>
          </w:p>
        </w:tc>
        <w:tc>
          <w:tcPr>
            <w:tcW w:w="3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 ​</w:t>
            </w:r>
          </w:p>
        </w:tc>
        <w:tc>
          <w:tcPr>
            <w:tcW w:w="16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9.6​​ ​​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SIDF Loan</w:t>
            </w:r>
            <w:r>
              <w:rPr>
                <w:rFonts w:ascii="Arial" w:cs="Arial" w:eastAsia="Arial" w:hAnsi="Arial"/>
                <w:sz w:val="23"/>
                <w:szCs w:val="23"/>
                <w:color w:val="auto"/>
                <w:vertAlign w:val="superscript"/>
              </w:rPr>
              <w:t>(4)</w:t>
            </w:r>
          </w:p>
        </w:tc>
        <w:tc>
          <w:tcPr>
            <w:tcW w:w="380" w:type="dxa"/>
            <w:vAlign w:val="bottom"/>
            <w:gridSpan w:val="3"/>
          </w:tcPr>
          <w:p>
            <w:pPr>
              <w:ind w:left="80"/>
              <w:spacing w:after="0" w:line="324" w:lineRule="exact"/>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color w:val="auto"/>
                <w:vertAlign w:val="superscript"/>
              </w:rPr>
              <w:t>​</w:t>
            </w:r>
          </w:p>
        </w:tc>
        <w:tc>
          <w:tcPr>
            <w:tcW w:w="1600" w:type="dxa"/>
            <w:vAlign w:val="bottom"/>
            <w:gridSpan w:val="4"/>
          </w:tcPr>
          <w:p>
            <w:pPr>
              <w:jc w:val="right"/>
              <w:ind w:right="680"/>
              <w:spacing w:after="0" w:line="324"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 </w:t>
            </w:r>
            <w:r>
              <w:rPr>
                <w:rFonts w:ascii="Arial" w:cs="Arial" w:eastAsia="Arial" w:hAnsi="Arial"/>
                <w:sz w:val="35"/>
                <w:szCs w:val="35"/>
                <w:color w:val="auto"/>
                <w:vertAlign w:val="superscript"/>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CCEEFF"/>
            </w:tcBorders>
            <w:gridSpan w:val="2"/>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1980" w:type="dxa"/>
            <w:vAlign w:val="bottom"/>
            <w:gridSpan w:val="7"/>
            <w:shd w:val="clear" w:color="auto" w:fill="CCEEFF"/>
          </w:tcPr>
          <w:p>
            <w:pPr>
              <w:ind w:left="80"/>
              <w:spacing w:after="0" w:line="276" w:lineRule="exact"/>
              <w:rPr>
                <w:sz w:val="20"/>
                <w:szCs w:val="20"/>
                <w:color w:val="auto"/>
              </w:rPr>
            </w:pPr>
            <w:r>
              <w:rPr>
                <w:rFonts w:ascii="Arial" w:cs="Arial" w:eastAsia="Arial" w:hAnsi="Arial"/>
                <w:sz w:val="32"/>
                <w:szCs w:val="32"/>
                <w:color w:val="auto"/>
                <w:vertAlign w:val="subscript"/>
              </w:rPr>
              <w:t>​ ​​</w:t>
            </w:r>
            <w:r>
              <w:rPr>
                <w:rFonts w:ascii="Arial" w:cs="Arial" w:eastAsia="Arial" w:hAnsi="Arial"/>
                <w:sz w:val="17"/>
                <w:szCs w:val="17"/>
                <w:color w:val="auto"/>
              </w:rPr>
              <w:t xml:space="preserve"> ​ 2,022.1</w:t>
            </w:r>
            <w:r>
              <w:rPr>
                <w:rFonts w:ascii="Arial" w:cs="Arial" w:eastAsia="Arial" w:hAnsi="Arial"/>
                <w:sz w:val="32"/>
                <w:szCs w:val="32"/>
                <w:color w:val="auto"/>
                <w:vertAlign w:val="subscript"/>
              </w:rPr>
              <w:t>​​ ​​</w:t>
            </w:r>
            <w:r>
              <w:rPr>
                <w:rFonts w:ascii="Arial" w:cs="Arial" w:eastAsia="Arial" w:hAnsi="Arial"/>
                <w:sz w:val="17"/>
                <w:szCs w:val="17"/>
                <w:color w:val="auto"/>
              </w:rPr>
              <w:t xml:space="preserve">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gridSpan w:val="2"/>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 ​​ ​</w:t>
            </w:r>
          </w:p>
        </w:tc>
        <w:tc>
          <w:tcPr>
            <w:tcW w:w="560" w:type="dxa"/>
            <w:vAlign w:val="bottom"/>
          </w:tcPr>
          <w:p>
            <w:pPr>
              <w:spacing w:after="0"/>
              <w:rPr>
                <w:sz w:val="21"/>
                <w:szCs w:val="21"/>
                <w:color w:val="auto"/>
              </w:rPr>
            </w:pPr>
          </w:p>
        </w:tc>
        <w:tc>
          <w:tcPr>
            <w:tcW w:w="10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Preferred stock, $0.0001 par value per share; 10,000,000 shares authorized,</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actual and as adjusted; no shares issued and outstanding, actual and as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adjusted</w:t>
            </w:r>
          </w:p>
        </w:tc>
        <w:tc>
          <w:tcPr>
            <w:tcW w:w="3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6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 ​​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6220" w:type="dxa"/>
            <w:vAlign w:val="bottom"/>
            <w:gridSpan w:val="2"/>
          </w:tcPr>
          <w:p>
            <w:pPr>
              <w:ind w:left="180"/>
              <w:spacing w:after="0"/>
              <w:rPr>
                <w:sz w:val="20"/>
                <w:szCs w:val="20"/>
                <w:color w:val="auto"/>
              </w:rPr>
            </w:pPr>
            <w:r>
              <w:rPr>
                <w:rFonts w:ascii="Arial" w:cs="Arial" w:eastAsia="Arial" w:hAnsi="Arial"/>
                <w:sz w:val="18"/>
                <w:szCs w:val="18"/>
                <w:color w:val="auto"/>
                <w:w w:val="93"/>
              </w:rPr>
              <w:t>Common stock, $0.0001 par value per share; 15,000,000,000 shares authorized,</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360"/>
              <w:spacing w:after="0"/>
              <w:rPr>
                <w:sz w:val="20"/>
                <w:szCs w:val="20"/>
                <w:color w:val="auto"/>
              </w:rPr>
            </w:pPr>
            <w:r>
              <w:rPr>
                <w:rFonts w:ascii="Arial" w:cs="Arial" w:eastAsia="Arial" w:hAnsi="Arial"/>
                <w:sz w:val="18"/>
                <w:szCs w:val="18"/>
                <w:color w:val="auto"/>
                <w:w w:val="91"/>
              </w:rPr>
              <w:t>actual and as adjusted; 1,834,242,999 shares issued and 1,833,385,174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360"/>
              <w:spacing w:after="0"/>
              <w:rPr>
                <w:sz w:val="20"/>
                <w:szCs w:val="20"/>
                <w:color w:val="auto"/>
              </w:rPr>
            </w:pPr>
            <w:r>
              <w:rPr>
                <w:rFonts w:ascii="Arial" w:cs="Arial" w:eastAsia="Arial" w:hAnsi="Arial"/>
                <w:sz w:val="18"/>
                <w:szCs w:val="18"/>
                <w:color w:val="auto"/>
                <w:w w:val="94"/>
              </w:rPr>
              <w:t>outstanding, actual;         shares issued and         shares outstanding,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220" w:type="dxa"/>
            <w:vAlign w:val="bottom"/>
            <w:gridSpan w:val="2"/>
          </w:tcPr>
          <w:p>
            <w:pPr>
              <w:ind w:left="360"/>
              <w:spacing w:after="0"/>
              <w:rPr>
                <w:sz w:val="20"/>
                <w:szCs w:val="20"/>
                <w:color w:val="auto"/>
              </w:rPr>
            </w:pPr>
            <w:r>
              <w:rPr>
                <w:rFonts w:ascii="Arial" w:cs="Arial" w:eastAsia="Arial" w:hAnsi="Arial"/>
                <w:sz w:val="18"/>
                <w:szCs w:val="18"/>
                <w:color w:val="auto"/>
              </w:rPr>
              <w:t>as adjusted</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 ​​$</w:t>
            </w:r>
          </w:p>
        </w:tc>
        <w:tc>
          <w:tcPr>
            <w:tcW w:w="1600" w:type="dxa"/>
            <w:vAlign w:val="bottom"/>
            <w:gridSpan w:val="4"/>
          </w:tcPr>
          <w:p>
            <w:pPr>
              <w:jc w:val="right"/>
              <w:ind w:right="720"/>
              <w:spacing w:after="0"/>
              <w:rPr>
                <w:sz w:val="20"/>
                <w:szCs w:val="20"/>
                <w:color w:val="auto"/>
              </w:rPr>
            </w:pPr>
            <w:r>
              <w:rPr>
                <w:rFonts w:ascii="Arial" w:cs="Arial" w:eastAsia="Arial" w:hAnsi="Arial"/>
                <w:sz w:val="18"/>
                <w:szCs w:val="18"/>
                <w:color w:val="auto"/>
              </w:rPr>
              <w:t>0.18​​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980" w:type="dxa"/>
            <w:vAlign w:val="bottom"/>
            <w:gridSpan w:val="7"/>
            <w:shd w:val="clear" w:color="auto" w:fill="CCEEFF"/>
          </w:tcPr>
          <w:p>
            <w:pPr>
              <w:ind w:left="80"/>
              <w:spacing w:after="0"/>
              <w:rPr>
                <w:sz w:val="20"/>
                <w:szCs w:val="20"/>
                <w:color w:val="auto"/>
              </w:rPr>
            </w:pPr>
            <w:r>
              <w:rPr>
                <w:rFonts w:ascii="Arial" w:cs="Arial" w:eastAsia="Arial" w:hAnsi="Arial"/>
                <w:sz w:val="18"/>
                <w:szCs w:val="18"/>
                <w:color w:val="auto"/>
              </w:rPr>
              <w:t>​ ​​$11,809.8​​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 (8,149.9)</w:t>
            </w:r>
          </w:p>
        </w:tc>
        <w:tc>
          <w:tcPr>
            <w:tcW w:w="9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1940" w:type="dxa"/>
            <w:vAlign w:val="bottom"/>
          </w:tcPr>
          <w:p>
            <w:pPr>
              <w:spacing w:after="0"/>
              <w:rPr>
                <w:sz w:val="7"/>
                <w:szCs w:val="7"/>
                <w:color w:val="auto"/>
              </w:rPr>
            </w:pPr>
          </w:p>
        </w:tc>
        <w:tc>
          <w:tcPr>
            <w:tcW w:w="4280" w:type="dxa"/>
            <w:vAlign w:val="bottom"/>
          </w:tcPr>
          <w:p>
            <w:pPr>
              <w:spacing w:after="0"/>
              <w:rPr>
                <w:sz w:val="7"/>
                <w:szCs w:val="7"/>
                <w:color w:val="auto"/>
              </w:rPr>
            </w:pPr>
          </w:p>
        </w:tc>
        <w:tc>
          <w:tcPr>
            <w:tcW w:w="380" w:type="dxa"/>
            <w:vAlign w:val="bottom"/>
            <w:gridSpan w:val="3"/>
          </w:tcPr>
          <w:p>
            <w:pPr>
              <w:ind w:left="80"/>
              <w:spacing w:after="0" w:line="81" w:lineRule="exact"/>
              <w:rPr>
                <w:sz w:val="20"/>
                <w:szCs w:val="20"/>
                <w:color w:val="auto"/>
              </w:rPr>
            </w:pPr>
            <w:r>
              <w:rPr>
                <w:rFonts w:ascii="Arial" w:cs="Arial" w:eastAsia="Arial" w:hAnsi="Arial"/>
                <w:sz w:val="9"/>
                <w:szCs w:val="9"/>
                <w:color w:val="auto"/>
              </w:rPr>
              <w:t>​ ​​</w:t>
            </w:r>
          </w:p>
        </w:tc>
        <w:tc>
          <w:tcPr>
            <w:tcW w:w="560" w:type="dxa"/>
            <w:vAlign w:val="bottom"/>
          </w:tcPr>
          <w:p>
            <w:pPr>
              <w:spacing w:after="0"/>
              <w:rPr>
                <w:sz w:val="7"/>
                <w:szCs w:val="7"/>
                <w:color w:val="auto"/>
              </w:rPr>
            </w:pPr>
          </w:p>
        </w:tc>
        <w:tc>
          <w:tcPr>
            <w:tcW w:w="1040" w:type="dxa"/>
            <w:vAlign w:val="bottom"/>
            <w:gridSpan w:val="3"/>
          </w:tcPr>
          <w:p>
            <w:pPr>
              <w:jc w:val="right"/>
              <w:ind w:right="760"/>
              <w:spacing w:after="0" w:line="81" w:lineRule="exact"/>
              <w:rPr>
                <w:sz w:val="20"/>
                <w:szCs w:val="20"/>
                <w:color w:val="auto"/>
              </w:rPr>
            </w:pPr>
            <w:r>
              <w:rPr>
                <w:rFonts w:ascii="Arial" w:cs="Arial" w:eastAsia="Arial" w:hAnsi="Arial"/>
                <w:sz w:val="9"/>
                <w:szCs w:val="9"/>
                <w:color w:val="auto"/>
              </w:rPr>
              <w:t>​​ ​​</w:t>
            </w: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gridSpan w:val="2"/>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380" w:type="dxa"/>
            <w:vAlign w:val="bottom"/>
            <w:gridSpan w:val="3"/>
            <w:shd w:val="clear" w:color="auto" w:fill="CCEEFF"/>
          </w:tcPr>
          <w:p>
            <w:pPr>
              <w:ind w:left="80"/>
              <w:spacing w:after="0" w:line="276" w:lineRule="exact"/>
              <w:rPr>
                <w:sz w:val="20"/>
                <w:szCs w:val="20"/>
                <w:color w:val="auto"/>
              </w:rPr>
            </w:pPr>
            <w:r>
              <w:rPr>
                <w:rFonts w:ascii="Arial" w:cs="Arial" w:eastAsia="Arial" w:hAnsi="Arial"/>
                <w:sz w:val="17"/>
                <w:szCs w:val="17"/>
                <w:color w:val="auto"/>
              </w:rPr>
              <w:t>​ ​​</w:t>
            </w:r>
            <w:r>
              <w:rPr>
                <w:rFonts w:ascii="Arial" w:cs="Arial" w:eastAsia="Arial" w:hAnsi="Arial"/>
                <w:sz w:val="32"/>
                <w:szCs w:val="32"/>
                <w:color w:val="auto"/>
                <w:vertAlign w:val="superscript"/>
              </w:rPr>
              <w:t>$</w:t>
            </w:r>
          </w:p>
        </w:tc>
        <w:tc>
          <w:tcPr>
            <w:tcW w:w="1600" w:type="dxa"/>
            <w:vAlign w:val="bottom"/>
            <w:gridSpan w:val="4"/>
            <w:shd w:val="clear" w:color="auto" w:fill="CCEEFF"/>
          </w:tcPr>
          <w:p>
            <w:pPr>
              <w:jc w:val="right"/>
              <w:ind w:right="720"/>
              <w:spacing w:after="0" w:line="276" w:lineRule="exact"/>
              <w:rPr>
                <w:sz w:val="20"/>
                <w:szCs w:val="20"/>
                <w:color w:val="auto"/>
              </w:rPr>
            </w:pPr>
            <w:r>
              <w:rPr>
                <w:rFonts w:ascii="Arial" w:cs="Arial" w:eastAsia="Arial" w:hAnsi="Arial"/>
                <w:sz w:val="17"/>
                <w:szCs w:val="17"/>
                <w:color w:val="auto"/>
              </w:rPr>
              <w:t>3,631.9</w:t>
            </w:r>
            <w:r>
              <w:rPr>
                <w:rFonts w:ascii="Arial" w:cs="Arial" w:eastAsia="Arial" w:hAnsi="Arial"/>
                <w:sz w:val="32"/>
                <w:szCs w:val="32"/>
                <w:color w:val="auto"/>
                <w:vertAlign w:val="subscript"/>
              </w:rPr>
              <w:t>​​ ​​</w:t>
            </w:r>
            <w:r>
              <w:rPr>
                <w:rFonts w:ascii="Arial" w:cs="Arial" w:eastAsia="Arial" w:hAnsi="Arial"/>
                <w:sz w:val="17"/>
                <w:szCs w:val="17"/>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gridSpan w:val="2"/>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22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380" w:type="dxa"/>
            <w:vAlign w:val="bottom"/>
            <w:gridSpan w:val="3"/>
          </w:tcPr>
          <w:p>
            <w:pPr>
              <w:ind w:left="80"/>
              <w:spacing w:after="0" w:line="276" w:lineRule="exact"/>
              <w:rPr>
                <w:sz w:val="20"/>
                <w:szCs w:val="20"/>
                <w:color w:val="auto"/>
              </w:rPr>
            </w:pPr>
            <w:r>
              <w:rPr>
                <w:rFonts w:ascii="Arial" w:cs="Arial" w:eastAsia="Arial" w:hAnsi="Arial"/>
                <w:sz w:val="17"/>
                <w:szCs w:val="17"/>
                <w:color w:val="auto"/>
              </w:rPr>
              <w:t>​ ​​</w:t>
            </w:r>
            <w:r>
              <w:rPr>
                <w:rFonts w:ascii="Arial" w:cs="Arial" w:eastAsia="Arial" w:hAnsi="Arial"/>
                <w:sz w:val="32"/>
                <w:szCs w:val="32"/>
                <w:color w:val="auto"/>
                <w:vertAlign w:val="superscript"/>
              </w:rPr>
              <w:t>$</w:t>
            </w:r>
          </w:p>
        </w:tc>
        <w:tc>
          <w:tcPr>
            <w:tcW w:w="1600" w:type="dxa"/>
            <w:vAlign w:val="bottom"/>
            <w:gridSpan w:val="4"/>
          </w:tcPr>
          <w:p>
            <w:pPr>
              <w:jc w:val="right"/>
              <w:ind w:right="720"/>
              <w:spacing w:after="0" w:line="276" w:lineRule="exact"/>
              <w:rPr>
                <w:sz w:val="20"/>
                <w:szCs w:val="20"/>
                <w:color w:val="auto"/>
              </w:rPr>
            </w:pPr>
            <w:r>
              <w:rPr>
                <w:rFonts w:ascii="Arial" w:cs="Arial" w:eastAsia="Arial" w:hAnsi="Arial"/>
                <w:sz w:val="17"/>
                <w:szCs w:val="17"/>
                <w:color w:val="auto"/>
              </w:rPr>
              <w:t>5,654.0</w:t>
            </w:r>
            <w:r>
              <w:rPr>
                <w:rFonts w:ascii="Arial" w:cs="Arial" w:eastAsia="Arial" w:hAnsi="Arial"/>
                <w:sz w:val="32"/>
                <w:szCs w:val="32"/>
                <w:color w:val="auto"/>
                <w:vertAlign w:val="subscript"/>
              </w:rPr>
              <w:t>​​ ​​</w:t>
            </w:r>
            <w:r>
              <w:rPr>
                <w:rFonts w:ascii="Arial" w:cs="Arial" w:eastAsia="Arial" w:hAnsi="Arial"/>
                <w:sz w:val="17"/>
                <w:szCs w:val="17"/>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1940" w:type="dxa"/>
            <w:vAlign w:val="bottom"/>
            <w:tcBorders>
              <w:bottom w:val="single" w:sz="8" w:color="auto"/>
            </w:tcBorders>
          </w:tcPr>
          <w:p>
            <w:pPr>
              <w:spacing w:after="0"/>
              <w:rPr>
                <w:sz w:val="7"/>
                <w:szCs w:val="7"/>
                <w:color w:val="auto"/>
              </w:rPr>
            </w:pPr>
          </w:p>
        </w:tc>
        <w:tc>
          <w:tcPr>
            <w:tcW w:w="4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-2228215</wp:posOffset>
            </wp:positionV>
            <wp:extent cx="46888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-479425</wp:posOffset>
            </wp:positionV>
            <wp:extent cx="46888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101" w:lineRule="exact"/>
        <w:rPr>
          <w:sz w:val="20"/>
          <w:szCs w:val="20"/>
          <w:color w:val="auto"/>
        </w:rPr>
      </w:pPr>
    </w:p>
    <w:p>
      <w:pPr>
        <w:ind w:left="1620" w:hanging="36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outstanding principal amount.</w:t>
      </w:r>
    </w:p>
    <w:p>
      <w:pPr>
        <w:spacing w:after="0" w:line="76" w:lineRule="exact"/>
        <w:rPr>
          <w:rFonts w:ascii="Arial" w:cs="Arial" w:eastAsia="Arial" w:hAnsi="Arial"/>
          <w:sz w:val="18"/>
          <w:szCs w:val="18"/>
          <w:color w:val="auto"/>
        </w:rPr>
      </w:pPr>
    </w:p>
    <w:p>
      <w:pPr>
        <w:ind w:left="1620" w:right="419" w:hanging="360"/>
        <w:spacing w:after="0" w:line="275" w:lineRule="auto"/>
        <w:tabs>
          <w:tab w:leader="none" w:pos="1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of March 31, 2023, we had no outstanding borrowings and $37.9 million outstanding letters of credit under the ABL Credit Facility. The ABL Credit Facility provides for an initial aggregate principal commitment amount of up to $1.0 billion (including a $350.0 million letter of credit subfacility and a $100.0 million swingline loan subfacility), the availability of which amount is subject to the value of eligible assets in the borrowing base, and has a stated maturity date of June 9, 2027.</w:t>
      </w:r>
    </w:p>
    <w:p>
      <w:pPr>
        <w:spacing w:after="0" w:line="41" w:lineRule="exact"/>
        <w:rPr>
          <w:rFonts w:ascii="Arial" w:cs="Arial" w:eastAsia="Arial" w:hAnsi="Arial"/>
          <w:sz w:val="17"/>
          <w:szCs w:val="17"/>
          <w:color w:val="auto"/>
        </w:rPr>
      </w:pPr>
    </w:p>
    <w:p>
      <w:pPr>
        <w:ind w:left="1620" w:right="639" w:hanging="360"/>
        <w:spacing w:after="0" w:line="275" w:lineRule="auto"/>
        <w:tabs>
          <w:tab w:leader="none" w:pos="1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April 29, 2022, and as amended on March 12, 2023, our wholly-owned subsidiary Lucid, LLC, a limited liability company established in the Kingdom of Saudi Arabia (“Lucid LLC”), entered into a revolving credit facility agreement (the “GIB Credit Facility Agreement”). The GIB Credit Facility Agreement provides for a credit facility in an aggregate principal amount of SAR 1 billion (approximately $266.4 million). Loans under the GIB Credit Facility Agreement will have a maturity</w:t>
      </w:r>
    </w:p>
    <w:p>
      <w:pPr>
        <w:sectPr>
          <w:pgSz w:w="11900" w:h="16838" w:orient="portrait"/>
          <w:cols w:equalWidth="0" w:num="1">
            <w:col w:w="9879"/>
          </w:cols>
          <w:pgMar w:left="580" w:top="90" w:right="1440" w:bottom="1440" w:gutter="0" w:footer="0" w:header="0"/>
        </w:sectPr>
      </w:pPr>
    </w:p>
    <w:p>
      <w:pPr>
        <w:spacing w:after="0" w:line="352"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20" w:right="579"/>
        <w:spacing w:after="0" w:line="263" w:lineRule="auto"/>
        <w:rPr>
          <w:sz w:val="20"/>
          <w:szCs w:val="20"/>
          <w:color w:val="auto"/>
        </w:rPr>
      </w:pPr>
      <w:r>
        <w:rPr>
          <w:rFonts w:ascii="Arial" w:cs="Arial" w:eastAsia="Arial" w:hAnsi="Arial"/>
          <w:sz w:val="18"/>
          <w:szCs w:val="18"/>
          <w:color w:val="auto"/>
        </w:rPr>
        <w:t>of no more than 12 months. As of March 31, 2023, we had outstanding borrowings of SAR 36 million (approximately $9.6 million) under the GIB Credit Facility Agreement, which was recorded within other current liabilities on condensed consolidated balance sheets.</w:t>
      </w:r>
    </w:p>
    <w:p>
      <w:pPr>
        <w:spacing w:after="0" w:line="49" w:lineRule="exact"/>
        <w:rPr>
          <w:sz w:val="20"/>
          <w:szCs w:val="20"/>
          <w:color w:val="auto"/>
        </w:rPr>
      </w:pPr>
    </w:p>
    <w:p>
      <w:pPr>
        <w:ind w:left="1620" w:right="439" w:hanging="360"/>
        <w:spacing w:after="0" w:line="279" w:lineRule="auto"/>
        <w:tabs>
          <w:tab w:leader="none" w:pos="1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February 27, 2022, Lucid LLC entered into a loan agreement (the “SIDF Loan Agreement”). Under the SIDF Loan Agreement, the Saudi Industrial Development Fund committed to provide loans to Lucid LLC in an aggregate principal amount of up to SAR 5.19 billion (approximately $1.4 billion). As of March 31, 2023, we had no outstanding borrowings under the SIDF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AYAR INVESTMENT</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Ayar has agreed to purchase from us, subject to certain conditions, 265,693,703 shares of our common stock in a private placement concurrently with this offering. We refer to this private placement as the “Ayar Investment.” The number of shares that Ayar has agreed to purchase from us in the Ayar Investment is equal to the number of shares of our common stock that we sell in this offering, multiplied by a ratio, the numerator of which is approximately 60.5%, which is the number of shares of our common stock owned by PIF, both directly and indirectly through Ayar, as a percentage of the total number of shares of our common stock outstanding as of March 31, 2023, and the denominator of which is approximately 39.5%, rounded down to the nearest whole share. Following the sale in this offering and the sale in the Ayar Investment, PIF, both directly and indirectly through Ayar, is expected to continue to own approximately 60.5% of our outstanding stock. We expect to settle the Ayar Investment on or about June 26, 2023, for an aggregate purchase price of approximately $1.8 billion.</w:t>
      </w:r>
    </w:p>
    <w:p>
      <w:pPr>
        <w:spacing w:after="0" w:line="124"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On May 31, 2023, we entered into a second amendment to the Investor Rights Agreement (the “Second IRA Amendment”). Pursuant to the Second IRA Amendment, Ayar will be entitled to certain registration rights, including demand, piggy-back and shelf registration rights, with respect to the shares of common stock Ayar purchases in the Ayar Investment.</w:t>
      </w:r>
    </w:p>
    <w:p>
      <w:pPr>
        <w:spacing w:after="0" w:line="106" w:lineRule="exact"/>
        <w:rPr>
          <w:sz w:val="20"/>
          <w:szCs w:val="20"/>
          <w:color w:val="auto"/>
        </w:rPr>
      </w:pPr>
    </w:p>
    <w:p>
      <w:pPr>
        <w:jc w:val="both"/>
        <w:ind w:left="1260" w:right="579" w:firstLine="360"/>
        <w:spacing w:after="0" w:line="263" w:lineRule="auto"/>
        <w:rPr>
          <w:sz w:val="20"/>
          <w:szCs w:val="20"/>
          <w:color w:val="auto"/>
        </w:rPr>
      </w:pPr>
      <w:r>
        <w:rPr>
          <w:rFonts w:ascii="Arial" w:cs="Arial" w:eastAsia="Arial" w:hAnsi="Arial"/>
          <w:sz w:val="18"/>
          <w:szCs w:val="18"/>
          <w:color w:val="auto"/>
        </w:rPr>
        <w:t>The Ayar Investment is not a part of this offering, and is in addition to the 173,544,948 shares that we are selling in this offering. The completion of the Ayar Investment is contingent on the completion of this offering, as well as certain other customary closing conditions.</w:t>
      </w:r>
    </w:p>
    <w:p>
      <w:pPr>
        <w:spacing w:after="0" w:line="116"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color w:val="auto"/>
        </w:rPr>
        <w:t>Ayar has agreed, with certain exceptions, that without our prior written consent, it will not, for six months after the date of the closing of the Ayar Investment:</w:t>
      </w:r>
    </w:p>
    <w:p>
      <w:pPr>
        <w:spacing w:after="0" w:line="62" w:lineRule="exact"/>
        <w:rPr>
          <w:sz w:val="20"/>
          <w:szCs w:val="20"/>
          <w:color w:val="auto"/>
        </w:rPr>
      </w:pPr>
    </w:p>
    <w:p>
      <w:pPr>
        <w:ind w:left="1800" w:right="599" w:hanging="180"/>
        <w:spacing w:after="0" w:line="259"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w:t>
      </w:r>
    </w:p>
    <w:p>
      <w:pPr>
        <w:spacing w:after="0" w:line="78" w:lineRule="exact"/>
        <w:rPr>
          <w:rFonts w:ascii="Arial" w:cs="Arial" w:eastAsia="Arial" w:hAnsi="Arial"/>
          <w:sz w:val="18"/>
          <w:szCs w:val="18"/>
          <w:color w:val="auto"/>
        </w:rPr>
      </w:pPr>
    </w:p>
    <w:p>
      <w:pPr>
        <w:ind w:left="1800" w:right="579" w:hanging="180"/>
        <w:spacing w:after="0" w:line="259"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any swap or any other agreement or any transaction that transfers, in whole or in part, directly or indirectly, the economic consequence of ownership of such common stock, whether any such swap or transaction is to be settled by delivery of common stock or other securities, in cash or otherwise,</w:t>
      </w:r>
    </w:p>
    <w:p>
      <w:pPr>
        <w:spacing w:after="0" w:line="119" w:lineRule="exact"/>
        <w:rPr>
          <w:sz w:val="20"/>
          <w:szCs w:val="20"/>
          <w:color w:val="auto"/>
        </w:rPr>
      </w:pPr>
    </w:p>
    <w:p>
      <w:pPr>
        <w:ind w:left="1260" w:right="559"/>
        <w:spacing w:after="0" w:line="277" w:lineRule="auto"/>
        <w:rPr>
          <w:sz w:val="20"/>
          <w:szCs w:val="20"/>
          <w:color w:val="auto"/>
        </w:rPr>
      </w:pPr>
      <w:r>
        <w:rPr>
          <w:rFonts w:ascii="Arial" w:cs="Arial" w:eastAsia="Arial" w:hAnsi="Arial"/>
          <w:sz w:val="18"/>
          <w:szCs w:val="18"/>
          <w:color w:val="auto"/>
        </w:rPr>
        <w:t>in each case, whether any such transaction described above is to be settled by delivery of common stock or such other securities, in cash or otherwise.</w:t>
      </w:r>
    </w:p>
    <w:p>
      <w:pPr>
        <w:spacing w:after="0" w:line="89" w:lineRule="exact"/>
        <w:rPr>
          <w:sz w:val="20"/>
          <w:szCs w:val="20"/>
          <w:color w:val="auto"/>
        </w:rPr>
      </w:pPr>
    </w:p>
    <w:p>
      <w:pPr>
        <w:ind w:left="1260" w:right="579" w:firstLine="360"/>
        <w:spacing w:after="0" w:line="254" w:lineRule="auto"/>
        <w:rPr>
          <w:sz w:val="20"/>
          <w:szCs w:val="20"/>
          <w:color w:val="auto"/>
        </w:rPr>
      </w:pPr>
      <w:r>
        <w:rPr>
          <w:rFonts w:ascii="Arial" w:cs="Arial" w:eastAsia="Arial" w:hAnsi="Arial"/>
          <w:sz w:val="18"/>
          <w:szCs w:val="18"/>
          <w:color w:val="auto"/>
        </w:rPr>
        <w:t>Subject to certain conditions, these restrictions do not apply to transfers made as a bona fide gift or gifts, including to charitable organizations; to any person or entity controlling, controlled by, or under common control with Ayar; to a nominee or custodian of any person or entity to whom a transfer would be permissible under any of the preceding exceptions set forth in this sentence; and pursuant to a bona fide third-party tender offer, merger, consolidation or other similar transaction that is approved by our board of directors and made to all holders of shares of our capital stock involving a change of control. These restrictions apply to securities owned now or acquired later by Ayar or for which Ayar has or later acquires the power of disposition.</w:t>
      </w:r>
    </w:p>
    <w:p>
      <w:pPr>
        <w:spacing w:after="0" w:line="124"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We have agreed in the underwriting agreement for this offering not to waive these restrictions without the consent of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2" w:name="page23"/>
    <w:bookmarkEnd w:id="2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UNDERWRITING</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The underwriters listed in the table below are referred herein to as the “underwriters,” or if there is only one underwriter listed in the table below, the term underwriters shall mean either the singular or plural as the context requires, are acting as the underwriters for this offering. Subject to the terms and conditions set forth in an underwriting agreement between us and the underwriters, we have agreed to sell to the underwriters, and the underwriters have agreed to purchase from us, the number of shares indicated in the following table at a price of $      per share, which will result in approximately $      million of proceeds to us before expenses. The underwriters may offer the shares of common stock from time to time for sale in one or more transactions to purchasers directly, through agents or through brokers in brokerage transactions on Nasdaq, in the over-the-counter market, through negotiated transactions or in a combination of such methods, or otherwise at a fixed price or prices, which may be changed, at market prices prevailing at the time of sale, at prices related to prevailing market prices or at negotiated prices. In connection with the sale of the shares of common stock offered hereby, the underwriters may be deemed to have received compensation in the form of underwriting discounts. The underwriters may effect such transactions by selling shares of common stock to or through dealers, and such dealers may receive compensation in the form of discounts, concessions or commissions from the underwriters and/or purchasers of shares of common stock for whom they may act as agents or to whom they may sell as principal.</w:t>
      </w:r>
    </w:p>
    <w:p>
      <w:pPr>
        <w:spacing w:after="0" w:line="5"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3880" w:type="dxa"/>
            <w:vAlign w:val="bottom"/>
          </w:tcPr>
          <w:p>
            <w:pPr>
              <w:spacing w:after="0"/>
              <w:rPr>
                <w:sz w:val="20"/>
                <w:szCs w:val="20"/>
                <w:color w:val="auto"/>
              </w:rPr>
            </w:pPr>
            <w:r>
              <w:rPr>
                <w:rFonts w:ascii="Arial" w:cs="Arial" w:eastAsia="Arial" w:hAnsi="Arial"/>
                <w:sz w:val="14"/>
                <w:szCs w:val="14"/>
                <w:b w:val="1"/>
                <w:bCs w:val="1"/>
                <w:color w:val="auto"/>
              </w:rPr>
              <w:t>Underwriters</w:t>
            </w:r>
          </w:p>
        </w:tc>
        <w:tc>
          <w:tcPr>
            <w:tcW w:w="2520" w:type="dxa"/>
            <w:vAlign w:val="bottom"/>
            <w:gridSpan w:val="2"/>
          </w:tcPr>
          <w:p>
            <w:pPr>
              <w:ind w:left="2300"/>
              <w:spacing w:after="0"/>
              <w:rPr>
                <w:sz w:val="20"/>
                <w:szCs w:val="20"/>
                <w:color w:val="auto"/>
              </w:rPr>
            </w:pPr>
            <w:r>
              <w:rPr>
                <w:rFonts w:ascii="Arial" w:cs="Arial" w:eastAsia="Arial" w:hAnsi="Arial"/>
                <w:sz w:val="14"/>
                <w:szCs w:val="14"/>
                <w:b w:val="1"/>
                <w:bCs w:val="1"/>
                <w:color w:val="auto"/>
              </w:rPr>
              <w:t>​ ​</w:t>
            </w: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w w:val="92"/>
              </w:rPr>
              <w:t>Number of Shares</w:t>
            </w:r>
            <w:r>
              <w:rPr>
                <w:rFonts w:ascii="Arial" w:cs="Arial" w:eastAsia="Arial" w:hAnsi="Arial"/>
                <w:sz w:val="28"/>
                <w:szCs w:val="28"/>
                <w:b w:val="1"/>
                <w:bCs w:val="1"/>
                <w:color w:val="auto"/>
                <w:w w:val="92"/>
                <w:vertAlign w:val="subscript"/>
              </w:rPr>
              <w:t>​</w:t>
            </w:r>
          </w:p>
        </w:tc>
      </w:tr>
      <w:tr>
        <w:trPr>
          <w:trHeight w:val="277"/>
        </w:trPr>
        <w:tc>
          <w:tcPr>
            <w:tcW w:w="38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2300" w:type="dxa"/>
            <w:vAlign w:val="bottom"/>
            <w:tcBorders>
              <w:top w:val="single" w:sz="8" w:color="auto"/>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0" w:type="dxa"/>
            <w:vAlign w:val="bottom"/>
            <w:tcBorders>
              <w:top w:val="single" w:sz="8" w:color="auto"/>
              <w:bottom w:val="single" w:sz="8" w:color="CCEEFF"/>
            </w:tcBorders>
            <w:shd w:val="clear" w:color="auto" w:fill="CCEEFF"/>
          </w:tcPr>
          <w:p>
            <w:pPr>
              <w:spacing w:after="0"/>
              <w:rPr>
                <w:sz w:val="24"/>
                <w:szCs w:val="24"/>
                <w:color w:val="auto"/>
              </w:rPr>
            </w:pPr>
          </w:p>
        </w:tc>
        <w:tc>
          <w:tcPr>
            <w:tcW w:w="920" w:type="dxa"/>
            <w:vAlign w:val="bottom"/>
            <w:tcBorders>
              <w:top w:val="single" w:sz="8" w:color="auto"/>
              <w:bottom w:val="single" w:sz="8" w:color="auto"/>
            </w:tcBorders>
            <w:shd w:val="clear" w:color="auto" w:fill="CCEEFF"/>
          </w:tcPr>
          <w:p>
            <w:pPr>
              <w:ind w:left="20"/>
              <w:spacing w:after="0" w:line="276" w:lineRule="exact"/>
              <w:rPr>
                <w:sz w:val="20"/>
                <w:szCs w:val="20"/>
                <w:color w:val="auto"/>
              </w:rPr>
            </w:pPr>
            <w:r>
              <w:rPr>
                <w:rFonts w:ascii="Arial" w:cs="Arial" w:eastAsia="Arial" w:hAnsi="Arial"/>
                <w:sz w:val="32"/>
                <w:szCs w:val="32"/>
                <w:color w:val="auto"/>
                <w:w w:val="93"/>
                <w:vertAlign w:val="subscript"/>
              </w:rPr>
              <w:t>​</w:t>
            </w:r>
            <w:r>
              <w:rPr>
                <w:rFonts w:ascii="Arial" w:cs="Arial" w:eastAsia="Arial" w:hAnsi="Arial"/>
                <w:sz w:val="17"/>
                <w:szCs w:val="17"/>
                <w:color w:val="auto"/>
                <w:w w:val="93"/>
              </w:rPr>
              <w:t>173,544,948</w:t>
            </w:r>
          </w:p>
        </w:tc>
        <w:tc>
          <w:tcPr>
            <w:tcW w:w="80" w:type="dxa"/>
            <w:vAlign w:val="bottom"/>
            <w:tcBorders>
              <w:top w:val="single" w:sz="8" w:color="auto"/>
              <w:bottom w:val="single" w:sz="8" w:color="CCEEFF"/>
            </w:tcBorders>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427"/>
        </w:trPr>
        <w:tc>
          <w:tcPr>
            <w:tcW w:w="3880" w:type="dxa"/>
            <w:vAlign w:val="bottom"/>
          </w:tcPr>
          <w:p>
            <w:pPr>
              <w:ind w:left="18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Arial" w:cs="Arial" w:eastAsia="Arial" w:hAnsi="Arial"/>
                <w:sz w:val="35"/>
                <w:szCs w:val="35"/>
                <w:color w:val="auto"/>
                <w:w w:val="95"/>
                <w:vertAlign w:val="subscript"/>
              </w:rPr>
              <w:t>​</w:t>
            </w:r>
            <w:r>
              <w:rPr>
                <w:rFonts w:ascii="Arial" w:cs="Arial" w:eastAsia="Arial" w:hAnsi="Arial"/>
                <w:sz w:val="18"/>
                <w:szCs w:val="18"/>
                <w:color w:val="auto"/>
                <w:w w:val="95"/>
              </w:rPr>
              <w:t>173,544,948</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ind w:left="1260" w:right="879" w:firstLine="360"/>
        <w:spacing w:after="0" w:line="254"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to purchase all of the shares sold under the underwriting agreement if any of these shares are purchased.</w:t>
      </w:r>
    </w:p>
    <w:p>
      <w:pPr>
        <w:spacing w:after="0" w:line="123"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03"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 If there is more than one underwriter, and an underwriter defaults, the underwriting agreement provides that the purchase commitments of the non-defaulting underwriters may be increased or the underwriting agreement may be terminated.</w:t>
      </w:r>
    </w:p>
    <w:p>
      <w:pPr>
        <w:spacing w:after="0" w:line="110" w:lineRule="exact"/>
        <w:rPr>
          <w:sz w:val="20"/>
          <w:szCs w:val="20"/>
          <w:color w:val="auto"/>
        </w:rPr>
      </w:pPr>
    </w:p>
    <w:p>
      <w:pPr>
        <w:jc w:val="both"/>
        <w:ind w:left="1260" w:right="419" w:firstLine="360"/>
        <w:spacing w:after="0" w:line="311" w:lineRule="auto"/>
        <w:rPr>
          <w:sz w:val="20"/>
          <w:szCs w:val="20"/>
          <w:color w:val="auto"/>
        </w:rPr>
      </w:pPr>
      <w:r>
        <w:rPr>
          <w:rFonts w:ascii="Arial" w:cs="Arial" w:eastAsia="Arial" w:hAnsi="Arial"/>
          <w:sz w:val="16"/>
          <w:szCs w:val="16"/>
          <w:color w:val="auto"/>
        </w:rPr>
        <w:t>The expenses of this offering and the Ayar Investment are estimated at $       million and are payable by us. We have agreed to reimburse the underwriter for the reasonable legal fees and disbursements of their counsel relating to the review of this offering by the Financial Industry Regulatory Authority, up to $15,000.</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Nasdaq Global Select Market Listing</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shares are listed on the Nasdaq Global Select Market under the symbol “LCID.”</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transfer agent and registrar for our common stock is Equiniti Trust Company.</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Sales of Similar Securities</w:t>
      </w:r>
    </w:p>
    <w:p>
      <w:pPr>
        <w:spacing w:after="0" w:line="162" w:lineRule="exact"/>
        <w:rPr>
          <w:sz w:val="20"/>
          <w:szCs w:val="20"/>
          <w:color w:val="auto"/>
        </w:rPr>
      </w:pPr>
    </w:p>
    <w:p>
      <w:pPr>
        <w:jc w:val="both"/>
        <w:ind w:left="1260" w:right="579" w:firstLine="360"/>
        <w:spacing w:after="0" w:line="263" w:lineRule="auto"/>
        <w:rPr>
          <w:sz w:val="20"/>
          <w:szCs w:val="20"/>
          <w:color w:val="auto"/>
        </w:rPr>
      </w:pPr>
      <w:r>
        <w:rPr>
          <w:rFonts w:ascii="Arial" w:cs="Arial" w:eastAsia="Arial" w:hAnsi="Arial"/>
          <w:sz w:val="18"/>
          <w:szCs w:val="18"/>
          <w:color w:val="auto"/>
        </w:rPr>
        <w:t>We and our executive officers and directors have agreed, with certain limited exceptions, that without the prior written consent of the underwriters, we and they will not, for a period of 60 days after the date of this prospectus supplement:</w:t>
      </w:r>
    </w:p>
    <w:p>
      <w:pPr>
        <w:spacing w:after="0" w:line="76" w:lineRule="exact"/>
        <w:rPr>
          <w:sz w:val="20"/>
          <w:szCs w:val="20"/>
          <w:color w:val="auto"/>
        </w:rPr>
      </w:pPr>
    </w:p>
    <w:p>
      <w:pPr>
        <w:ind w:left="1800" w:right="679" w:hanging="180"/>
        <w:spacing w:after="0" w:line="308" w:lineRule="auto"/>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directly or indirectly, offer, pledge, sell, contract to sell, sell any option or contract to purchase, purchase any option or contract to sell, grant any option, right or warrant to purchase or otherwise</w:t>
      </w:r>
    </w:p>
    <w:p>
      <w:pPr>
        <w:spacing w:after="0" w:line="32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599"/>
        <w:spacing w:after="0" w:line="277" w:lineRule="auto"/>
        <w:rPr>
          <w:sz w:val="20"/>
          <w:szCs w:val="20"/>
          <w:color w:val="auto"/>
        </w:rPr>
      </w:pPr>
      <w:r>
        <w:rPr>
          <w:rFonts w:ascii="Arial" w:cs="Arial" w:eastAsia="Arial" w:hAnsi="Arial"/>
          <w:sz w:val="18"/>
          <w:szCs w:val="18"/>
          <w:color w:val="auto"/>
        </w:rPr>
        <w:t>transfer or dispose of any shares of common stock, or any securities convertible into or exercisable or exchangeable for common stock;</w:t>
      </w:r>
    </w:p>
    <w:p>
      <w:pPr>
        <w:spacing w:after="0" w:line="76" w:lineRule="exact"/>
        <w:rPr>
          <w:sz w:val="20"/>
          <w:szCs w:val="20"/>
          <w:color w:val="auto"/>
        </w:rPr>
      </w:pPr>
    </w:p>
    <w:p>
      <w:pPr>
        <w:ind w:left="1800" w:right="619" w:hanging="180"/>
        <w:spacing w:after="0" w:line="263"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exercise any right with respect to the registration of any of such common stock, or file, cause to be filed or cause to be confidentially submitted any registration statement in connection therewith, under the Securities Act of 1933, as amended; or</w:t>
      </w:r>
    </w:p>
    <w:p>
      <w:pPr>
        <w:spacing w:after="0" w:line="75" w:lineRule="exact"/>
        <w:rPr>
          <w:rFonts w:ascii="Arial" w:cs="Arial" w:eastAsia="Arial" w:hAnsi="Arial"/>
          <w:sz w:val="18"/>
          <w:szCs w:val="18"/>
          <w:color w:val="auto"/>
        </w:rPr>
      </w:pPr>
    </w:p>
    <w:p>
      <w:pPr>
        <w:ind w:left="1800" w:right="579" w:hanging="180"/>
        <w:spacing w:after="0" w:line="259"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any swap or any other agreement or any transaction that transfers, in whole or in part, directly or indirectly, the economic consequence of ownership of such common stock, whether any such swap or transaction is to be settled by delivery of common stock or other securities, in cash or otherwise.</w:t>
      </w:r>
    </w:p>
    <w:p>
      <w:pPr>
        <w:spacing w:after="0" w:line="119" w:lineRule="exact"/>
        <w:rPr>
          <w:sz w:val="20"/>
          <w:szCs w:val="20"/>
          <w:color w:val="auto"/>
        </w:rPr>
      </w:pPr>
    </w:p>
    <w:p>
      <w:pPr>
        <w:ind w:left="1260" w:right="419"/>
        <w:spacing w:after="0" w:line="273" w:lineRule="auto"/>
        <w:rPr>
          <w:sz w:val="20"/>
          <w:szCs w:val="20"/>
          <w:color w:val="auto"/>
        </w:rPr>
      </w:pPr>
      <w:r>
        <w:rPr>
          <w:rFonts w:ascii="Arial" w:cs="Arial" w:eastAsia="Arial" w:hAnsi="Arial"/>
          <w:sz w:val="17"/>
          <w:szCs w:val="17"/>
          <w:color w:val="auto"/>
        </w:rPr>
        <w:t>in each case, whether any such transaction described above is to be settled by delivery of common stock or such other securities, in cash or otherwise. In addition, we and each such person has agreed that, without the prior written consent of the underwriters, we or such other person will not, during the restricted period, make any demand for, or exercise any right with respect to, the registration of any shares of common stock or any security convertible into or exercisable or exchangeable for common stock (other than any demand or exercise that does not result in the public filing of a registration statement by us).</w:t>
      </w:r>
    </w:p>
    <w:p>
      <w:pPr>
        <w:spacing w:after="0" w:line="110"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With respect to issuances or sales by us, these restrictions do not apply to the shares to be sold in this offering; any shares of common stock issued by us upon the exercise of an option or warrant or the conversion of a security outstanding on the date of this prospectus; any shares of common stock issued upon the exercise, vesting or settlement of equity awards or the issuance of equity awards granted pursuant to our existing employee benefit plans existing on the date of this prospectus; any shares of common stock issued pursuant to any non-employee director stock plan or dividend reinvestment plan existing on the date of this prospectus; the entry into agreements to issue or the issuance of up to 5% of our outstanding common stock in connection with one or more acquisitions or strategic transactions, in each case subject to certain conditions; any shares of common stock issued to Ayar pursuant to the terms of the Ayar Investment; or any action required to be taken under the Company’s Investor Rights Agreement.</w:t>
      </w:r>
    </w:p>
    <w:p>
      <w:pPr>
        <w:spacing w:after="0" w:line="104"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7"/>
          <w:szCs w:val="17"/>
          <w:color w:val="auto"/>
        </w:rPr>
        <w:t>With respect to sales by our directors and our executive officers, subject to certain customary conditions, these restrictions do not apply to transfers made by will, other testamentary document or intestacy; as a bona fide gift or gifts, including to charitable organizations or for bona fide estate planning purposes; to any trust for the benefit of the director or officer; or the immediate family of the director or officer; to a partnership, limited liability company or other entity of which the director or officer and the immediate family of the director or officer are the legal and beneficial owner of all of the outstanding equity securities; if the lock-up agreement signatory is a business entity, to another business entity that is an affiliate of the director or officer, or to any investment fund or other entity controlling, controlled by, managing or managed by or under common control with the director or officer or affiliates of the director or officer, or as part of a distribution to members or shareholders of the lock-up agreement signatory; to a nominee or custodian of any person or entity to whom a transfer would be permissible under any of the preceding exceptions set forth in this sentence; in the case of an individual, by operation of law; from an employee or a director of, or a service provider to, the Company or any of its subsidiaries upon the death, disability or termination of employment, in each case, of such person; pursuant to a bona fide third-party tender offer, merger, consolidation or other similar transaction that is approved by the board of directors of the Company and made to all holders of shares of the Company’s capital stock involving a change of control; in connection with the exercise of any stock options or warrants, or the vesting or settlement of any restricted stock units or other compensatory equity securities in respect of shares of the Company outstanding as of the date the lock-up agreement is executed for any payment due for the exercise of options or other rights to purchase securities of the Company and to cover tax withholding obligations or taxes due in connection with such vesting, settlement or exercise (including by means of a “net settlement,” “sell to cover” or otherwise); and pursuant to trading plans established in accordance with Rule 10b5-1 under the Exchange Act prior to the date hereof. This lock-up provision applies to our common stock and to securities convertible into or exchangeable or exercisable for our common stock. It also applies to common stock owned now or acquired later by the person executing the agreement or for which the person executing the agreement later acquires the power of disposition.</w:t>
      </w:r>
    </w:p>
    <w:p>
      <w:pPr>
        <w:spacing w:after="0" w:line="38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4" w:name="page25"/>
    <w:bookmarkEnd w:id="2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62"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Until the distribution of the shares is completed, SEC rules may limit the underwriters and selling group members from bidding for and purchasing our common stock. However, the underwriters may engage in transactions that stabilize the price of the common stock, such as bids or purchases to peg, fix or maintain that price.</w:t>
      </w:r>
    </w:p>
    <w:p>
      <w:pPr>
        <w:spacing w:after="0" w:line="113"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7"/>
          <w:szCs w:val="17"/>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Stabilizing transactions consist of various bids for or purchases of shares of common stock made by the underwriters in the open market to peg, fix or maintain the price of our common stock prior to the completion of the offering.</w:t>
      </w:r>
    </w:p>
    <w:p>
      <w:pPr>
        <w:spacing w:after="0" w:line="10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underwriters may also impose a penalty bid.</w:t>
      </w:r>
    </w:p>
    <w:p>
      <w:pPr>
        <w:spacing w:after="0" w:line="144"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color w:val="auto"/>
        </w:rPr>
        <w:t>Neither we nor the underwriters make any representation or prediction as to the direction or magnitude of any effect that the transactions described above may have on the price of our common stock. In addition, neither we nor the underwriters make any representation that the underwriters will engage in these transactions or that these transactions, once commenced, will not be discontinued without notice.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Relationships</w:t>
      </w:r>
    </w:p>
    <w:p>
      <w:pPr>
        <w:spacing w:after="0" w:line="148"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color w:val="auto"/>
        </w:rPr>
        <w:t>Some of the underwriters’ affiliates have engaged in, and may in the future engage in, investment banking and other commercial dealings in the ordinary course of business with us or our affiliates. They have received, or may in the future receive, customary fees and commissions for these transactions. Certain affiliates of the underwriters are lenders and/or agents under our ABL Credit Facility.</w:t>
      </w:r>
    </w:p>
    <w:p>
      <w:pPr>
        <w:spacing w:after="0" w:line="99" w:lineRule="exact"/>
        <w:rPr>
          <w:sz w:val="20"/>
          <w:szCs w:val="20"/>
          <w:color w:val="auto"/>
        </w:rPr>
      </w:pPr>
    </w:p>
    <w:p>
      <w:pPr>
        <w:ind w:left="1260" w:right="419" w:firstLine="360"/>
        <w:spacing w:after="0" w:line="258" w:lineRule="auto"/>
        <w:rPr>
          <w:sz w:val="20"/>
          <w:szCs w:val="20"/>
          <w:color w:val="auto"/>
        </w:rPr>
      </w:pPr>
      <w:r>
        <w:rPr>
          <w:rFonts w:ascii="Arial" w:cs="Arial" w:eastAsia="Arial" w:hAnsi="Arial"/>
          <w:sz w:val="17"/>
          <w:szCs w:val="17"/>
          <w:color w:val="auto"/>
        </w:rPr>
        <w:t>In addition, from time to time, certain of affiliates of the underwriters may effect transactions for their own account or the account of customers, and hold on behalf of themselves or their customers, long or short positions in our debt or equity, securities or loans, and may do so in the future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at any time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Electronic Distribution</w:t>
      </w:r>
    </w:p>
    <w:p>
      <w:pPr>
        <w:spacing w:after="0" w:line="162"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In connection with the offering, the underwriters or securities dealers may distribute prospectuses by electronic means, such as e-mail.</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European Economic Area and the United Kingdom</w:t>
      </w:r>
    </w:p>
    <w:p>
      <w:pPr>
        <w:spacing w:after="0" w:line="148"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The common stock is not intended to be offered, sold or otherwise made available to and should not be offered, sold or otherwise made available to any retail investor in the European Economic Area (“EEA”) or in the United Kingdom (“UK”).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w:t>
      </w:r>
    </w:p>
    <w:p>
      <w:pPr>
        <w:spacing w:after="0" w:line="2" w:lineRule="exact"/>
        <w:rPr>
          <w:sz w:val="20"/>
          <w:szCs w:val="20"/>
          <w:color w:val="auto"/>
        </w:rPr>
      </w:pPr>
    </w:p>
    <w:p>
      <w:pPr>
        <w:ind w:left="1260" w:right="439"/>
        <w:spacing w:after="0" w:line="262" w:lineRule="auto"/>
        <w:tabs>
          <w:tab w:leader="none" w:pos="1623" w:val="left"/>
        </w:tabs>
        <w:numPr>
          <w:ilvl w:val="0"/>
          <w:numId w:val="13"/>
        </w:numPr>
        <w:rPr>
          <w:rFonts w:ascii="Arial" w:cs="Arial" w:eastAsia="Arial" w:hAnsi="Arial"/>
          <w:sz w:val="17"/>
          <w:szCs w:val="17"/>
          <w:color w:val="auto"/>
        </w:rPr>
      </w:pPr>
      <w:r>
        <w:rPr>
          <w:rFonts w:ascii="Arial" w:cs="Arial" w:eastAsia="Arial" w:hAnsi="Arial"/>
          <w:sz w:val="17"/>
          <w:szCs w:val="17"/>
          <w:color w:val="auto"/>
        </w:rPr>
        <w:t>of Article 4(1) of MiFID II. Consequently no key information document required by Regulation (EU) No 1286/2014 (as amended, the “PRIIPs Regulation”) for offering or selling the common stock or otherwise making them available to retail investors in the EEA or in the UK has been prepared and therefore offering or selling the common stock or otherwise making them available to any retail investor in the EEA or in the UK may be unlawful under the PRIIPS Regulation. This prospectus has been prepared on the basis</w:t>
      </w:r>
    </w:p>
    <w:p>
      <w:pPr>
        <w:sectPr>
          <w:pgSz w:w="11900" w:h="16838" w:orient="portrait"/>
          <w:cols w:equalWidth="0" w:num="1">
            <w:col w:w="9879"/>
          </w:cols>
          <w:pgMar w:left="580" w:top="90" w:right="1440" w:bottom="1440" w:gutter="0" w:footer="0" w:header="0"/>
        </w:sectPr>
      </w:pPr>
    </w:p>
    <w:p>
      <w:pPr>
        <w:spacing w:after="0" w:line="348"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779"/>
        <w:spacing w:after="0" w:line="259" w:lineRule="auto"/>
        <w:rPr>
          <w:sz w:val="20"/>
          <w:szCs w:val="20"/>
          <w:color w:val="auto"/>
        </w:rPr>
      </w:pPr>
      <w:r>
        <w:rPr>
          <w:rFonts w:ascii="Arial" w:cs="Arial" w:eastAsia="Arial" w:hAnsi="Arial"/>
          <w:sz w:val="18"/>
          <w:szCs w:val="18"/>
          <w:color w:val="auto"/>
        </w:rPr>
        <w:t>that any offer of common stock in any Member State of the EEA will be made pursuant to an exemption under Regulation (EU) 2017/1129 (the “Prospectus Regulation”) from the requirement to publish a prospectus for offers of such common stock. This prospectus is not a prospectus for the purposes of the Prospectus Regulation.</w:t>
      </w:r>
    </w:p>
    <w:p>
      <w:pPr>
        <w:spacing w:after="0" w:line="119" w:lineRule="exact"/>
        <w:rPr>
          <w:sz w:val="20"/>
          <w:szCs w:val="20"/>
          <w:color w:val="auto"/>
        </w:rPr>
      </w:pPr>
    </w:p>
    <w:p>
      <w:pPr>
        <w:jc w:val="both"/>
        <w:ind w:left="1260" w:right="479" w:firstLine="360"/>
        <w:spacing w:after="0" w:line="263" w:lineRule="auto"/>
        <w:rPr>
          <w:sz w:val="20"/>
          <w:szCs w:val="20"/>
          <w:color w:val="auto"/>
        </w:rPr>
      </w:pPr>
      <w:r>
        <w:rPr>
          <w:rFonts w:ascii="Arial" w:cs="Arial" w:eastAsia="Arial" w:hAnsi="Arial"/>
          <w:sz w:val="18"/>
          <w:szCs w:val="18"/>
          <w:color w:val="auto"/>
        </w:rPr>
        <w:t>References to Regulations or Directives include, in relation to the UK, those Regulations or Directives as they form part of UK domestic law by virtue of the European Union (Withdrawal) Act 2018 or have been implemented in UK domestic law, as appropriate.</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48"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The common stock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common stock or the offering may be publicly distributed or otherwise made publicly available in Switzerland.</w:t>
      </w:r>
    </w:p>
    <w:p>
      <w:pPr>
        <w:spacing w:after="0" w:line="124"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common stock have been or will be filed with or approved by any Swiss regulatory authority. In particular, this document will not be filed with, and the offer of the common stock will not be supervised by, the Swiss Financial Market Supervisory Authority FINMA (FINMA), and the offer of the common stock has not been and will not be authorized under the Swiss Federal Act on Collective Investment Schemes (“CISA”). The investor protection afforded to acquirers of interests in collective investment schemes under the CISA does not extend to acquirers of the common stock.</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4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common stock to which this prospectus supplement relates may be illiquid and/or subject to restrictions on their resale. Prospective purchasers of the common stock offered should conduct their own due diligence on the common stock. If you do not understand the contents of this prospectus supplement you should consult an authorized financial advisor.</w:t>
      </w:r>
    </w:p>
    <w:p>
      <w:pPr>
        <w:sectPr>
          <w:pgSz w:w="11900" w:h="16838" w:orient="portrait"/>
          <w:cols w:equalWidth="0" w:num="1">
            <w:col w:w="9879"/>
          </w:cols>
          <w:pgMar w:left="580" w:top="90" w:right="1440" w:bottom="1440" w:gutter="0" w:footer="0" w:header="0"/>
        </w:sectPr>
      </w:pPr>
    </w:p>
    <w:p>
      <w:pPr>
        <w:spacing w:after="0" w:line="374"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62" w:lineRule="exact"/>
        <w:rPr>
          <w:sz w:val="20"/>
          <w:szCs w:val="20"/>
          <w:color w:val="auto"/>
        </w:rPr>
      </w:pPr>
    </w:p>
    <w:p>
      <w:pPr>
        <w:ind w:left="1260" w:right="539" w:firstLine="360"/>
        <w:spacing w:after="0" w:line="24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Any offer in Australia of the common stock may only be made to persons (the “Exempt Investors”)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who are “sophisticated investors” (within​ the meaning of section 708(8) of the Corporations Act),</w:t>
      </w:r>
    </w:p>
    <w:p>
      <w:pPr>
        <w:ind w:left="1260" w:right="579"/>
        <w:spacing w:after="0" w:line="268" w:lineRule="auto"/>
        <w:rPr>
          <w:sz w:val="20"/>
          <w:szCs w:val="20"/>
          <w:color w:val="auto"/>
        </w:rPr>
      </w:pPr>
      <w:r>
        <w:rPr>
          <w:rFonts w:ascii="Arial" w:cs="Arial" w:eastAsia="Arial" w:hAnsi="Arial"/>
          <w:sz w:val="17"/>
          <w:szCs w:val="17"/>
          <w:color w:val="auto"/>
        </w:rPr>
        <w:t>“professional investors” (within​ the meaning of section 708(11) of the Corporations Act) or otherwise pursuant to one or more exemptions contained in section 708 of the Corporations Act so that it is lawful to offer the common stock without disclosure to investors under Chapter 6D of the Corporations Act.</w:t>
      </w:r>
    </w:p>
    <w:p>
      <w:pPr>
        <w:spacing w:after="0" w:line="99"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7"/>
          <w:szCs w:val="17"/>
          <w:color w:val="auto"/>
        </w:rPr>
        <w:t>The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w:t>
      </w:r>
    </w:p>
    <w:p>
      <w:pPr>
        <w:spacing w:after="0" w:line="103" w:lineRule="exact"/>
        <w:rPr>
          <w:sz w:val="20"/>
          <w:szCs w:val="20"/>
          <w:color w:val="auto"/>
        </w:rPr>
      </w:pPr>
    </w:p>
    <w:p>
      <w:pPr>
        <w:ind w:left="1260" w:right="519" w:firstLine="360"/>
        <w:spacing w:after="0" w:line="24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common stock may not be offered or sold in Hong Kong, by means of any document, other than</w:t>
      </w:r>
    </w:p>
    <w:p>
      <w:pPr>
        <w:spacing w:after="0" w:line="35" w:lineRule="exact"/>
        <w:rPr>
          <w:sz w:val="20"/>
          <w:szCs w:val="20"/>
          <w:color w:val="auto"/>
        </w:rPr>
      </w:pPr>
    </w:p>
    <w:p>
      <w:pPr>
        <w:ind w:left="1260" w:right="419"/>
        <w:spacing w:after="0" w:line="256" w:lineRule="auto"/>
        <w:tabs>
          <w:tab w:leader="none" w:pos="1519"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common stock which is or is intended to be disposed of only to persons outside Hong Kong or only to “professional investors” as defined in the Securities and Futures Ordinance and any rules made under that Ordinance.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the common stock may not be offered or sold or caused to be made the subject of an invitation for subscription or purchase, and this prospectus or any other document or material in connection with the offer or sale, or invitation for subscription or purchase, of the common stock, may not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1" w:lineRule="exact"/>
        <w:rPr>
          <w:sz w:val="20"/>
          <w:szCs w:val="20"/>
          <w:color w:val="auto"/>
        </w:rPr>
      </w:pPr>
    </w:p>
    <w:p>
      <w:pPr>
        <w:ind w:left="1260" w:right="619"/>
        <w:spacing w:after="0" w:line="245" w:lineRule="auto"/>
        <w:tabs>
          <w:tab w:leader="none" w:pos="15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17"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Where the common stock is subscribed or purchased under Section 275 of the SFA by a relevant person which is:</w:t>
      </w:r>
    </w:p>
    <w:p>
      <w:pPr>
        <w:spacing w:after="0" w:line="103" w:lineRule="exact"/>
        <w:rPr>
          <w:sz w:val="20"/>
          <w:szCs w:val="20"/>
          <w:color w:val="auto"/>
        </w:rPr>
      </w:pPr>
    </w:p>
    <w:p>
      <w:pPr>
        <w:ind w:left="5180" w:right="579" w:hanging="3560"/>
        <w:spacing w:after="0" w:line="731" w:lineRule="auto"/>
        <w:tabs>
          <w:tab w:leader="none" w:pos="1973"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980" w:right="579"/>
        <w:spacing w:after="0" w:line="277" w:lineRule="auto"/>
        <w:rPr>
          <w:sz w:val="20"/>
          <w:szCs w:val="20"/>
          <w:color w:val="auto"/>
        </w:rPr>
      </w:pPr>
      <w:r>
        <w:rPr>
          <w:rFonts w:ascii="Arial" w:cs="Arial" w:eastAsia="Arial" w:hAnsi="Arial"/>
          <w:sz w:val="18"/>
          <w:szCs w:val="18"/>
          <w:color w:val="auto"/>
        </w:rPr>
        <w:t>business of which is to hold investments and the entire share capital of which is owned by one or more individuals, each of whom is an accredited investor; or</w:t>
      </w:r>
    </w:p>
    <w:p>
      <w:pPr>
        <w:spacing w:after="0" w:line="76" w:lineRule="exact"/>
        <w:rPr>
          <w:sz w:val="20"/>
          <w:szCs w:val="20"/>
          <w:color w:val="auto"/>
        </w:rPr>
      </w:pPr>
    </w:p>
    <w:p>
      <w:pPr>
        <w:ind w:left="1980" w:right="579" w:hanging="360"/>
        <w:spacing w:after="0" w:line="277"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49" w:lineRule="exact"/>
        <w:rPr>
          <w:sz w:val="20"/>
          <w:szCs w:val="20"/>
          <w:color w:val="auto"/>
        </w:rPr>
      </w:pPr>
    </w:p>
    <w:p>
      <w:pPr>
        <w:ind w:left="1260" w:right="519"/>
        <w:spacing w:after="0" w:line="249"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common stock pursuant to an offer made under Section 275 of the SFA except:</w:t>
      </w:r>
    </w:p>
    <w:p>
      <w:pPr>
        <w:spacing w:after="0" w:line="59" w:lineRule="exact"/>
        <w:rPr>
          <w:sz w:val="20"/>
          <w:szCs w:val="20"/>
          <w:color w:val="auto"/>
        </w:rPr>
      </w:pPr>
    </w:p>
    <w:p>
      <w:pPr>
        <w:ind w:left="1980" w:right="599" w:hanging="360"/>
        <w:spacing w:after="0" w:line="277"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35" w:lineRule="exact"/>
        <w:rPr>
          <w:rFonts w:ascii="Arial" w:cs="Arial" w:eastAsia="Arial" w:hAnsi="Arial"/>
          <w:sz w:val="18"/>
          <w:szCs w:val="18"/>
          <w:color w:val="auto"/>
        </w:rPr>
      </w:pPr>
    </w:p>
    <w:p>
      <w:pPr>
        <w:ind w:left="1980" w:hanging="360"/>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03" w:lineRule="exact"/>
        <w:rPr>
          <w:rFonts w:ascii="Arial" w:cs="Arial" w:eastAsia="Arial" w:hAnsi="Arial"/>
          <w:sz w:val="18"/>
          <w:szCs w:val="18"/>
          <w:color w:val="auto"/>
        </w:rPr>
      </w:pPr>
    </w:p>
    <w:p>
      <w:pPr>
        <w:ind w:left="1980" w:hanging="360"/>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90" w:lineRule="exact"/>
        <w:rPr>
          <w:rFonts w:ascii="Arial" w:cs="Arial" w:eastAsia="Arial" w:hAnsi="Arial"/>
          <w:sz w:val="18"/>
          <w:szCs w:val="18"/>
          <w:color w:val="auto"/>
        </w:rPr>
      </w:pPr>
    </w:p>
    <w:p>
      <w:pPr>
        <w:ind w:left="1980" w:hanging="360"/>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94"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8"/>
          <w:szCs w:val="18"/>
          <w:color w:val="auto"/>
        </w:rPr>
        <w:t xml:space="preserve">The common stock may be sold only to purchasers purchasing, or deemed to be purchasing, as principal that are accredited investors, as defined in National Instrument 45- 106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common stock must be made in accordance with an exemption from, or in a transaction not subject to, the prospectus requirements of applicable securities laws.</w:t>
      </w:r>
    </w:p>
    <w:p>
      <w:pPr>
        <w:spacing w:after="0" w:line="64"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66" w:lineRule="exact"/>
        <w:rPr>
          <w:sz w:val="20"/>
          <w:szCs w:val="20"/>
          <w:color w:val="auto"/>
        </w:rPr>
      </w:pPr>
    </w:p>
    <w:p>
      <w:pPr>
        <w:ind w:left="1260" w:right="499" w:firstLine="360"/>
        <w:spacing w:after="0" w:line="249"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33- 105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underwriters conflicts of interest in connection with this offering.</w:t>
      </w:r>
    </w:p>
    <w:p>
      <w:pPr>
        <w:spacing w:after="0" w:line="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Benefit Plan Investors</w:t>
      </w:r>
    </w:p>
    <w:p>
      <w:pPr>
        <w:spacing w:after="0" w:line="108"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7"/>
          <w:szCs w:val="17"/>
          <w:color w:val="auto"/>
        </w:rPr>
        <w:t>The common stock may be purchased and held by or with the assets of (i) “employee benefit plans” within the meaning of Section 3(3) of the Employee Retirement Income Security Act of 1974, as amended (“ERISA”), subject to Title I of ERISA, (ii) plans, individual retirement accounts and other arrangements subject to Section 4975 of the Internal Revenue Code of 1986, as amended (the “Code”), or provisions of any other U.S. or non-U.S. federal, state, local or other laws or regulations that are similar to such provisions of ERISA or the Code (“Similar Laws”) and (iii) entities whose underlying assets are considered to include plan assets of any of the foregoing described in clauses (i) and (ii), pursuant to ERISA or otherwise (each of the foregoing described in clauses (i), (ii) and (iii) referred to herein as a “Plan”). A fiduciary of a Plan subject to Title I of ERISA or Similar Laws must determine that the purchase and holding of the common stock is consistent with its fiduciary duties under any applicable provision of ERISA, Section 4975 of the Code or Similar Laws. Each purchaser that is a Plan must also determine, and will be deemed to have represented by its purchase and holding of the common stock, that such purchase and holding and any subsequent disposition of the common stock will not constitute or result in a non-exempt prohibited transaction under Section 406 of ERISA or Section 4975 of the Code, or a violation of any applicable Similar Law. Such purchaser should consider the fact that neither we, the underwriters nor any of our or its respective affiliates is acting as a fiduciary to any Plan with respect to the decision to acquire the common stock in connection with the offering hereunder. Due to the complexity of these rules and the penalties that may be imposed upon persons involved in non-exempt prohibited transactions, it is particularly important that fiduciaries, or other persons considering acquiring the common stock on behalf of, or with the assets of, any Plan, consult with their counsel regarding the potential applicability of ERISA, Section 4975 of the</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79"/>
        <w:spacing w:after="0" w:line="257" w:lineRule="auto"/>
        <w:rPr>
          <w:sz w:val="20"/>
          <w:szCs w:val="20"/>
          <w:color w:val="auto"/>
        </w:rPr>
      </w:pPr>
      <w:r>
        <w:rPr>
          <w:rFonts w:ascii="Arial" w:cs="Arial" w:eastAsia="Arial" w:hAnsi="Arial"/>
          <w:sz w:val="18"/>
          <w:szCs w:val="18"/>
          <w:color w:val="auto"/>
        </w:rPr>
        <w:t>Code and any Similar Laws to such decision and whether an exemption would be applicable to the acquisition and holding of the common stock. Nothing in this prospectus supplement is, or should be construed as, a representation or advice as to whether an investment in the common stock is appropriate for, or would meet any or all of the relevant legal requirements with respect to investments by, Plans generally or any particular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9" w:name="page30"/>
    <w:bookmarkEnd w:id="2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jc w:val="both"/>
        <w:ind w:left="1260" w:right="479" w:firstLine="360"/>
        <w:spacing w:after="0" w:line="263" w:lineRule="auto"/>
        <w:rPr>
          <w:sz w:val="20"/>
          <w:szCs w:val="20"/>
          <w:color w:val="auto"/>
        </w:rPr>
      </w:pPr>
      <w:r>
        <w:rPr>
          <w:rFonts w:ascii="Arial" w:cs="Arial" w:eastAsia="Arial" w:hAnsi="Arial"/>
          <w:sz w:val="18"/>
          <w:szCs w:val="18"/>
          <w:color w:val="auto"/>
        </w:rPr>
        <w:t>The legality of the common stock offered hereby will be passed upon for us by Davis Polk &amp; Wardwell LLP, Menlo Park, California. The underwriters have been represented by Simpson Thacher &amp; Bartlett LLP, Palo Alto, California.</w:t>
      </w:r>
    </w:p>
    <w:p>
      <w:pPr>
        <w:spacing w:after="0" w:line="18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The audited financial statements of Lucid Group, Inc.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340995</wp:posOffset>
            </wp:positionV>
            <wp:extent cx="3206115" cy="1974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320611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$7,400,017,750</w:t>
      </w:r>
    </w:p>
    <w:p>
      <w:pPr>
        <w:spacing w:after="0" w:line="18"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Common Stock</w:t>
      </w:r>
    </w:p>
    <w:p>
      <w:pPr>
        <w:jc w:val="center"/>
        <w:ind w:right="-519"/>
        <w:spacing w:after="0"/>
        <w:rPr>
          <w:sz w:val="20"/>
          <w:szCs w:val="20"/>
          <w:color w:val="auto"/>
        </w:rPr>
      </w:pPr>
      <w:r>
        <w:rPr>
          <w:rFonts w:ascii="Arial" w:cs="Arial" w:eastAsia="Arial" w:hAnsi="Arial"/>
          <w:sz w:val="22"/>
          <w:szCs w:val="22"/>
          <w:b w:val="1"/>
          <w:bCs w:val="1"/>
          <w:color w:val="auto"/>
        </w:rPr>
        <w:t>Preferred Stock</w:t>
      </w:r>
    </w:p>
    <w:p>
      <w:pPr>
        <w:spacing w:after="0" w:line="3"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Depositary Shares</w:t>
      </w:r>
    </w:p>
    <w:p>
      <w:pPr>
        <w:jc w:val="center"/>
        <w:ind w:right="-519"/>
        <w:spacing w:after="0" w:line="233" w:lineRule="auto"/>
        <w:rPr>
          <w:sz w:val="20"/>
          <w:szCs w:val="20"/>
          <w:color w:val="auto"/>
        </w:rPr>
      </w:pPr>
      <w:r>
        <w:rPr>
          <w:rFonts w:ascii="Arial" w:cs="Arial" w:eastAsia="Arial" w:hAnsi="Arial"/>
          <w:sz w:val="22"/>
          <w:szCs w:val="22"/>
          <w:b w:val="1"/>
          <w:bCs w:val="1"/>
          <w:color w:val="auto"/>
        </w:rPr>
        <w:t>Debt Securities</w:t>
      </w:r>
    </w:p>
    <w:p>
      <w:pPr>
        <w:spacing w:after="0" w:line="1"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Warrants</w:t>
      </w:r>
    </w:p>
    <w:p>
      <w:pPr>
        <w:spacing w:after="0" w:line="3"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Purchase Contracts</w:t>
      </w:r>
    </w:p>
    <w:p>
      <w:pPr>
        <w:jc w:val="center"/>
        <w:ind w:right="-519"/>
        <w:spacing w:after="0" w:line="233" w:lineRule="auto"/>
        <w:rPr>
          <w:sz w:val="20"/>
          <w:szCs w:val="20"/>
          <w:color w:val="auto"/>
        </w:rPr>
      </w:pPr>
      <w:r>
        <w:rPr>
          <w:rFonts w:ascii="Arial" w:cs="Arial" w:eastAsia="Arial" w:hAnsi="Arial"/>
          <w:sz w:val="22"/>
          <w:szCs w:val="22"/>
          <w:b w:val="1"/>
          <w:bCs w:val="1"/>
          <w:color w:val="auto"/>
        </w:rPr>
        <w:t>Units</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Offered by Lucid Group, Inc.</w:t>
      </w:r>
    </w:p>
    <w:p>
      <w:pPr>
        <w:spacing w:after="0" w:line="3" w:lineRule="exact"/>
        <w:rPr>
          <w:sz w:val="20"/>
          <w:szCs w:val="20"/>
          <w:color w:val="auto"/>
        </w:rPr>
      </w:pPr>
    </w:p>
    <w:p>
      <w:pPr>
        <w:ind w:left="3480"/>
        <w:spacing w:after="0"/>
        <w:rPr>
          <w:sz w:val="20"/>
          <w:szCs w:val="20"/>
          <w:color w:val="auto"/>
        </w:rPr>
      </w:pPr>
      <w:r>
        <w:rPr>
          <w:rFonts w:ascii="Arial" w:cs="Arial" w:eastAsia="Arial" w:hAnsi="Arial"/>
          <w:sz w:val="22"/>
          <w:szCs w:val="22"/>
          <w:b w:val="1"/>
          <w:bCs w:val="1"/>
          <w:color w:val="auto"/>
        </w:rPr>
        <w:t>Up to 44,350,000 Shares of Common Stock</w:t>
      </w:r>
    </w:p>
    <w:p>
      <w:pPr>
        <w:ind w:left="5200"/>
        <w:spacing w:after="0" w:line="233" w:lineRule="auto"/>
        <w:rPr>
          <w:sz w:val="20"/>
          <w:szCs w:val="20"/>
          <w:color w:val="auto"/>
        </w:rPr>
      </w:pPr>
      <w:r>
        <w:rPr>
          <w:rFonts w:ascii="Arial" w:cs="Arial" w:eastAsia="Arial" w:hAnsi="Arial"/>
          <w:sz w:val="22"/>
          <w:szCs w:val="22"/>
          <w:b w:val="1"/>
          <w:bCs w:val="1"/>
          <w:color w:val="auto"/>
        </w:rPr>
        <w:t>and</w:t>
      </w:r>
    </w:p>
    <w:p>
      <w:pPr>
        <w:spacing w:after="0" w:line="1"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Up to 1,161,947,946 Shares of Common Stock</w:t>
      </w:r>
    </w:p>
    <w:p>
      <w:pPr>
        <w:spacing w:after="0" w:line="3"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Up to 7,221,921 Warrants to Purchase Common Stock</w:t>
      </w:r>
    </w:p>
    <w:p>
      <w:pPr>
        <w:spacing w:after="0" w:line="4"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Offered by the Selling Securityholders</w:t>
      </w:r>
    </w:p>
    <w:p>
      <w:pPr>
        <w:spacing w:after="0" w:line="20" w:lineRule="exact"/>
        <w:rPr>
          <w:sz w:val="20"/>
          <w:szCs w:val="20"/>
          <w:color w:val="auto"/>
        </w:rPr>
      </w:pPr>
    </w:p>
    <w:p>
      <w:pPr>
        <w:ind w:left="500" w:right="100" w:firstLine="360"/>
        <w:spacing w:after="0" w:line="250" w:lineRule="auto"/>
        <w:rPr>
          <w:sz w:val="20"/>
          <w:szCs w:val="20"/>
          <w:color w:val="auto"/>
        </w:rPr>
      </w:pPr>
      <w:r>
        <w:rPr>
          <w:rFonts w:ascii="Arial" w:cs="Arial" w:eastAsia="Arial" w:hAnsi="Arial"/>
          <w:sz w:val="17"/>
          <w:szCs w:val="17"/>
          <w:color w:val="auto"/>
        </w:rPr>
        <w:t>Lucid Group, Inc. may from time to time offer and sell common stock, preferred stock, depositary shares representing preferred stock, debt securities, warrants, purchase contracts or units in one or more offerings of up to $7,400,017,750 in aggregate offering price. In addition, this prospectus relates to the issuance by us of up to 44,350,000 shares of the Company’s Class A common stock, par value $0.0001 per share (“common stock”), consisting of (a) 42,850,000 shares of common stock that are issuable upon exercise of the Private Placement Warrants (as defined below) and (b) 1,500,000 shares of common stock issuable upon exercise of the Working Capital Warrants (as defined below).</w:t>
      </w:r>
    </w:p>
    <w:p>
      <w:pPr>
        <w:spacing w:after="0" w:line="7" w:lineRule="exact"/>
        <w:rPr>
          <w:sz w:val="20"/>
          <w:szCs w:val="20"/>
          <w:color w:val="auto"/>
        </w:rPr>
      </w:pPr>
    </w:p>
    <w:p>
      <w:pPr>
        <w:ind w:left="500" w:right="80" w:firstLine="360"/>
        <w:spacing w:after="0" w:line="250" w:lineRule="auto"/>
        <w:rPr>
          <w:sz w:val="20"/>
          <w:szCs w:val="20"/>
          <w:color w:val="auto"/>
        </w:rPr>
      </w:pPr>
      <w:r>
        <w:rPr>
          <w:rFonts w:ascii="Arial" w:cs="Arial" w:eastAsia="Arial" w:hAnsi="Arial"/>
          <w:sz w:val="17"/>
          <w:szCs w:val="17"/>
          <w:color w:val="auto"/>
        </w:rPr>
        <w:t>The prospectus also relates to the offer and resale from time to time by the selling securityholders named in this prospectus (the “Selling Securityholders”), or their permitted transferees, of (a) up to 1,161,947,946 shares of common stock, consisting of</w:t>
      </w:r>
    </w:p>
    <w:p>
      <w:pPr>
        <w:ind w:left="500" w:right="40" w:hanging="8"/>
        <w:spacing w:after="0" w:line="250" w:lineRule="auto"/>
        <w:tabs>
          <w:tab w:leader="none" w:pos="729" w:val="left"/>
        </w:tabs>
        <w:numPr>
          <w:ilvl w:val="0"/>
          <w:numId w:val="19"/>
        </w:numPr>
        <w:rPr>
          <w:rFonts w:ascii="Arial" w:cs="Arial" w:eastAsia="Arial" w:hAnsi="Arial"/>
          <w:sz w:val="17"/>
          <w:szCs w:val="17"/>
          <w:color w:val="auto"/>
        </w:rPr>
      </w:pPr>
      <w:r>
        <w:rPr>
          <w:rFonts w:ascii="Arial" w:cs="Arial" w:eastAsia="Arial" w:hAnsi="Arial"/>
          <w:sz w:val="17"/>
          <w:szCs w:val="17"/>
          <w:color w:val="auto"/>
        </w:rPr>
        <w:t>1,076,235,267 shares of common stock, including issued and outstanding shares of common stock, shares of common stock subject to vesting and/or exercise of the assumed Legacy Lucid Awards (as defined below) and shares of common stock issuable upon exercise of certain Private Placement Warrants and (ii) 85,712,679 shares of common stock issued to Ayar Third Investment Company (“Ayar”) pursuant to the Subscription Agreement, dated as of November 8, 2022 between the Company and Ayar (the “Subscription Agreement”) and (b) 7,221,921 warrants representing certain Private Placement Warrants.</w:t>
      </w:r>
    </w:p>
    <w:p>
      <w:pPr>
        <w:spacing w:after="0" w:line="5" w:lineRule="exact"/>
        <w:rPr>
          <w:sz w:val="20"/>
          <w:szCs w:val="20"/>
          <w:color w:val="auto"/>
        </w:rPr>
      </w:pPr>
    </w:p>
    <w:p>
      <w:pPr>
        <w:ind w:left="500" w:firstLine="360"/>
        <w:spacing w:after="0" w:line="233" w:lineRule="auto"/>
        <w:rPr>
          <w:sz w:val="20"/>
          <w:szCs w:val="20"/>
          <w:color w:val="auto"/>
        </w:rPr>
      </w:pPr>
      <w:r>
        <w:rPr>
          <w:rFonts w:ascii="Arial" w:cs="Arial" w:eastAsia="Arial" w:hAnsi="Arial"/>
          <w:sz w:val="18"/>
          <w:szCs w:val="18"/>
          <w:color w:val="auto"/>
        </w:rPr>
        <w:t>Our registration of the securities covered by this prospectus does not mean that either we or the Selling Securityholders will issue, offer or sell, as applicable, any of the securities. We and the Selling Securityholders may offer and sell the securities covered by this prospectus in a number of different ways and at varying prices. The securities may be sold directly to you, through agents, or through underwriters and dealers. If agents, underwriters or dealers are used to sell the securities, we will name them in a prospectus supplement. We provide more information about how we and the Selling Securityholders may sell the securities in the section entitled “Plan of Distribution.” In addition, certain of the securities being registered hereby are subject to vesting and/or transfer restrictions that may prevent the Selling Securityholders from offering or selling such securities upon the effectiveness of the registration statement of which this prospectus is a part. See “Description of Capital Stock” for more information.</w:t>
      </w:r>
    </w:p>
    <w:p>
      <w:pPr>
        <w:spacing w:after="0" w:line="14" w:lineRule="exact"/>
        <w:rPr>
          <w:sz w:val="20"/>
          <w:szCs w:val="20"/>
          <w:color w:val="auto"/>
        </w:rPr>
      </w:pPr>
    </w:p>
    <w:p>
      <w:pPr>
        <w:ind w:left="500" w:firstLine="360"/>
        <w:spacing w:after="0" w:line="256" w:lineRule="auto"/>
        <w:rPr>
          <w:sz w:val="20"/>
          <w:szCs w:val="20"/>
          <w:color w:val="auto"/>
        </w:rPr>
      </w:pPr>
      <w:r>
        <w:rPr>
          <w:rFonts w:ascii="Arial" w:cs="Arial" w:eastAsia="Arial" w:hAnsi="Arial"/>
          <w:sz w:val="17"/>
          <w:szCs w:val="17"/>
          <w:color w:val="auto"/>
        </w:rPr>
        <w:t>The Public Investment Fund, the sovereign wealth fund of Saudi Arabia (“PIF”), both directly and indirectly through Ayar, owned approximately 60.5% of our outstanding common stock as of March 31, 2023. As a result, we are a “controlled company” within the meaning of Nasdaq rules and, as a result, qualify for exemptions from certain corporate governance requirements. Ayar also currently has the ability to nominate five of the nine directors to our Board (as defined below).</w:t>
      </w:r>
    </w:p>
    <w:p>
      <w:pPr>
        <w:spacing w:after="0" w:line="3" w:lineRule="exact"/>
        <w:rPr>
          <w:sz w:val="20"/>
          <w:szCs w:val="20"/>
          <w:color w:val="auto"/>
        </w:rPr>
      </w:pPr>
    </w:p>
    <w:p>
      <w:pPr>
        <w:ind w:left="500" w:firstLine="360"/>
        <w:spacing w:after="0" w:line="255" w:lineRule="auto"/>
        <w:rPr>
          <w:sz w:val="20"/>
          <w:szCs w:val="20"/>
          <w:color w:val="auto"/>
        </w:rPr>
      </w:pPr>
      <w:r>
        <w:rPr>
          <w:rFonts w:ascii="Arial" w:cs="Arial" w:eastAsia="Arial" w:hAnsi="Arial"/>
          <w:sz w:val="17"/>
          <w:szCs w:val="17"/>
          <w:color w:val="auto"/>
        </w:rPr>
        <w:t>We will receive proceeds from the issuance and sale of our common stock, preferred stock, depositary shares representing preferred stock, debt securities, warrants, purchase contracts or units. We will not receive any proceeds from the sale of shares of common stock or warrants by the Selling Securityholders pursuant to this prospectus, except with respect to amounts received by us upon exercise of the warrants to the extent such warrants are exercised for cash. However, we will pay certain expenses associated with the sale of securities pursuant to this prospectus, as described in the section titled “Plan of Distribution.”</w:t>
      </w:r>
    </w:p>
    <w:p>
      <w:pPr>
        <w:spacing w:after="0" w:line="1" w:lineRule="exact"/>
        <w:rPr>
          <w:sz w:val="20"/>
          <w:szCs w:val="20"/>
          <w:color w:val="auto"/>
        </w:rPr>
      </w:pPr>
    </w:p>
    <w:p>
      <w:pPr>
        <w:ind w:left="500" w:right="400" w:firstLine="360"/>
        <w:spacing w:after="0" w:line="246" w:lineRule="auto"/>
        <w:rPr>
          <w:sz w:val="20"/>
          <w:szCs w:val="20"/>
          <w:color w:val="auto"/>
        </w:rPr>
      </w:pPr>
      <w:r>
        <w:rPr>
          <w:rFonts w:ascii="Arial" w:cs="Arial" w:eastAsia="Arial" w:hAnsi="Arial"/>
          <w:sz w:val="18"/>
          <w:szCs w:val="18"/>
          <w:color w:val="auto"/>
        </w:rPr>
        <w:t>Our common stock is listed on The Nasdaq Stock Market LLC under the symbol “LCID.” On May 5, 2023, the closing price of our common stock was $7.73 per share.</w:t>
      </w:r>
    </w:p>
    <w:p>
      <w:pPr>
        <w:spacing w:after="0" w:line="4" w:lineRule="exact"/>
        <w:rPr>
          <w:sz w:val="20"/>
          <w:szCs w:val="20"/>
          <w:color w:val="auto"/>
        </w:rPr>
      </w:pPr>
    </w:p>
    <w:p>
      <w:pPr>
        <w:jc w:val="both"/>
        <w:ind w:left="500" w:right="200" w:firstLine="360"/>
        <w:spacing w:after="0" w:line="291" w:lineRule="auto"/>
        <w:rPr>
          <w:sz w:val="20"/>
          <w:szCs w:val="20"/>
          <w:color w:val="auto"/>
        </w:rPr>
      </w:pPr>
      <w:r>
        <w:rPr>
          <w:rFonts w:ascii="Arial" w:cs="Arial" w:eastAsia="Arial" w:hAnsi="Arial"/>
          <w:sz w:val="15"/>
          <w:szCs w:val="15"/>
          <w:b w:val="1"/>
          <w:bCs w:val="1"/>
          <w:color w:val="auto"/>
        </w:rPr>
        <w:t xml:space="preserve">Investing in these securities involves certain risks. You should review carefully the risks and uncertainties described under the heading “Risk Factors” beginning on page </w:t>
      </w:r>
      <w:r>
        <w:rPr>
          <w:rFonts w:ascii="Arial" w:cs="Arial" w:eastAsia="Arial" w:hAnsi="Arial"/>
          <w:sz w:val="15"/>
          <w:szCs w:val="15"/>
          <w:b w:val="1"/>
          <w:bCs w:val="1"/>
          <w:u w:val="single" w:color="auto"/>
          <w:color w:val="0000EE"/>
        </w:rPr>
        <w:t>3</w:t>
      </w:r>
      <w:r>
        <w:rPr>
          <w:rFonts w:ascii="Arial" w:cs="Arial" w:eastAsia="Arial" w:hAnsi="Arial"/>
          <w:sz w:val="15"/>
          <w:szCs w:val="15"/>
          <w:b w:val="1"/>
          <w:bCs w:val="1"/>
          <w:color w:val="auto"/>
        </w:rPr>
        <w:t xml:space="preserve"> of this prospectus, and in our Quarterly Report on Form 10-Q for the quarter ended March 31, 2023, which is incorporated herein by reference, as amended or supplemented from time to time by any risk factors we include in subsequent Annual or Quarterly Reports on Form 10-K or 10-Q, respectively, and incorporated herein by reference.</w:t>
      </w:r>
    </w:p>
    <w:p>
      <w:pPr>
        <w:ind w:left="500" w:right="20" w:firstLine="360"/>
        <w:spacing w:after="0" w:line="312" w:lineRule="auto"/>
        <w:rPr>
          <w:sz w:val="20"/>
          <w:szCs w:val="20"/>
          <w:color w:val="auto"/>
        </w:rPr>
      </w:pPr>
      <w:r>
        <w:rPr>
          <w:rFonts w:ascii="Arial" w:cs="Arial" w:eastAsia="Arial" w:hAnsi="Arial"/>
          <w:sz w:val="15"/>
          <w:szCs w:val="15"/>
          <w:b w:val="1"/>
          <w:bCs w:val="1"/>
          <w:color w:val="auto"/>
        </w:rPr>
        <w:t>Neither the Securities and Exchange Commission (the “SEC”) nor any state securities commission has approved or disapproved these securities, or determined if this prospectus is truthful or complete. Any representation to the contrary is a criminal offense.</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The date of this prospectus is May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151765</wp:posOffset>
            </wp:positionV>
            <wp:extent cx="12344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396240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0" w:right="1099" w:bottom="1440" w:gutter="0" w:footer="0" w:header="0"/>
        </w:sectPr>
      </w:pPr>
    </w:p>
    <w:bookmarkStart w:id="31" w:name="page32"/>
    <w:bookmarkEnd w:id="3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192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171450</wp:posOffset>
            </wp:positionV>
            <wp:extent cx="12344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wp:posOffset>
            </wp:positionV>
            <wp:extent cx="521208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About This Prospectus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Frequently Used Terms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Special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Summary</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Debt Securities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Warrants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Purchase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Units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Selling Securityholders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Material United States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w:t>
      </w:r>
      <w:r>
        <w:rPr>
          <w:rFonts w:ascii="Arial" w:cs="Arial" w:eastAsia="Arial" w:hAnsi="Arial"/>
          <w:sz w:val="10"/>
          <w:szCs w:val="10"/>
          <w:b w:val="1"/>
          <w:bCs w:val="1"/>
          <w:color w:val="auto"/>
        </w:rPr>
        <w:t>AGE</w:t>
      </w:r>
      <w:r>
        <w:rPr>
          <w:rFonts w:ascii="Arial" w:cs="Arial" w:eastAsia="Arial" w:hAnsi="Arial"/>
          <w:sz w:val="28"/>
          <w:szCs w:val="28"/>
          <w:b w:val="1"/>
          <w:bCs w:val="1"/>
          <w:color w:val="auto"/>
          <w:vertAlign w:val="subscript"/>
        </w:rPr>
        <w:t>​</w:t>
      </w:r>
    </w:p>
    <w:p>
      <w:pPr>
        <w:spacing w:after="0" w:line="58"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12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99"/>
              </w:rPr>
              <w:t>ii</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16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91"/>
              </w:rPr>
              <w:t>iv</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7"/>
                <w:szCs w:val="17"/>
                <w:color w:val="0000EE"/>
                <w:w w:val="70"/>
              </w:rPr>
              <w:t>v</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viii</w:t>
      </w:r>
      <w:r>
        <w:rPr>
          <w:rFonts w:ascii="Arial" w:cs="Arial" w:eastAsia="Arial" w:hAnsi="Arial"/>
          <w:sz w:val="18"/>
          <w:szCs w:val="18"/>
          <w:color w:val="auto"/>
        </w:rPr>
        <w:t>​</w:t>
      </w:r>
    </w:p>
    <w:p>
      <w:pPr>
        <w:spacing w:after="0" w:line="39"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36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1"/>
              </w:rPr>
              <w:t>1</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36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1"/>
              </w:rPr>
              <w:t>3</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36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1"/>
              </w:rPr>
              <w:t>9</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10</w:t>
      </w:r>
      <w:r>
        <w:rPr>
          <w:rFonts w:ascii="Arial" w:cs="Arial" w:eastAsia="Arial" w:hAnsi="Arial"/>
          <w:sz w:val="18"/>
          <w:szCs w:val="18"/>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18</w:t>
      </w:r>
      <w:r>
        <w:rPr>
          <w:rFonts w:ascii="Arial" w:cs="Arial" w:eastAsia="Arial" w:hAnsi="Arial"/>
          <w:sz w:val="18"/>
          <w:szCs w:val="18"/>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26</w:t>
      </w:r>
      <w:r>
        <w:rPr>
          <w:rFonts w:ascii="Arial" w:cs="Arial" w:eastAsia="Arial" w:hAnsi="Arial"/>
          <w:sz w:val="18"/>
          <w:szCs w:val="18"/>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27</w:t>
      </w:r>
      <w:r>
        <w:rPr>
          <w:rFonts w:ascii="Arial" w:cs="Arial" w:eastAsia="Arial" w:hAnsi="Arial"/>
          <w:sz w:val="18"/>
          <w:szCs w:val="18"/>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28</w:t>
      </w:r>
      <w:r>
        <w:rPr>
          <w:rFonts w:ascii="Arial" w:cs="Arial" w:eastAsia="Arial" w:hAnsi="Arial"/>
          <w:sz w:val="18"/>
          <w:szCs w:val="18"/>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29</w:t>
      </w:r>
      <w:r>
        <w:rPr>
          <w:rFonts w:ascii="Arial" w:cs="Arial" w:eastAsia="Arial" w:hAnsi="Arial"/>
          <w:sz w:val="18"/>
          <w:szCs w:val="18"/>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30</w:t>
      </w:r>
      <w:r>
        <w:rPr>
          <w:rFonts w:ascii="Arial" w:cs="Arial" w:eastAsia="Arial" w:hAnsi="Arial"/>
          <w:sz w:val="18"/>
          <w:szCs w:val="18"/>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35</w:t>
      </w:r>
      <w:r>
        <w:rPr>
          <w:rFonts w:ascii="Arial" w:cs="Arial" w:eastAsia="Arial" w:hAnsi="Arial"/>
          <w:sz w:val="18"/>
          <w:szCs w:val="18"/>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38</w:t>
      </w:r>
      <w:r>
        <w:rPr>
          <w:rFonts w:ascii="Arial" w:cs="Arial" w:eastAsia="Arial" w:hAnsi="Arial"/>
          <w:sz w:val="18"/>
          <w:szCs w:val="18"/>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44</w:t>
      </w:r>
      <w:r>
        <w:rPr>
          <w:rFonts w:ascii="Arial" w:cs="Arial" w:eastAsia="Arial" w:hAnsi="Arial"/>
          <w:sz w:val="18"/>
          <w:szCs w:val="18"/>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45</w:t>
      </w:r>
      <w:r>
        <w:rPr>
          <w:rFonts w:ascii="Arial" w:cs="Arial" w:eastAsia="Arial" w:hAnsi="Arial"/>
          <w:sz w:val="18"/>
          <w:szCs w:val="18"/>
          <w:color w:val="auto"/>
        </w:rPr>
        <w:t>​</w:t>
      </w:r>
    </w:p>
    <w:p>
      <w:pPr>
        <w:sectPr>
          <w:pgSz w:w="11900" w:h="16838" w:orient="portrait"/>
          <w:cols w:equalWidth="0" w:num="2">
            <w:col w:w="8220" w:space="720"/>
            <w:col w:w="939"/>
          </w:cols>
          <w:pgMar w:left="580" w:top="90" w:right="1440"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ABOUT THIS PROSPECTUS</w:t>
      </w:r>
    </w:p>
    <w:p>
      <w:pPr>
        <w:spacing w:after="0" w:line="162" w:lineRule="exact"/>
        <w:rPr>
          <w:sz w:val="20"/>
          <w:szCs w:val="20"/>
          <w:color w:val="auto"/>
        </w:rPr>
      </w:pPr>
    </w:p>
    <w:p>
      <w:pPr>
        <w:ind w:left="1260" w:right="779" w:firstLine="360"/>
        <w:spacing w:after="0" w:line="246" w:lineRule="auto"/>
        <w:rPr>
          <w:sz w:val="20"/>
          <w:szCs w:val="20"/>
          <w:color w:val="auto"/>
        </w:rPr>
      </w:pPr>
      <w:r>
        <w:rPr>
          <w:rFonts w:ascii="Arial" w:cs="Arial" w:eastAsia="Arial" w:hAnsi="Arial"/>
          <w:sz w:val="18"/>
          <w:szCs w:val="18"/>
          <w:color w:val="auto"/>
        </w:rPr>
        <w:t>This prospectus is part of a registration statement that we filed with the SEC using a “shelf” registration process. Under this shelf registration process, we and the Selling Securityholders may, from time to time, issue, offer and sell, as applicable,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prospectus supplement may also add, update or change information included in this prospectus.</w:t>
      </w:r>
    </w:p>
    <w:p>
      <w:pPr>
        <w:spacing w:after="0" w:line="12" w:lineRule="exact"/>
        <w:rPr>
          <w:sz w:val="20"/>
          <w:szCs w:val="20"/>
          <w:color w:val="auto"/>
        </w:rPr>
      </w:pPr>
    </w:p>
    <w:p>
      <w:pPr>
        <w:ind w:left="1260" w:right="419"/>
        <w:spacing w:after="0" w:line="261" w:lineRule="auto"/>
        <w:rPr>
          <w:sz w:val="20"/>
          <w:szCs w:val="20"/>
          <w:color w:val="auto"/>
        </w:rPr>
      </w:pPr>
      <w:r>
        <w:rPr>
          <w:rFonts w:ascii="Arial" w:cs="Arial" w:eastAsia="Arial" w:hAnsi="Arial"/>
          <w:sz w:val="17"/>
          <w:szCs w:val="17"/>
          <w:color w:val="auto"/>
        </w:rPr>
        <w:t>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w:t>
      </w:r>
    </w:p>
    <w:p>
      <w:pPr>
        <w:spacing w:after="0" w:line="106"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Neither we nor the Selling Securityholders have authorized anyone to provide any information or to make any representations other than those contained in this prospectus, or any accompanying prospectus supplement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or any applicable prospectus supplement.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22"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More Information.”</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FAQ: About This Form S-3</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What is a Form S-3 registration statement?</w:t>
      </w:r>
    </w:p>
    <w:p>
      <w:pPr>
        <w:spacing w:after="0" w:line="144" w:lineRule="exact"/>
        <w:rPr>
          <w:sz w:val="20"/>
          <w:szCs w:val="20"/>
          <w:color w:val="auto"/>
        </w:rPr>
      </w:pPr>
    </w:p>
    <w:p>
      <w:pPr>
        <w:ind w:left="1260" w:right="519" w:firstLine="360"/>
        <w:spacing w:after="0" w:line="256" w:lineRule="auto"/>
        <w:rPr>
          <w:sz w:val="20"/>
          <w:szCs w:val="20"/>
          <w:color w:val="auto"/>
        </w:rPr>
      </w:pPr>
      <w:r>
        <w:rPr>
          <w:rFonts w:ascii="Arial" w:cs="Arial" w:eastAsia="Arial" w:hAnsi="Arial"/>
          <w:sz w:val="18"/>
          <w:szCs w:val="18"/>
          <w:color w:val="auto"/>
        </w:rPr>
        <w:t>Form S-3 is a simplified and abbreviated form for registering securities with the SEC. In certain cases, domestic companies are eligible to use Form S-3 instead of a longer Form S-1. Filing a Form S-3 offers distinct time and cost savings over filing a Form S-1.</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Why is Lucid filing a new Form S-3?</w:t>
      </w:r>
    </w:p>
    <w:p>
      <w:pPr>
        <w:spacing w:after="0" w:line="158" w:lineRule="exact"/>
        <w:rPr>
          <w:sz w:val="20"/>
          <w:szCs w:val="20"/>
          <w:color w:val="auto"/>
        </w:rPr>
      </w:pPr>
    </w:p>
    <w:p>
      <w:pPr>
        <w:ind w:left="1260" w:right="759" w:firstLine="360"/>
        <w:spacing w:after="0" w:line="278" w:lineRule="auto"/>
        <w:rPr>
          <w:sz w:val="20"/>
          <w:szCs w:val="20"/>
          <w:color w:val="auto"/>
        </w:rPr>
      </w:pPr>
      <w:r>
        <w:rPr>
          <w:rFonts w:ascii="Arial" w:cs="Arial" w:eastAsia="Arial" w:hAnsi="Arial"/>
          <w:sz w:val="17"/>
          <w:szCs w:val="17"/>
          <w:color w:val="auto"/>
        </w:rPr>
        <w:t>In December 2022, Ayar purchased 85,712,679 shares of our common stock from us in a private placement for aggregate gross proceeds to Lucid of $915.0 million. As part of the private placement, we agreed to register such shares within six months of the closing of the private placement.</w:t>
      </w:r>
    </w:p>
    <w:p>
      <w:pPr>
        <w:spacing w:after="0" w:line="90"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Lucid is not offering or selling any new securities under this registration statement as of the date of this registration statement. This registration statement is being filed to register the 85,712,679 shares of common stock purchased by Ayar, as described above. The remainder of the securities listed in this prospectus were previously registered as discussed below.</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Is Lucid offering and selling any new securities?</w:t>
      </w:r>
    </w:p>
    <w:p>
      <w:pPr>
        <w:spacing w:after="0" w:line="158" w:lineRule="exact"/>
        <w:rPr>
          <w:sz w:val="20"/>
          <w:szCs w:val="20"/>
          <w:color w:val="auto"/>
        </w:rPr>
      </w:pPr>
    </w:p>
    <w:p>
      <w:pPr>
        <w:ind w:left="1260" w:right="499" w:firstLine="360"/>
        <w:spacing w:after="0" w:line="249" w:lineRule="auto"/>
        <w:rPr>
          <w:sz w:val="20"/>
          <w:szCs w:val="20"/>
          <w:color w:val="auto"/>
        </w:rPr>
      </w:pPr>
      <w:r>
        <w:rPr>
          <w:rFonts w:ascii="Arial" w:cs="Arial" w:eastAsia="Arial" w:hAnsi="Arial"/>
          <w:sz w:val="18"/>
          <w:szCs w:val="18"/>
          <w:color w:val="auto"/>
        </w:rPr>
        <w:t>Lucid is not offering or selling any new securities under this registration statement. The approximately $7.4 billion of securities that may be offered and sold by Lucid under this registration statement were previously registered on our Form S-3 shelf registration statement (File No. 333-267147), which was initially</w:t>
      </w:r>
    </w:p>
    <w:p>
      <w:pPr>
        <w:sectPr>
          <w:pgSz w:w="11900" w:h="16838" w:orient="portrait"/>
          <w:cols w:equalWidth="0" w:num="1">
            <w:col w:w="9879"/>
          </w:cols>
          <w:pgMar w:left="580" w:top="90" w:right="1440" w:bottom="1440" w:gutter="0" w:footer="0" w:header="0"/>
        </w:sectPr>
      </w:pPr>
    </w:p>
    <w:p>
      <w:pPr>
        <w:spacing w:after="0" w:line="35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99"/>
        <w:spacing w:after="0" w:line="263" w:lineRule="auto"/>
        <w:rPr>
          <w:sz w:val="20"/>
          <w:szCs w:val="20"/>
          <w:color w:val="auto"/>
        </w:rPr>
      </w:pPr>
      <w:r>
        <w:rPr>
          <w:rFonts w:ascii="Arial" w:cs="Arial" w:eastAsia="Arial" w:hAnsi="Arial"/>
          <w:sz w:val="18"/>
          <w:szCs w:val="18"/>
          <w:color w:val="auto"/>
        </w:rPr>
        <w:t>declared effective by the SEC on September 2, 2022 (the “2022 S-3”). We are simply combining, for efficiency’s sake, the prospectus which relates to this registration statement with the prospectus that formed a part of our previous registration statement on Form S-3.</w:t>
      </w:r>
    </w:p>
    <w:p>
      <w:pPr>
        <w:spacing w:after="0" w:line="116"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After this registration statement is declared effective by the SEC, we may, from time to time, issue, offer and sell any combination of the securities described in this prospectus in one or more offerings, up to an aggregate offering amount of approximately $7.4 billion, over the three years after the effectiveness of the 2022 S-3. (This amount does not include shares of common stock that we may issue to holders of the Private Placement Warrants and the Working Capital Warrants pursuant to the exercise of those warrants described in this prospectus.) If Lucid decides to raise capital in an offering using this prospectus, Lucid will describe the specific details of that future offering in a prospectus supplement that is filed with the SEC.</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What are the other shares of common stock and warrants that are described in this prospectus?</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This prospectus is also intended for the resale of up to 1,076,235,267 shares of common stock, including issued and outstanding shares of common stock, shares of common tock subject to vesting and/or exercise of the assumed Legacy Lucid Awards and shares of common stock issuable upon exercise of certain Private Placement Warrants and up to 7,221,921 warrants held by selling securityholders named in the section of this prospectus titled “Selling Securityholders” and referred to herein as the “Selling Securityholders.” These securities were originally registered on our Form S-1 shelf registration statement (File No. 333-258348), which was initially declared effective by the SEC on August 24, 2021 (the “2021 S-1”), and then included in the prospectus of our 2022 S-3. They include shares of common stock that are held by certain of our affiliates that are party to the Investor Rights Agreement, shares of common stock that Lucid sold in the PIPE Investment and certain Private Placement Warrants (including shares issuable thereunder). In addition, this prospectus also covers the issuance of up to 44,350,000 shares of common stock that we may issue to holders of the Private Placement Warrants and the Working Capital Warrants upon the exercise of those warrants.</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What happens to the previous registration statements on Form S-1 and Form S-3?</w:t>
      </w:r>
    </w:p>
    <w:p>
      <w:pPr>
        <w:spacing w:after="0" w:line="144"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Once declared effective, this registration statement will act as a post-effective amendment to our 2022 S-3 and 2021 S-1.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ind w:left="1260" w:right="599" w:firstLine="360"/>
        <w:spacing w:after="0" w:line="279" w:lineRule="auto"/>
        <w:rPr>
          <w:sz w:val="20"/>
          <w:szCs w:val="20"/>
          <w:color w:val="auto"/>
        </w:rPr>
      </w:pPr>
      <w:r>
        <w:rPr>
          <w:rFonts w:ascii="Arial" w:cs="Arial" w:eastAsia="Arial" w:hAnsi="Arial"/>
          <w:sz w:val="17"/>
          <w:szCs w:val="17"/>
          <w:color w:val="auto"/>
        </w:rPr>
        <w:t>The SEC allows us to incorporate by reference information in this document. This means that we can disclose important information to you by referring you to another document filed separately with the SEC. The information incorporated by reference is considered to be part of this document, except for any information that is superseded by information that is included directly in this document.</w:t>
      </w:r>
    </w:p>
    <w:p>
      <w:pPr>
        <w:spacing w:after="0" w:line="104"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We are incorporating by reference the filings listed below and any additional documents that we may file with the SEC pursuant to Section 13(a), 13(c), 14 or 15(d) of the Exchange Act on or after the date hereof and prior to the termination of any offering (other than documents or information deemed to have been furnished and not filed in accordance with SEC rules):</w:t>
      </w:r>
    </w:p>
    <w:p>
      <w:pPr>
        <w:spacing w:after="0" w:line="79" w:lineRule="exact"/>
        <w:rPr>
          <w:sz w:val="20"/>
          <w:szCs w:val="20"/>
          <w:color w:val="auto"/>
        </w:rPr>
      </w:pPr>
    </w:p>
    <w:p>
      <w:pPr>
        <w:ind w:left="1800" w:right="879" w:hanging="180"/>
        <w:spacing w:after="0" w:line="277" w:lineRule="auto"/>
        <w:tabs>
          <w:tab w:leader="none" w:pos="1800" w:val="left"/>
        </w:tabs>
        <w:numPr>
          <w:ilvl w:val="0"/>
          <w:numId w:val="20"/>
        </w:numPr>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our Annual Report on Form 10-K for the year ended December 31, 2022, filed with the SEC on</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February 28, 2023;</w:t>
        </w:r>
      </w:hyperlink>
    </w:p>
    <w:p>
      <w:pPr>
        <w:spacing w:after="0" w:line="62" w:lineRule="exact"/>
        <w:rPr>
          <w:rFonts w:ascii="Arial" w:cs="Arial" w:eastAsia="Arial" w:hAnsi="Arial"/>
          <w:sz w:val="18"/>
          <w:szCs w:val="18"/>
          <w:u w:val="single" w:color="auto"/>
          <w:color w:val="0000EE"/>
        </w:rPr>
      </w:pPr>
    </w:p>
    <w:p>
      <w:pPr>
        <w:ind w:left="1800" w:right="779" w:hanging="180"/>
        <w:spacing w:after="0" w:line="277" w:lineRule="auto"/>
        <w:tabs>
          <w:tab w:leader="none" w:pos="1800" w:val="left"/>
        </w:tabs>
        <w:numPr>
          <w:ilvl w:val="0"/>
          <w:numId w:val="20"/>
        </w:numPr>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our Quarterly Report on Form 10-Q for the quarter ended March 31, 2023, filed with the SEC on</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May 8, 2023;</w:t>
        </w:r>
      </w:hyperlink>
    </w:p>
    <w:p>
      <w:pPr>
        <w:spacing w:after="0" w:line="62" w:lineRule="exact"/>
        <w:rPr>
          <w:rFonts w:ascii="Arial" w:cs="Arial" w:eastAsia="Arial" w:hAnsi="Arial"/>
          <w:sz w:val="18"/>
          <w:szCs w:val="18"/>
          <w:u w:val="single" w:color="auto"/>
          <w:color w:val="0000EE"/>
        </w:rPr>
      </w:pPr>
    </w:p>
    <w:p>
      <w:pPr>
        <w:jc w:val="both"/>
        <w:ind w:left="1800" w:right="519" w:hanging="180"/>
        <w:spacing w:after="0" w:line="263" w:lineRule="auto"/>
        <w:tabs>
          <w:tab w:leader="none" w:pos="1800" w:val="left"/>
        </w:tabs>
        <w:numPr>
          <w:ilvl w:val="0"/>
          <w:numId w:val="20"/>
        </w:numPr>
        <w:rPr>
          <w:rFonts w:ascii="Arial" w:cs="Arial" w:eastAsia="Arial" w:hAnsi="Arial"/>
          <w:sz w:val="18"/>
          <w:szCs w:val="18"/>
          <w:u w:val="single" w:color="auto"/>
          <w:color w:val="0000EE"/>
        </w:rPr>
      </w:pPr>
      <w:hyperlink r:id="rId96">
        <w:r>
          <w:rPr>
            <w:rFonts w:ascii="Arial" w:cs="Arial" w:eastAsia="Arial" w:hAnsi="Arial"/>
            <w:sz w:val="18"/>
            <w:szCs w:val="18"/>
            <w:color w:val="auto"/>
          </w:rPr>
          <w:t xml:space="preserve">information specifically incorporated by reference in our </w:t>
        </w:r>
        <w:r>
          <w:rPr>
            <w:rFonts w:ascii="Arial" w:cs="Arial" w:eastAsia="Arial" w:hAnsi="Arial"/>
            <w:sz w:val="18"/>
            <w:szCs w:val="18"/>
            <w:u w:val="single" w:color="auto"/>
            <w:color w:val="0000EE"/>
          </w:rPr>
          <w:t>Annual Report on Form 10-K for the fiscal</w:t>
        </w:r>
      </w:hyperlink>
      <w:r>
        <w:rPr>
          <w:rFonts w:ascii="Arial" w:cs="Arial" w:eastAsia="Arial" w:hAnsi="Arial"/>
          <w:sz w:val="18"/>
          <w:szCs w:val="18"/>
          <w:color w:val="auto"/>
        </w:rPr>
        <w:t xml:space="preserve"> </w:t>
      </w:r>
      <w:hyperlink r:id="rId98">
        <w:r>
          <w:rPr>
            <w:rFonts w:ascii="Arial" w:cs="Arial" w:eastAsia="Arial" w:hAnsi="Arial"/>
            <w:sz w:val="18"/>
            <w:szCs w:val="18"/>
            <w:u w:val="single" w:color="auto"/>
            <w:color w:val="0000EE"/>
          </w:rPr>
          <w:t>year ended December 31, 2022</w:t>
        </w:r>
        <w:r>
          <w:rPr>
            <w:rFonts w:ascii="Arial" w:cs="Arial" w:eastAsia="Arial" w:hAnsi="Arial"/>
            <w:sz w:val="18"/>
            <w:szCs w:val="18"/>
            <w:color w:val="0000EE"/>
          </w:rPr>
          <w:t xml:space="preserve"> </w:t>
        </w:r>
        <w:r>
          <w:rPr>
            <w:rFonts w:ascii="Arial" w:cs="Arial" w:eastAsia="Arial" w:hAnsi="Arial"/>
            <w:sz w:val="18"/>
            <w:szCs w:val="18"/>
            <w:color w:val="000000"/>
          </w:rPr>
          <w:t>from our</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Definitive Proxy Statement on Schedule 14A filed with the</w:t>
        </w:r>
      </w:hyperlink>
      <w:r>
        <w:rPr>
          <w:rFonts w:ascii="Arial" w:cs="Arial" w:eastAsia="Arial" w:hAnsi="Arial"/>
          <w:sz w:val="18"/>
          <w:szCs w:val="18"/>
          <w:color w:val="0000EE"/>
        </w:rPr>
        <w:t xml:space="preserve"> </w:t>
      </w:r>
      <w:hyperlink r:id="rId98">
        <w:r>
          <w:rPr>
            <w:rFonts w:ascii="Arial" w:cs="Arial" w:eastAsia="Arial" w:hAnsi="Arial"/>
            <w:sz w:val="18"/>
            <w:szCs w:val="18"/>
            <w:u w:val="single" w:color="auto"/>
            <w:color w:val="0000EE"/>
          </w:rPr>
          <w:t>SEC on March 13, 2023;</w:t>
        </w:r>
      </w:hyperlink>
    </w:p>
    <w:p>
      <w:pPr>
        <w:spacing w:after="0" w:line="75" w:lineRule="exact"/>
        <w:rPr>
          <w:rFonts w:ascii="Arial" w:cs="Arial" w:eastAsia="Arial" w:hAnsi="Arial"/>
          <w:sz w:val="18"/>
          <w:szCs w:val="18"/>
          <w:u w:val="single" w:color="auto"/>
          <w:color w:val="0000EE"/>
        </w:rPr>
      </w:pPr>
    </w:p>
    <w:p>
      <w:pPr>
        <w:ind w:left="1800" w:right="719" w:hanging="180"/>
        <w:spacing w:after="0" w:line="263" w:lineRule="auto"/>
        <w:tabs>
          <w:tab w:leader="none" w:pos="1800" w:val="left"/>
        </w:tabs>
        <w:numPr>
          <w:ilvl w:val="0"/>
          <w:numId w:val="20"/>
        </w:numPr>
        <w:rPr>
          <w:rFonts w:ascii="Arial" w:cs="Arial" w:eastAsia="Arial" w:hAnsi="Arial"/>
          <w:sz w:val="18"/>
          <w:szCs w:val="18"/>
          <w:u w:val="single" w:color="auto"/>
          <w:color w:val="0000EE"/>
        </w:rPr>
      </w:pPr>
      <w:r>
        <w:rPr>
          <w:rFonts w:ascii="Arial" w:cs="Arial" w:eastAsia="Arial" w:hAnsi="Arial"/>
          <w:sz w:val="18"/>
          <w:szCs w:val="18"/>
          <w:color w:val="auto"/>
        </w:rPr>
        <w:t xml:space="preserve">our Current Reports on Form 8-K filed with the SEC on </w:t>
      </w:r>
      <w:hyperlink r:id="rId99">
        <w:r>
          <w:rPr>
            <w:rFonts w:ascii="Arial" w:cs="Arial" w:eastAsia="Arial" w:hAnsi="Arial"/>
            <w:sz w:val="18"/>
            <w:szCs w:val="18"/>
            <w:u w:val="single" w:color="auto"/>
            <w:color w:val="0000EE"/>
          </w:rPr>
          <w:t>January 27, 2023</w:t>
        </w:r>
      </w:hyperlink>
      <w:r>
        <w:rPr>
          <w:rFonts w:ascii="Arial" w:cs="Arial" w:eastAsia="Arial" w:hAnsi="Arial"/>
          <w:sz w:val="18"/>
          <w:szCs w:val="18"/>
          <w:color w:val="auto"/>
        </w:rPr>
        <w:t xml:space="preserve">, </w:t>
      </w:r>
      <w:hyperlink r:id="rId100">
        <w:r>
          <w:rPr>
            <w:rFonts w:ascii="Arial" w:cs="Arial" w:eastAsia="Arial" w:hAnsi="Arial"/>
            <w:sz w:val="18"/>
            <w:szCs w:val="18"/>
            <w:u w:val="single" w:color="auto"/>
            <w:color w:val="0000EE"/>
          </w:rPr>
          <w:t>February 1, 2023</w:t>
        </w:r>
      </w:hyperlink>
      <w:r>
        <w:rPr>
          <w:rFonts w:ascii="Arial" w:cs="Arial" w:eastAsia="Arial" w:hAnsi="Arial"/>
          <w:sz w:val="18"/>
          <w:szCs w:val="18"/>
          <w:color w:val="auto"/>
        </w:rPr>
        <w:t xml:space="preserve">, </w:t>
      </w:r>
      <w:hyperlink r:id="rId101">
        <w:r>
          <w:rPr>
            <w:rFonts w:ascii="Arial" w:cs="Arial" w:eastAsia="Arial" w:hAnsi="Arial"/>
            <w:sz w:val="18"/>
            <w:szCs w:val="18"/>
            <w:u w:val="single" w:color="auto"/>
            <w:color w:val="0000EE"/>
          </w:rPr>
          <w:t>February 6, 2023</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February 22, 2023</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March 3, 2023</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March 28, 2023</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25, 2023</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May 2,</w:t>
        </w:r>
      </w:hyperlink>
      <w:r>
        <w:rPr>
          <w:rFonts w:ascii="Arial" w:cs="Arial" w:eastAsia="Arial" w:hAnsi="Arial"/>
          <w:sz w:val="18"/>
          <w:szCs w:val="18"/>
          <w:color w:val="0000EE"/>
        </w:rPr>
        <w:t xml:space="preserve"> </w:t>
      </w:r>
      <w:hyperlink r:id="rId101">
        <w:r>
          <w:rPr>
            <w:rFonts w:ascii="Arial" w:cs="Arial" w:eastAsia="Arial" w:hAnsi="Arial"/>
            <w:sz w:val="18"/>
            <w:szCs w:val="18"/>
            <w:u w:val="single" w:color="auto"/>
            <w:color w:val="0000EE"/>
          </w:rPr>
          <w:t>2023.</w:t>
        </w:r>
      </w:hyperlink>
    </w:p>
    <w:p>
      <w:pPr>
        <w:spacing w:after="0" w:line="75" w:lineRule="exact"/>
        <w:rPr>
          <w:rFonts w:ascii="Arial" w:cs="Arial" w:eastAsia="Arial" w:hAnsi="Arial"/>
          <w:sz w:val="18"/>
          <w:szCs w:val="18"/>
          <w:u w:val="single" w:color="auto"/>
          <w:color w:val="0000EE"/>
        </w:rPr>
      </w:pPr>
    </w:p>
    <w:p>
      <w:pPr>
        <w:ind w:left="1800" w:right="499" w:hanging="180"/>
        <w:spacing w:after="0" w:line="263" w:lineRule="auto"/>
        <w:tabs>
          <w:tab w:leader="none" w:pos="1800" w:val="left"/>
        </w:tabs>
        <w:numPr>
          <w:ilvl w:val="0"/>
          <w:numId w:val="20"/>
        </w:numPr>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the description of our securities contained in our Registration Statement on Form 8-A (File No. 001-</w:t>
        </w:r>
      </w:hyperlink>
      <w:hyperlink r:id="rId102">
        <w:r>
          <w:rPr>
            <w:rFonts w:ascii="Arial" w:cs="Arial" w:eastAsia="Arial" w:hAnsi="Arial"/>
            <w:sz w:val="18"/>
            <w:szCs w:val="18"/>
            <w:u w:val="single" w:color="auto"/>
            <w:color w:val="0000EE"/>
          </w:rPr>
          <w:t>39408), filed with the SEC on July 23, 2021, including any amendments or reports filed for the</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purpose of updating such description.</w:t>
        </w:r>
      </w:hyperlink>
    </w:p>
    <w:p>
      <w:pPr>
        <w:spacing w:after="0" w:line="103" w:lineRule="exact"/>
        <w:rPr>
          <w:rFonts w:ascii="Arial" w:cs="Arial" w:eastAsia="Arial" w:hAnsi="Arial"/>
          <w:sz w:val="18"/>
          <w:szCs w:val="18"/>
          <w:u w:val="single" w:color="auto"/>
          <w:color w:val="0000EE"/>
        </w:rPr>
      </w:pPr>
    </w:p>
    <w:p>
      <w:pPr>
        <w:ind w:left="1260" w:right="479" w:firstLine="360"/>
        <w:spacing w:after="0" w:line="296" w:lineRule="auto"/>
        <w:rPr>
          <w:sz w:val="20"/>
          <w:szCs w:val="20"/>
          <w:color w:val="auto"/>
        </w:rPr>
      </w:pPr>
      <w:r>
        <w:rPr>
          <w:rFonts w:ascii="Arial" w:cs="Arial" w:eastAsia="Arial" w:hAnsi="Arial"/>
          <w:sz w:val="16"/>
          <w:szCs w:val="16"/>
          <w:color w:val="auto"/>
        </w:rPr>
        <w:t>Any statement contained in this prospectus, or in a document incorporated or deemed to be incorporated by reference herein, shall be deemed to be modified or superseded to the extent that a statement contained herein, or in any subsequently filed document that also is incorporated or deemed to be incorporated by reference herein, modifies or supersedes such statement. Any statement so modified or superseded shall not be deemed, except as so modified or superseded, to constitute a part of this prospectus.</w:t>
      </w:r>
    </w:p>
    <w:p>
      <w:pPr>
        <w:spacing w:after="0" w:line="94" w:lineRule="exact"/>
        <w:rPr>
          <w:rFonts w:ascii="Arial" w:cs="Arial" w:eastAsia="Arial" w:hAnsi="Arial"/>
          <w:sz w:val="18"/>
          <w:szCs w:val="18"/>
          <w:u w:val="single" w:color="auto"/>
          <w:color w:val="0000EE"/>
        </w:rPr>
      </w:pPr>
    </w:p>
    <w:p>
      <w:pPr>
        <w:ind w:left="1260" w:right="539" w:firstLine="360"/>
        <w:spacing w:after="0" w:line="271" w:lineRule="auto"/>
        <w:rPr>
          <w:sz w:val="20"/>
          <w:szCs w:val="20"/>
          <w:color w:val="auto"/>
        </w:rPr>
      </w:pPr>
      <w:r>
        <w:rPr>
          <w:rFonts w:ascii="Arial" w:cs="Arial" w:eastAsia="Arial" w:hAnsi="Arial"/>
          <w:sz w:val="17"/>
          <w:szCs w:val="17"/>
          <w:color w:val="auto"/>
        </w:rPr>
        <w:t>The SEC maintains a website at www.sec.gov, from which you can inspect these documents and other information we have filed electronically with the SEC. You may also request copies of these documents, at no cost to you, by contacting us at Investor Relations at 7373 Gateway Boulevard, Newark, CA 94560, by email: investor@lucidmotors.com, or by telephone: (510) 648-3553. Through our website, we make available, free of charge, our following documents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amendments to those documents.</w:t>
      </w:r>
    </w:p>
    <w:p>
      <w:pPr>
        <w:spacing w:after="0" w:line="111" w:lineRule="exact"/>
        <w:rPr>
          <w:rFonts w:ascii="Arial" w:cs="Arial" w:eastAsia="Arial" w:hAnsi="Arial"/>
          <w:sz w:val="18"/>
          <w:szCs w:val="18"/>
          <w:u w:val="single" w:color="auto"/>
          <w:color w:val="0000EE"/>
        </w:rPr>
      </w:pPr>
    </w:p>
    <w:p>
      <w:pPr>
        <w:ind w:left="1260" w:right="479" w:firstLine="360"/>
        <w:spacing w:after="0" w:line="259" w:lineRule="auto"/>
        <w:rPr>
          <w:sz w:val="20"/>
          <w:szCs w:val="20"/>
          <w:color w:val="auto"/>
        </w:rPr>
      </w:pPr>
      <w:r>
        <w:rPr>
          <w:rFonts w:ascii="Arial" w:cs="Arial" w:eastAsia="Arial" w:hAnsi="Arial"/>
          <w:sz w:val="18"/>
          <w:szCs w:val="18"/>
          <w:color w:val="auto"/>
        </w:rPr>
        <w:t>Exhibits to these documents will not be sent, however, unless those exhibits have been specifically incorporated by reference into this prospectus. The information contained on, or that may be accessed through, our website is not part of, and is not incorporated into, this prospectus or the registration statement of which it forms a part.</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88" w:lineRule="exact"/>
        <w:rPr>
          <w:rFonts w:ascii="Arial" w:cs="Arial" w:eastAsia="Arial" w:hAnsi="Arial"/>
          <w:sz w:val="18"/>
          <w:szCs w:val="18"/>
          <w:u w:val="single" w:color="auto"/>
          <w:color w:val="0000EE"/>
        </w:rPr>
      </w:pPr>
    </w:p>
    <w:p>
      <w:pPr>
        <w:ind w:left="5300"/>
        <w:spacing w:after="0"/>
        <w:rPr>
          <w:sz w:val="20"/>
          <w:szCs w:val="20"/>
          <w:color w:val="auto"/>
        </w:rPr>
      </w:pPr>
      <w:r>
        <w:rPr>
          <w:rFonts w:ascii="Arial" w:cs="Arial" w:eastAsia="Arial" w:hAnsi="Arial"/>
          <w:sz w:val="18"/>
          <w:szCs w:val="18"/>
          <w:color w:val="auto"/>
        </w:rPr>
        <w:t>iv</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FREQUENTLY USED TERMS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158"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“2009 Plan” are to the Atieva, Inc. 2009 Share Plan duly adopted by the board of directors of Legacy Lucid on December 17, 2009;</w:t>
      </w:r>
    </w:p>
    <w:p>
      <w:pPr>
        <w:spacing w:after="0" w:line="103"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“2014 Plan” are to the Atieva, Inc. 2014 Share Plan duly adopted by the board of directors of Legacy Lucid on May 14, 2014;</w:t>
      </w:r>
    </w:p>
    <w:p>
      <w:pPr>
        <w:spacing w:after="0" w:line="103" w:lineRule="exact"/>
        <w:rPr>
          <w:sz w:val="20"/>
          <w:szCs w:val="20"/>
          <w:color w:val="auto"/>
        </w:rPr>
      </w:pPr>
    </w:p>
    <w:p>
      <w:pPr>
        <w:ind w:left="1260" w:right="579" w:firstLine="360"/>
        <w:spacing w:after="0" w:line="256" w:lineRule="auto"/>
        <w:rPr>
          <w:sz w:val="20"/>
          <w:szCs w:val="20"/>
          <w:color w:val="auto"/>
        </w:rPr>
      </w:pPr>
      <w:r>
        <w:rPr>
          <w:rFonts w:ascii="Arial" w:cs="Arial" w:eastAsia="Arial" w:hAnsi="Arial"/>
          <w:sz w:val="18"/>
          <w:szCs w:val="18"/>
          <w:color w:val="auto"/>
        </w:rPr>
        <w:t>“2021 Plan” are to the Atieva, Inc. 2021 Stock Incentive Plan duly adopted by the compensation committee of the board of directors of Legacy Lucid on January 13, 2021 and approved by Legacy Lucid’s shareholders on January 21, 2021;</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“2026 Notes” are to the 1.25% Convertible Senior Notes due 2026 issued by us in December 2021;</w:t>
      </w:r>
    </w:p>
    <w:p>
      <w:pPr>
        <w:spacing w:after="0" w:line="169" w:lineRule="exact"/>
        <w:rPr>
          <w:sz w:val="20"/>
          <w:szCs w:val="20"/>
          <w:color w:val="auto"/>
        </w:rPr>
      </w:pPr>
    </w:p>
    <w:p>
      <w:pPr>
        <w:ind w:left="1260" w:right="679" w:firstLine="360"/>
        <w:spacing w:after="0" w:line="249" w:lineRule="auto"/>
        <w:rPr>
          <w:sz w:val="20"/>
          <w:szCs w:val="20"/>
          <w:color w:val="auto"/>
        </w:rPr>
      </w:pPr>
      <w:r>
        <w:rPr>
          <w:rFonts w:ascii="Arial" w:cs="Arial" w:eastAsia="Arial" w:hAnsi="Arial"/>
          <w:sz w:val="18"/>
          <w:szCs w:val="18"/>
          <w:color w:val="auto"/>
        </w:rPr>
        <w:t>“ABL Credit Facility” are to the Credit Agreement, dated as of June 9, 2022, by and among Lucid Group, Inc., as the Borrower Representative, the other Borrowers party thereto from time to time, the Lenders and Issuing Banks from time to time party thereto and Bank of America, N.A., as Administrative Agent;</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“Ayar” are to Ayar Third Investment Company, an affiliate of PIF;</w:t>
      </w:r>
    </w:p>
    <w:p>
      <w:pPr>
        <w:spacing w:after="0" w:line="144"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“Board” is, prior to consummation of the Transactions, to the board of directors of Legacy Lucid, and, following consummation of the Transactions, to the board of directors of Lucid Group;</w:t>
      </w:r>
    </w:p>
    <w:p>
      <w:pPr>
        <w:spacing w:after="0" w:line="76" w:lineRule="exact"/>
        <w:rPr>
          <w:sz w:val="20"/>
          <w:szCs w:val="20"/>
          <w:color w:val="auto"/>
        </w:rPr>
      </w:pPr>
    </w:p>
    <w:p>
      <w:pPr>
        <w:ind w:left="1260" w:right="619" w:firstLine="360"/>
        <w:spacing w:after="0" w:line="256" w:lineRule="auto"/>
        <w:rPr>
          <w:sz w:val="20"/>
          <w:szCs w:val="20"/>
          <w:color w:val="auto"/>
        </w:rPr>
      </w:pPr>
      <w:r>
        <w:rPr>
          <w:rFonts w:ascii="Arial" w:cs="Arial" w:eastAsia="Arial" w:hAnsi="Arial"/>
          <w:sz w:val="18"/>
          <w:szCs w:val="18"/>
          <w:color w:val="auto"/>
        </w:rPr>
        <w:t>“Churchill” or “CCIV”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107"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“Churchill’s Class A common stock” are to Churchill’s Class A common stock, par value $0.0001 per share;</w:t>
      </w:r>
    </w:p>
    <w:p>
      <w:pPr>
        <w:spacing w:after="0" w:line="103"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“Churchill’s Class B common stock” are to Churchill’s Class B common stock, par value $0.0001 per share;</w:t>
      </w:r>
    </w:p>
    <w:p>
      <w:pPr>
        <w:spacing w:after="0" w:line="89" w:lineRule="exact"/>
        <w:rPr>
          <w:sz w:val="20"/>
          <w:szCs w:val="20"/>
          <w:color w:val="auto"/>
        </w:rPr>
      </w:pPr>
    </w:p>
    <w:p>
      <w:pPr>
        <w:ind w:left="1260" w:right="1099" w:firstLine="360"/>
        <w:spacing w:after="0" w:line="291" w:lineRule="auto"/>
        <w:rPr>
          <w:sz w:val="20"/>
          <w:szCs w:val="20"/>
          <w:color w:val="auto"/>
        </w:rPr>
      </w:pPr>
      <w:r>
        <w:rPr>
          <w:rFonts w:ascii="Arial" w:cs="Arial" w:eastAsia="Arial" w:hAnsi="Arial"/>
          <w:sz w:val="17"/>
          <w:szCs w:val="17"/>
          <w:color w:val="auto"/>
        </w:rPr>
        <w:t>“Churchill IPO” are to the initial public offering by Churchill which closed on August 3, 2020; “common stock” are to Lucid Group, Inc.’s Class A common stock par value $0.0001 per share;</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“Closing” are to the consummation of the Transactions;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“Closing Date” are to July 23, 2021, the date on which the Transactions were consummated;</w:t>
      </w:r>
    </w:p>
    <w:p>
      <w:pPr>
        <w:spacing w:after="0" w:line="144"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“current bylaws” are to the Company’s Second Amended and Restated Bylaws in effect as of the date of this prospectus;</w:t>
      </w:r>
    </w:p>
    <w:p>
      <w:pPr>
        <w:spacing w:after="0" w:line="89"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“current certificate of incorporation” are to the Company’s Third Amended and Restated Certificate of Incorporation in effect as of the date of this prospectus;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“DGCL” are to the Delaware General Corporation Law, as amended;</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“EV” are to electric vehicle;</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“Exchange Act” are to the Securities Exchange Act of 1934, as amended;</w:t>
      </w:r>
    </w:p>
    <w:p>
      <w:pPr>
        <w:spacing w:after="0" w:line="158" w:lineRule="exact"/>
        <w:rPr>
          <w:sz w:val="20"/>
          <w:szCs w:val="20"/>
          <w:color w:val="auto"/>
        </w:rPr>
      </w:pPr>
    </w:p>
    <w:p>
      <w:pPr>
        <w:ind w:left="1260" w:right="879" w:firstLine="360"/>
        <w:spacing w:after="0" w:line="249" w:lineRule="auto"/>
        <w:rPr>
          <w:sz w:val="20"/>
          <w:szCs w:val="20"/>
          <w:color w:val="auto"/>
        </w:rPr>
      </w:pPr>
      <w:r>
        <w:rPr>
          <w:rFonts w:ascii="Arial" w:cs="Arial" w:eastAsia="Arial" w:hAnsi="Arial"/>
          <w:sz w:val="18"/>
          <w:szCs w:val="18"/>
          <w:color w:val="auto"/>
        </w:rPr>
        <w:t>“Existing Registration Statements” are to the Company’s registration statement on Form S-3 (File No. 333-267147), which was originally declared effective on September 2, 2022, or the Company’s registration statement on Form S-1 (File No. 333-258348), as amended, which was originally declared effective on August 24, 2021;</w:t>
      </w:r>
    </w:p>
    <w:p>
      <w:pPr>
        <w:spacing w:after="0" w:line="113" w:lineRule="exact"/>
        <w:rPr>
          <w:sz w:val="20"/>
          <w:szCs w:val="20"/>
          <w:color w:val="auto"/>
        </w:rPr>
      </w:pPr>
    </w:p>
    <w:p>
      <w:pPr>
        <w:ind w:left="1260" w:right="439" w:firstLine="360"/>
        <w:spacing w:after="0" w:line="278" w:lineRule="auto"/>
        <w:rPr>
          <w:sz w:val="20"/>
          <w:szCs w:val="20"/>
          <w:color w:val="auto"/>
        </w:rPr>
      </w:pPr>
      <w:r>
        <w:rPr>
          <w:rFonts w:ascii="Arial" w:cs="Arial" w:eastAsia="Arial" w:hAnsi="Arial"/>
          <w:sz w:val="17"/>
          <w:szCs w:val="17"/>
          <w:color w:val="auto"/>
        </w:rPr>
        <w:t>“Incentive Plan” are to the Lucid Group, Inc. Second Amended and Restated 2021 Stock Incentive Plan (including the Lucid Group, Inc. 2021 Employee Stock Purchase Plan, attached thereto), duly adopted by the Board on March 2, 2023 and approved by the Company’s stockholders on April 24, 2023;</w:t>
      </w:r>
    </w:p>
    <w:p>
      <w:pPr>
        <w:sectPr>
          <w:pgSz w:w="11900" w:h="16838" w:orient="portrait"/>
          <w:cols w:equalWidth="0" w:num="1">
            <w:col w:w="9879"/>
          </w:cols>
          <w:pgMar w:left="580" w:top="90" w:right="1440" w:bottom="1440" w:gutter="0" w:footer="0" w:header="0"/>
        </w:sectPr>
      </w:pPr>
    </w:p>
    <w:p>
      <w:pPr>
        <w:spacing w:after="0" w:line="333"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59" w:firstLine="360"/>
        <w:spacing w:after="0" w:line="256" w:lineRule="auto"/>
        <w:rPr>
          <w:sz w:val="20"/>
          <w:szCs w:val="20"/>
          <w:color w:val="auto"/>
        </w:rPr>
      </w:pPr>
      <w:r>
        <w:rPr>
          <w:rFonts w:ascii="Arial" w:cs="Arial" w:eastAsia="Arial" w:hAnsi="Arial"/>
          <w:sz w:val="18"/>
          <w:szCs w:val="18"/>
          <w:color w:val="auto"/>
        </w:rPr>
        <w:t>“Investor Rights Agreement” are to the Investor Rights Agreement, dated as of February 22, 2021 and as may be amended from time to time, by and among the Company, the Sponsor, Ayar and certain other parties thereto;</w:t>
      </w:r>
    </w:p>
    <w:p>
      <w:pPr>
        <w:spacing w:after="0" w:line="107" w:lineRule="exact"/>
        <w:rPr>
          <w:sz w:val="20"/>
          <w:szCs w:val="20"/>
          <w:color w:val="auto"/>
        </w:rPr>
      </w:pPr>
    </w:p>
    <w:p>
      <w:pPr>
        <w:ind w:left="1260" w:right="579" w:firstLine="360"/>
        <w:spacing w:after="0" w:line="291" w:lineRule="auto"/>
        <w:rPr>
          <w:sz w:val="20"/>
          <w:szCs w:val="20"/>
          <w:color w:val="auto"/>
        </w:rPr>
      </w:pPr>
      <w:r>
        <w:rPr>
          <w:rFonts w:ascii="Arial" w:cs="Arial" w:eastAsia="Arial" w:hAnsi="Arial"/>
          <w:sz w:val="17"/>
          <w:szCs w:val="17"/>
          <w:color w:val="auto"/>
        </w:rPr>
        <w:t>“Legacy Lucid” or “Atieva” are to Atieva, Inc., d/b/a Lucid Motors, an exempted company incorporated with limited liability under the laws of the Cayman Islands, and its consolidated subsidiaries;</w:t>
      </w:r>
    </w:p>
    <w:p>
      <w:pPr>
        <w:spacing w:after="0" w:line="79" w:lineRule="exact"/>
        <w:rPr>
          <w:sz w:val="20"/>
          <w:szCs w:val="20"/>
          <w:color w:val="auto"/>
        </w:rPr>
      </w:pPr>
    </w:p>
    <w:p>
      <w:pPr>
        <w:ind w:left="1260" w:right="559" w:firstLine="360"/>
        <w:spacing w:after="0" w:line="249" w:lineRule="auto"/>
        <w:rPr>
          <w:sz w:val="20"/>
          <w:szCs w:val="20"/>
          <w:color w:val="auto"/>
        </w:rPr>
      </w:pPr>
      <w:r>
        <w:rPr>
          <w:rFonts w:ascii="Arial" w:cs="Arial" w:eastAsia="Arial" w:hAnsi="Arial"/>
          <w:sz w:val="18"/>
          <w:szCs w:val="18"/>
          <w:color w:val="auto"/>
        </w:rPr>
        <w:t>“Legacy Lucid Awards” are to all issued and outstanding stock options, restricted stock units or other compensatory equity securities in respect of shares of Legacy Lucid outstanding as of immediately prior to the Closing of the Merger, including, without limitation, any Legacy Lucid Options and Legacy Lucid RSUs;</w:t>
      </w:r>
    </w:p>
    <w:p>
      <w:pPr>
        <w:spacing w:after="0" w:line="113"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“Legacy Lucid Common Shares” are to the common shares, par value $0.0001 per share, of Legacy Lucid;</w:t>
      </w:r>
    </w:p>
    <w:p>
      <w:pPr>
        <w:spacing w:after="0" w:line="89"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“Legacy Lucid Options” are to all issued and outstanding options to purchase or otherwise acquire Legacy Lucid Common Shares (whether or not vested) held by any person, including share options granted under any Legacy Lucid Share Plan;</w:t>
      </w:r>
    </w:p>
    <w:p>
      <w:pPr>
        <w:spacing w:after="0" w:line="114"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“Legacy Lucid RSUs” are to all issued and outstanding restricted stock unit awards with respect to Legacy Lucid Common Shares outstanding under any Legacy Lucid Share Plan;</w:t>
      </w:r>
    </w:p>
    <w:p>
      <w:pPr>
        <w:spacing w:after="0" w:line="89" w:lineRule="exact"/>
        <w:rPr>
          <w:sz w:val="20"/>
          <w:szCs w:val="20"/>
          <w:color w:val="auto"/>
        </w:rPr>
      </w:pPr>
    </w:p>
    <w:p>
      <w:pPr>
        <w:ind w:left="1260" w:right="1079" w:firstLine="360"/>
        <w:spacing w:after="0" w:line="261" w:lineRule="auto"/>
        <w:rPr>
          <w:sz w:val="20"/>
          <w:szCs w:val="20"/>
          <w:color w:val="auto"/>
        </w:rPr>
      </w:pPr>
      <w:r>
        <w:rPr>
          <w:rFonts w:ascii="Arial" w:cs="Arial" w:eastAsia="Arial" w:hAnsi="Arial"/>
          <w:sz w:val="18"/>
          <w:szCs w:val="18"/>
          <w:color w:val="auto"/>
        </w:rPr>
        <w:t>“Legacy Lucid Share Plans” are to the 2009 Plan, the 2014 Plan, the 2021 Plan, in each case as amended from time to time in accordance with their terms;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“Lucid Awards” are to Lucid Options and Lucid RSUs;</w:t>
      </w:r>
    </w:p>
    <w:p>
      <w:pPr>
        <w:spacing w:after="0" w:line="144" w:lineRule="exact"/>
        <w:rPr>
          <w:sz w:val="20"/>
          <w:szCs w:val="20"/>
          <w:color w:val="auto"/>
        </w:rPr>
      </w:pPr>
    </w:p>
    <w:p>
      <w:pPr>
        <w:ind w:left="1260" w:right="699" w:firstLine="360"/>
        <w:spacing w:after="0" w:line="256" w:lineRule="auto"/>
        <w:rPr>
          <w:sz w:val="20"/>
          <w:szCs w:val="20"/>
          <w:color w:val="auto"/>
        </w:rPr>
      </w:pPr>
      <w:r>
        <w:rPr>
          <w:rFonts w:ascii="Arial" w:cs="Arial" w:eastAsia="Arial" w:hAnsi="Arial"/>
          <w:sz w:val="18"/>
          <w:szCs w:val="18"/>
          <w:color w:val="auto"/>
        </w:rPr>
        <w:t>“Lucid Group” are to Lucid Group, Inc., a Delaware corporation, and its consolidated subsidiaries; “Lucid Options” are to all issued and outstanding options of the Company to purchase shares of common stock immediately following the closing of the Merger;</w:t>
      </w:r>
    </w:p>
    <w:p>
      <w:pPr>
        <w:spacing w:after="0" w:line="107" w:lineRule="exact"/>
        <w:rPr>
          <w:sz w:val="20"/>
          <w:szCs w:val="20"/>
          <w:color w:val="auto"/>
        </w:rPr>
      </w:pPr>
    </w:p>
    <w:p>
      <w:pPr>
        <w:ind w:left="1260" w:right="939" w:firstLine="360"/>
        <w:spacing w:after="0" w:line="261" w:lineRule="auto"/>
        <w:rPr>
          <w:sz w:val="20"/>
          <w:szCs w:val="20"/>
          <w:color w:val="auto"/>
        </w:rPr>
      </w:pPr>
      <w:r>
        <w:rPr>
          <w:rFonts w:ascii="Arial" w:cs="Arial" w:eastAsia="Arial" w:hAnsi="Arial"/>
          <w:sz w:val="18"/>
          <w:szCs w:val="18"/>
          <w:color w:val="auto"/>
        </w:rPr>
        <w:t>“Lucid RSUs” are to all issued and outstanding restricted stock unit awards of the Company with respect to shares of common stock immediately following the closing of the Merger;</w:t>
      </w:r>
    </w:p>
    <w:p>
      <w:pPr>
        <w:spacing w:after="0" w:line="103"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“M. Klein and Company” are to M. Klein and Company, LLC, a Delaware limited liability company, and its affiliates;</w:t>
      </w:r>
    </w:p>
    <w:p>
      <w:pPr>
        <w:spacing w:after="0" w:line="89"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8"/>
          <w:szCs w:val="18"/>
          <w:color w:val="auto"/>
        </w:rPr>
        <w:t>“Merger” are to the merger of Merger Sub and Legacy Lucid, with Legacy Lucid surviving such merger as a wholly owned subsidiary of Churchill;</w:t>
      </w:r>
    </w:p>
    <w:p>
      <w:pPr>
        <w:spacing w:after="0" w:line="103"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“Merger Agreement” are to that certain Agreement and Plan of Merger, dated as of February 22, 2021, by and among Churchill, Legacy Lucid and Air Merger Sub, Inc., a Delaware corporation and a direct, wholly- owned subsidiary of Churchill, as the same has been or may be amended, modified, supplemented or waived from time to time;</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“Nasdaq” are to The Nasdaq Stock Market LLC;</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“PIF” are to the Public Investment Fund, the sovereign wealth fund of Saudi Arabia;</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“PIPE Investment” are to the private placement pursuant to which Churchill entered into PIPE</w:t>
      </w:r>
    </w:p>
    <w:p>
      <w:pPr>
        <w:spacing w:after="0" w:line="23" w:lineRule="exact"/>
        <w:rPr>
          <w:sz w:val="20"/>
          <w:szCs w:val="20"/>
          <w:color w:val="auto"/>
        </w:rPr>
      </w:pPr>
    </w:p>
    <w:p>
      <w:pPr>
        <w:jc w:val="both"/>
        <w:ind w:left="1260" w:right="699"/>
        <w:spacing w:after="0"/>
        <w:rPr>
          <w:sz w:val="20"/>
          <w:szCs w:val="20"/>
          <w:color w:val="auto"/>
        </w:rPr>
      </w:pPr>
      <w:r>
        <w:rPr>
          <w:rFonts w:ascii="Arial" w:cs="Arial" w:eastAsia="Arial" w:hAnsi="Arial"/>
          <w:sz w:val="18"/>
          <w:szCs w:val="18"/>
          <w:color w:val="auto"/>
        </w:rPr>
        <w:t>Subscription Agreements with certain investors pursuant to which Churchill issued and sold to the PIPE Investors $2.5 billion of Churchill’s Class A common stock at a purchase price of $15.00 per share at the closing of the Merger;</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“PIPE Investors” are to the investors that participated in the PIPE Investment;</w:t>
      </w:r>
    </w:p>
    <w:p>
      <w:pPr>
        <w:spacing w:after="0" w:line="158" w:lineRule="exact"/>
        <w:rPr>
          <w:sz w:val="20"/>
          <w:szCs w:val="20"/>
          <w:color w:val="auto"/>
        </w:rPr>
      </w:pPr>
    </w:p>
    <w:p>
      <w:pPr>
        <w:ind w:left="1260" w:right="499" w:firstLine="360"/>
        <w:spacing w:after="0" w:line="256" w:lineRule="auto"/>
        <w:rPr>
          <w:sz w:val="20"/>
          <w:szCs w:val="20"/>
          <w:color w:val="auto"/>
        </w:rPr>
      </w:pPr>
      <w:r>
        <w:rPr>
          <w:rFonts w:ascii="Arial" w:cs="Arial" w:eastAsia="Arial" w:hAnsi="Arial"/>
          <w:sz w:val="18"/>
          <w:szCs w:val="18"/>
          <w:color w:val="auto"/>
        </w:rPr>
        <w:t>“PIPE Subscription Agreements” are to the common stock subscription agreements entered into by and among Churchill, and the investors party thereto, in each case, dated as of February 22, 2021 and entered into in connection with the PIPE Investment;</w:t>
      </w:r>
    </w:p>
    <w:p>
      <w:pPr>
        <w:spacing w:after="0" w:line="107" w:lineRule="exact"/>
        <w:rPr>
          <w:sz w:val="20"/>
          <w:szCs w:val="20"/>
          <w:color w:val="auto"/>
        </w:rPr>
      </w:pPr>
    </w:p>
    <w:p>
      <w:pPr>
        <w:ind w:left="1260" w:right="1099" w:firstLine="360"/>
        <w:spacing w:after="0" w:line="261" w:lineRule="auto"/>
        <w:rPr>
          <w:sz w:val="20"/>
          <w:szCs w:val="20"/>
          <w:color w:val="auto"/>
        </w:rPr>
      </w:pPr>
      <w:r>
        <w:rPr>
          <w:rFonts w:ascii="Arial" w:cs="Arial" w:eastAsia="Arial" w:hAnsi="Arial"/>
          <w:sz w:val="18"/>
          <w:szCs w:val="18"/>
          <w:color w:val="auto"/>
        </w:rPr>
        <w:t>“Private Placement Warrants” are to the Company’s warrants issued to the Sponsor in a private placement simultaneously with the closing of the Churchill IPO;</w:t>
      </w:r>
    </w:p>
    <w:p>
      <w:pPr>
        <w:spacing w:after="0" w:line="36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7" w:name="page38"/>
    <w:bookmarkEnd w:id="3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“Promissory Note” are to the unsecured promissory note issued by Churchill to the Sponsor in an aggregate principal amount of $1,500,000. The Sponsor has elected to exercise its option to convert the unpaid balance of the Note of $1,500,000 into Working Capital Warrants;</w:t>
      </w:r>
    </w:p>
    <w:p>
      <w:pPr>
        <w:spacing w:after="0" w:line="116"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“Restructuring Plan” are to the Company’s restructuring plan to reduce the Company’s operating expenses that was announced on March 28, 2023;</w:t>
      </w:r>
    </w:p>
    <w:p>
      <w:pPr>
        <w:spacing w:after="0" w:line="103"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“SEC” are to the United States Securities and Exchange Commission; “Securities Act” are to the Securities Act of 1933, as amended;</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“Selling Securityholders” are to the selling securityholders named herein;</w:t>
      </w:r>
    </w:p>
    <w:p>
      <w:pPr>
        <w:spacing w:after="0" w:line="158" w:lineRule="exact"/>
        <w:rPr>
          <w:sz w:val="20"/>
          <w:szCs w:val="20"/>
          <w:color w:val="auto"/>
        </w:rPr>
      </w:pPr>
    </w:p>
    <w:p>
      <w:pPr>
        <w:ind w:left="1260" w:right="639" w:firstLine="360"/>
        <w:spacing w:after="0" w:line="308" w:lineRule="auto"/>
        <w:rPr>
          <w:sz w:val="20"/>
          <w:szCs w:val="20"/>
          <w:color w:val="auto"/>
        </w:rPr>
      </w:pPr>
      <w:r>
        <w:rPr>
          <w:rFonts w:ascii="Arial" w:cs="Arial" w:eastAsia="Arial" w:hAnsi="Arial"/>
          <w:sz w:val="17"/>
          <w:szCs w:val="17"/>
          <w:color w:val="auto"/>
        </w:rPr>
        <w:t>“Sponsor” are to Churchill Sponsor IV LLC, a Delaware limited liability company and an affiliate of M. Klein and Company in which certain of Churchill’s directors and officers hold membership interests;</w:t>
      </w:r>
    </w:p>
    <w:p>
      <w:pPr>
        <w:spacing w:after="0" w:line="79"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“Subscription Agreement” are to the Subscription Agreement, dated November 8, 2022, between the Company and Ayar, pursuant to which Ayar agreed to purchase from the Company shares of the Company’s common stock in one or more private placements through at least March 31, 2023, and pursuant to which in December 2022, the Company issued 85,712,679 shares to Ayar at a weighted average price per share of $10.68, and received aggregate proceeds of $915 million;</w:t>
      </w:r>
    </w:p>
    <w:p>
      <w:pPr>
        <w:spacing w:after="0" w:line="107"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“Transactions” are to the Merger, together with the other transactions contemplated by the Merger Agreement and the related agreements;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“warrants” are to the Private Placement Warrants and the Working Capital Warrants;</w:t>
      </w:r>
    </w:p>
    <w:p>
      <w:pPr>
        <w:spacing w:after="0" w:line="158" w:lineRule="exact"/>
        <w:rPr>
          <w:sz w:val="20"/>
          <w:szCs w:val="20"/>
          <w:color w:val="auto"/>
        </w:rPr>
      </w:pPr>
    </w:p>
    <w:p>
      <w:pPr>
        <w:ind w:left="1260" w:right="719" w:firstLine="360"/>
        <w:spacing w:after="0" w:line="308" w:lineRule="auto"/>
        <w:rPr>
          <w:sz w:val="20"/>
          <w:szCs w:val="20"/>
          <w:color w:val="auto"/>
        </w:rPr>
      </w:pPr>
      <w:r>
        <w:rPr>
          <w:rFonts w:ascii="Arial" w:cs="Arial" w:eastAsia="Arial" w:hAnsi="Arial"/>
          <w:sz w:val="17"/>
          <w:szCs w:val="17"/>
          <w:color w:val="auto"/>
        </w:rPr>
        <w:t>“Warrant Agreement” are to the Warrant Agreement, dated July 29, 2020, entered into in connection with the Churchill IPO by and between Continental Stock Transfer &amp; Trust Company and Churchill; and</w:t>
      </w:r>
    </w:p>
    <w:p>
      <w:pPr>
        <w:spacing w:after="0" w:line="65" w:lineRule="exact"/>
        <w:rPr>
          <w:sz w:val="20"/>
          <w:szCs w:val="20"/>
          <w:color w:val="auto"/>
        </w:rPr>
      </w:pPr>
    </w:p>
    <w:p>
      <w:pPr>
        <w:ind w:left="1260" w:right="559" w:firstLine="360"/>
        <w:spacing w:after="0" w:line="308" w:lineRule="auto"/>
        <w:rPr>
          <w:sz w:val="20"/>
          <w:szCs w:val="20"/>
          <w:color w:val="auto"/>
        </w:rPr>
      </w:pPr>
      <w:r>
        <w:rPr>
          <w:rFonts w:ascii="Arial" w:cs="Arial" w:eastAsia="Arial" w:hAnsi="Arial"/>
          <w:sz w:val="17"/>
          <w:szCs w:val="17"/>
          <w:color w:val="auto"/>
        </w:rPr>
        <w:t>“Working Capital Warrants” are to the Company’s warrants to purchase common stock pursuant to the terms of the Promissory Note, on terms identical to the terms of the Private Placement Warrants.</w:t>
      </w:r>
    </w:p>
    <w:p>
      <w:pPr>
        <w:spacing w:after="0" w:line="79" w:lineRule="exact"/>
        <w:rPr>
          <w:sz w:val="20"/>
          <w:szCs w:val="20"/>
          <w:color w:val="auto"/>
        </w:rPr>
      </w:pPr>
    </w:p>
    <w:p>
      <w:pPr>
        <w:jc w:val="both"/>
        <w:ind w:left="1260" w:right="459" w:firstLine="360"/>
        <w:spacing w:after="0" w:line="259" w:lineRule="auto"/>
        <w:rPr>
          <w:sz w:val="20"/>
          <w:szCs w:val="20"/>
          <w:color w:val="auto"/>
        </w:rPr>
      </w:pPr>
      <w:r>
        <w:rPr>
          <w:rFonts w:ascii="Arial" w:cs="Arial" w:eastAsia="Arial" w:hAnsi="Arial"/>
          <w:sz w:val="18"/>
          <w:szCs w:val="18"/>
          <w:color w:val="auto"/>
        </w:rPr>
        <w:t>Unless the context otherwise requires, all references in this section to “Lucid,” the “Company,” “we,” “us,” “our,” and other similar terms refer to Legacy Lucid and its subsidiaries prior to the consummation of the Transaction, and Lucid Group, Inc., a Delaware corporation, and its subsidiaries after the consummation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2"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This prospectus and the documents incorporated by reference into this prospectus contain statements that express our opinions, expectations, beliefs, plans, objectives, assumptions or projections regarding future events or future results and therefore are, or may be deemed to be, “forward-looking statements” within the meaning of Section 27A of the Securities Act of 1933 (the “Securities Act”), and Section 21E of the Securities and Exchange Act of 1934 (the “Exchange Act”).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They appear in a number of places throughout this prospectus and the documents incorporated by reference into this prospectus and include, but are not limited to, statements regarding our intentions, beliefs or current expectations concerning, among other things, results of operations, financial condition, liquidity, capital expenditures, prospects, growth, production volumes, strategies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energy storage systems and automotive partnerships, technology, manufacturing capabilities and facilities, studio openings, sales channels and strategies, future vehicle programs, expansion and the potential success of our direct-to-consumer strategy, our financial and operating outlook, future market launches and international expansion, including our planned manufacturing facility in Saudi Arabia and related timing and value to us, our expectations regarding the Restructuring Plan, including with respect to timing, costs, and expected benefits, and our needs for additional financing. Such forward-looking statements are based on available current market material and our current expectations, beliefs and forecasts concerning future developments. Factors that may impact such forward-looking statements include:</w:t>
      </w:r>
    </w:p>
    <w:p>
      <w:pPr>
        <w:spacing w:after="0" w:line="74" w:lineRule="exact"/>
        <w:rPr>
          <w:sz w:val="20"/>
          <w:szCs w:val="20"/>
          <w:color w:val="auto"/>
        </w:rPr>
      </w:pPr>
    </w:p>
    <w:p>
      <w:pPr>
        <w:jc w:val="both"/>
        <w:ind w:left="1800" w:right="459" w:hanging="180"/>
        <w:spacing w:after="0" w:line="286" w:lineRule="auto"/>
        <w:tabs>
          <w:tab w:leader="none" w:pos="1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domestic and foreign business, market, financial, political and legal conditions, including government closures of banks and liquidity concerns at other financial institutions, a potential global economic recession or other downturn and the ongoing conflict between Russia and Ukraine;</w:t>
      </w:r>
    </w:p>
    <w:p>
      <w:pPr>
        <w:spacing w:after="0" w:line="70" w:lineRule="exact"/>
        <w:rPr>
          <w:rFonts w:ascii="Arial" w:cs="Arial" w:eastAsia="Arial" w:hAnsi="Arial"/>
          <w:sz w:val="17"/>
          <w:szCs w:val="17"/>
          <w:color w:val="auto"/>
        </w:rPr>
      </w:pPr>
    </w:p>
    <w:p>
      <w:pPr>
        <w:ind w:left="1800" w:right="117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related to changes in overall demand for our products and services and cancellation of reservations and orders for our vehicles;</w:t>
      </w:r>
    </w:p>
    <w:p>
      <w:pPr>
        <w:spacing w:after="0" w:line="62" w:lineRule="exact"/>
        <w:rPr>
          <w:rFonts w:ascii="Arial" w:cs="Arial" w:eastAsia="Arial" w:hAnsi="Arial"/>
          <w:sz w:val="18"/>
          <w:szCs w:val="18"/>
          <w:color w:val="auto"/>
        </w:rPr>
      </w:pPr>
    </w:p>
    <w:p>
      <w:pPr>
        <w:ind w:left="1800" w:right="999" w:hanging="180"/>
        <w:spacing w:after="0" w:line="286" w:lineRule="auto"/>
        <w:tabs>
          <w:tab w:leader="none" w:pos="1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risks related to prices and availability of commodities, our supply chain, logistics, inventory management and quality control, and our ability to complete the tooling of our manufacturing facilities over time and scale production of the Lucid Air and other vehicles;</w:t>
      </w:r>
    </w:p>
    <w:p>
      <w:pPr>
        <w:spacing w:after="0" w:line="57" w:lineRule="exact"/>
        <w:rPr>
          <w:rFonts w:ascii="Arial" w:cs="Arial" w:eastAsia="Arial" w:hAnsi="Arial"/>
          <w:sz w:val="17"/>
          <w:szCs w:val="17"/>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related to the uncertainty of our projected financial information;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related to the timing of expected business milestones and commercial product launches;</w:t>
      </w:r>
    </w:p>
    <w:p>
      <w:pPr>
        <w:spacing w:after="0" w:line="130"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related to the expansion of our manufacturing facility, the construction of new manufacturing facilities and the increase of our production capacity;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manage expenses and control costs;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related to future market adoption of our offerings;</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effects of competition and the pace and depth of electric vehicle adoption generally on our future business;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regulatory requirements, governmental incentives and fuel and energy prices;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rapidly innovate;</w:t>
      </w:r>
    </w:p>
    <w:p>
      <w:pPr>
        <w:spacing w:after="0" w:line="117"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enter into or maintain partnerships with original equipment manufacturers, vendors and technology providers;</w:t>
      </w:r>
    </w:p>
    <w:p>
      <w:pPr>
        <w:spacing w:after="0" w:line="62"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effectively manage our growth and recruit and retain key employees, including our chief executive officer and executive team;</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related to potential vehicle recalls;</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85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establish and expand our brand, and capture additional market share, and the risks associated with negative press or reputational harm;</w:t>
      </w:r>
    </w:p>
    <w:p>
      <w:pPr>
        <w:spacing w:after="0" w:line="62"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effectively utilize zero emission vehicle credits and obtain and utilize certain tax and other incentives;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issue equity or equity-linked securities in the future;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pay interest and principal on our indebtedness;</w:t>
      </w:r>
    </w:p>
    <w:p>
      <w:pPr>
        <w:spacing w:after="0" w:line="117" w:lineRule="exact"/>
        <w:rPr>
          <w:rFonts w:ascii="Arial" w:cs="Arial" w:eastAsia="Arial" w:hAnsi="Arial"/>
          <w:sz w:val="18"/>
          <w:szCs w:val="18"/>
          <w:color w:val="auto"/>
        </w:rPr>
      </w:pPr>
    </w:p>
    <w:p>
      <w:pPr>
        <w:ind w:left="1800" w:right="123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changes to vehicle specifications which may impact performance, pricing, and other expectations;</w:t>
      </w:r>
    </w:p>
    <w:p>
      <w:pPr>
        <w:spacing w:after="0" w:line="62"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outcome of any potential litigation, government and regulatory proceedings, investigations and inquiries;</w:t>
      </w:r>
    </w:p>
    <w:p>
      <w:pPr>
        <w:spacing w:after="0" w:line="62" w:lineRule="exact"/>
        <w:rPr>
          <w:rFonts w:ascii="Arial" w:cs="Arial" w:eastAsia="Arial" w:hAnsi="Arial"/>
          <w:sz w:val="18"/>
          <w:szCs w:val="18"/>
          <w:color w:val="auto"/>
        </w:rPr>
      </w:pPr>
    </w:p>
    <w:p>
      <w:pPr>
        <w:ind w:left="1800" w:right="419" w:hanging="180"/>
        <w:spacing w:after="0" w:line="254"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associated with the Restructuring Plan, including the risk that the charges and expenditures may be greater than anticipated, the risk that the Restructuring Plan may adversely affect our internal programs and initiatives and our ability to recruit and retain skilled and motivated personnel, the risk that the Restructuring Plan may be distracting to employees and management, the risk that the Restructuring Plan may negatively impact our business operations, reputation, or ability to serve customers, and the risk that the Restructuring Plan may not generate their intended benefits to the extent or as quickly as anticipated;</w:t>
      </w:r>
    </w:p>
    <w:p>
      <w:pPr>
        <w:spacing w:after="0" w:line="86" w:lineRule="exact"/>
        <w:rPr>
          <w:rFonts w:ascii="Arial" w:cs="Arial" w:eastAsia="Arial" w:hAnsi="Arial"/>
          <w:sz w:val="18"/>
          <w:szCs w:val="18"/>
          <w:color w:val="auto"/>
        </w:rPr>
      </w:pPr>
    </w:p>
    <w:p>
      <w:pPr>
        <w:ind w:left="1800" w:right="659" w:hanging="180"/>
        <w:spacing w:after="0" w:line="308" w:lineRule="auto"/>
        <w:tabs>
          <w:tab w:leader="none" w:pos="1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impact of the global COVID-19 pandemic on our supply chain, projected results of operations, financial performance or other financial metrics, or on any of the foregoing risks; and</w:t>
      </w:r>
    </w:p>
    <w:p>
      <w:pPr>
        <w:spacing w:after="0" w:line="38" w:lineRule="exact"/>
        <w:rPr>
          <w:rFonts w:ascii="Arial" w:cs="Arial" w:eastAsia="Arial" w:hAnsi="Arial"/>
          <w:sz w:val="17"/>
          <w:szCs w:val="17"/>
          <w:color w:val="auto"/>
        </w:rPr>
      </w:pPr>
    </w:p>
    <w:p>
      <w:pPr>
        <w:ind w:left="1800" w:right="135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factors disclosed in this prospectus or our other filings with the SEC, including any accompanying prospectus supplement.</w:t>
      </w:r>
    </w:p>
    <w:p>
      <w:pPr>
        <w:spacing w:after="0" w:line="103"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The forward-looking statements contained in this prospectus and the documents incorporated by reference into this prospectus or any prospectus supplement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prospectus. Should one or more of these risks or uncertainties materialize, or should any of the assumptions prove incorrect, actual results may vary in material respects from those projected in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our expectations, plans or forecasts of future events and views as of the date of this prospectus. We anticipate that subsequent events and developments will cause our assessments to change. However, while we may elect to update the forward-looking statements at some point in the future,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79508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5507355" cy="795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ind w:left="1280" w:right="559" w:firstLine="360"/>
        <w:spacing w:after="0" w:line="245" w:lineRule="auto"/>
        <w:rPr>
          <w:sz w:val="20"/>
          <w:szCs w:val="20"/>
          <w:color w:val="auto"/>
        </w:rPr>
      </w:pPr>
      <w:r>
        <w:rPr>
          <w:rFonts w:ascii="Arial" w:cs="Arial" w:eastAsia="Arial" w:hAnsi="Arial"/>
          <w:sz w:val="18"/>
          <w:szCs w:val="18"/>
          <w:i w:val="1"/>
          <w:iCs w:val="1"/>
          <w:color w:val="auto"/>
        </w:rPr>
        <w:t>This summary highlights selected information and does not contain all of the information that is important to you. This summary is qualified in its entirety by the more detailed information included in or incorporated by reference into this prospectus. Before making your investment decision with respect to our securities, you should carefully read this entire prospectus, any applicable prospectus supplement and the documents referred to in “Where You Can Find More Information.”</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Mission</w:t>
      </w:r>
    </w:p>
    <w:p>
      <w:pPr>
        <w:spacing w:after="0" w:line="162" w:lineRule="exact"/>
        <w:rPr>
          <w:sz w:val="20"/>
          <w:szCs w:val="20"/>
          <w:color w:val="auto"/>
        </w:rPr>
      </w:pPr>
    </w:p>
    <w:p>
      <w:pPr>
        <w:ind w:left="1280" w:right="519" w:firstLine="360"/>
        <w:spacing w:after="0" w:line="291" w:lineRule="auto"/>
        <w:rPr>
          <w:sz w:val="20"/>
          <w:szCs w:val="20"/>
          <w:color w:val="auto"/>
        </w:rPr>
      </w:pPr>
      <w:r>
        <w:rPr>
          <w:rFonts w:ascii="Arial" w:cs="Arial" w:eastAsia="Arial" w:hAnsi="Arial"/>
          <w:sz w:val="17"/>
          <w:szCs w:val="17"/>
          <w:color w:val="auto"/>
        </w:rPr>
        <w:t>Lucid’s mission is to inspire the adoption of sustainable energy by creating advanced technologies and the most captivating luxury electric vehicles, centered around the human experience.</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About Lucid</w:t>
      </w:r>
    </w:p>
    <w:p>
      <w:pPr>
        <w:spacing w:after="0" w:line="148" w:lineRule="exact"/>
        <w:rPr>
          <w:sz w:val="20"/>
          <w:szCs w:val="20"/>
          <w:color w:val="auto"/>
        </w:rPr>
      </w:pPr>
    </w:p>
    <w:p>
      <w:pPr>
        <w:ind w:left="1280" w:right="459" w:firstLine="360"/>
        <w:spacing w:after="0" w:line="261" w:lineRule="auto"/>
        <w:rPr>
          <w:sz w:val="20"/>
          <w:szCs w:val="20"/>
          <w:color w:val="auto"/>
        </w:rPr>
      </w:pPr>
      <w:r>
        <w:rPr>
          <w:rFonts w:ascii="Arial" w:cs="Arial" w:eastAsia="Arial" w:hAnsi="Arial"/>
          <w:sz w:val="17"/>
          <w:szCs w:val="17"/>
          <w:color w:val="auto"/>
        </w:rPr>
        <w:t>Lucid is a technology and automotive company that is setting new standards with its advanced luxury electric vehicles, beginning with the Lucid Air. Lucid (i) designs, engineers and builds electric vehicles, EV powertrains and battery systems in-house using our own equipment and factories, (ii) offers a refined customer experience at our own geographically distributed retail and service locations and through direct-to-consumer online and retail sales, and (iii) boasts a strong product roadmap of future vehicle programs and technologies. Our focus on in-house technology innovation, vertical integration, and a “clean-sheet” approach to engineering and design have led to the development of the award-winning Lucid Air.</w:t>
      </w:r>
    </w:p>
    <w:p>
      <w:pPr>
        <w:spacing w:after="0" w:line="105" w:lineRule="exact"/>
        <w:rPr>
          <w:sz w:val="20"/>
          <w:szCs w:val="20"/>
          <w:color w:val="auto"/>
        </w:rPr>
      </w:pPr>
    </w:p>
    <w:p>
      <w:pPr>
        <w:ind w:left="1280" w:right="559" w:firstLine="360"/>
        <w:spacing w:after="0" w:line="258" w:lineRule="auto"/>
        <w:rPr>
          <w:sz w:val="20"/>
          <w:szCs w:val="20"/>
          <w:color w:val="auto"/>
        </w:rPr>
      </w:pPr>
      <w:r>
        <w:rPr>
          <w:rFonts w:ascii="Arial" w:cs="Arial" w:eastAsia="Arial" w:hAnsi="Arial"/>
          <w:sz w:val="17"/>
          <w:szCs w:val="17"/>
          <w:color w:val="auto"/>
        </w:rPr>
        <w:t>The Lucid Air is a luxury electric sedan that redefines both the luxury car segment and the electric vehicle space, with game- changing EPA-estimated range of up to 516 miles on a single charge (depending on vehicle configuration). This range is enabled by an efficient, powerful powertrain that Lucid developed and builds in-house through vertically integrated manufacturing capacity. EPA estimated ranges are provided for vehicles equipped with 19-inch wheels, and actual range will vary dependent on many factors including battery age, driving habits, charging habits, temperatures, accessory use, and other factors. The miniaturization of drivetrain components also enables the Lucid Air’s Space Concept vehicle design and layout, delivering a spacious interior ample cargo space despite a smaller exterior footprint. The highly aerodynamic design of the Lucid Air provides longer range, driving faster miles-per-minute charging and the ability to provide equivalent range with a smaller, lower-cost battery pack.</w:t>
      </w:r>
    </w:p>
    <w:p>
      <w:pPr>
        <w:spacing w:after="0" w:line="113" w:lineRule="exact"/>
        <w:rPr>
          <w:sz w:val="20"/>
          <w:szCs w:val="20"/>
          <w:color w:val="auto"/>
        </w:rPr>
      </w:pPr>
    </w:p>
    <w:p>
      <w:pPr>
        <w:ind w:left="1280" w:right="439" w:firstLine="360"/>
        <w:spacing w:after="0" w:line="269" w:lineRule="auto"/>
        <w:rPr>
          <w:sz w:val="20"/>
          <w:szCs w:val="20"/>
          <w:color w:val="auto"/>
        </w:rPr>
      </w:pPr>
      <w:r>
        <w:rPr>
          <w:rFonts w:ascii="Arial" w:cs="Arial" w:eastAsia="Arial" w:hAnsi="Arial"/>
          <w:sz w:val="17"/>
          <w:szCs w:val="17"/>
          <w:color w:val="auto"/>
        </w:rPr>
        <w:t>The Lucid Air is manufactured at our greenfield electric vehicle manufacturing facility in Casa Grande, Arizona, Advanced Manufacturing Plant-1 (“AMP-1”). Our manufacturing footprint in Casa Grande also includes the Lucid Powertrain Manufacturing Plant-1 (“LPM-1”), located a short distance from AMP-1. By building AMP-1 from a clean slate, we expect to achieve greater operational efficiencies and more consistent production quality than would be possible through outsourced manufacturing or adaptation of an existing facility. An emphasis on vertical integration of manufacturing capabilities provides us the opportunity to improve product margins relative to an outsourced manufacturing arrangement. We expect to diversify our vehicle portfolio and increase production capacity through localization of manufacturing in other geographies. In 2022, we broke ground on Lucid’s new advanced electric vehicle manufacturing facility in Saudi Arabia (“AMP-2”), which we anticipate a capacity of 155,000 units upon completion.</w:t>
      </w:r>
    </w:p>
    <w:p>
      <w:pPr>
        <w:spacing w:after="0" w:line="118" w:lineRule="exact"/>
        <w:rPr>
          <w:sz w:val="20"/>
          <w:szCs w:val="20"/>
          <w:color w:val="auto"/>
        </w:rPr>
      </w:pPr>
    </w:p>
    <w:p>
      <w:pPr>
        <w:ind w:left="1280" w:right="399" w:firstLine="360"/>
        <w:spacing w:after="0" w:line="271" w:lineRule="auto"/>
        <w:rPr>
          <w:sz w:val="20"/>
          <w:szCs w:val="20"/>
          <w:color w:val="auto"/>
        </w:rPr>
      </w:pPr>
      <w:r>
        <w:rPr>
          <w:rFonts w:ascii="Arial" w:cs="Arial" w:eastAsia="Arial" w:hAnsi="Arial"/>
          <w:sz w:val="17"/>
          <w:szCs w:val="17"/>
          <w:color w:val="auto"/>
        </w:rPr>
        <w:t>We began delivering the Lucid Air to customers in October 2021, and have now grown the Lucid Air model line to multiple trim and powertrain variants spanning a range of price points. The Lucid Air Sapphire, our highest performance Air, was announced in August 2022 and is expected to reach customers in 2023. We expect to launch additional vehicles over the coming decade. We have already commenced design and engineering work for the Lucid Gravity, a luxury sports utility vehicle (“SUV”) that is expected to leverage and advance the technological innovations from the Lucid Air. After the Lucid Air and the Lucid Gravity SUV, we plan to leverage and expand our technological and manufacturing advancements to develop and manufacture vehicles in progressively higher-volume segments.</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Lucid Group, Inc. is a Delaware corporation. Our principal executive offices are located at</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7373 Gateway Blvd. Newark, CA 94560 and our telephone number at that address is (510) 648-3553. Our</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79590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550735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80" w:right="539"/>
        <w:spacing w:after="0" w:line="259" w:lineRule="auto"/>
        <w:rPr>
          <w:sz w:val="20"/>
          <w:szCs w:val="20"/>
          <w:color w:val="auto"/>
        </w:rPr>
      </w:pPr>
      <w:r>
        <w:rPr>
          <w:rFonts w:ascii="Arial" w:cs="Arial" w:eastAsia="Arial" w:hAnsi="Arial"/>
          <w:sz w:val="18"/>
          <w:szCs w:val="18"/>
          <w:color w:val="auto"/>
        </w:rPr>
        <w:t>website is located at https://www.lucidmotors.com. We do not incorporate the information contained on, or accessible through, our corporate website into this prospectus, and you should not consider it part of this prospectus. We have included our website address only as an inactive textual reference and do not intend it to be an active link to our website.</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Controlled Company Exemption</w:t>
      </w:r>
    </w:p>
    <w:p>
      <w:pPr>
        <w:spacing w:after="0" w:line="162" w:lineRule="exact"/>
        <w:rPr>
          <w:sz w:val="20"/>
          <w:szCs w:val="20"/>
          <w:color w:val="auto"/>
        </w:rPr>
      </w:pPr>
    </w:p>
    <w:p>
      <w:pPr>
        <w:ind w:left="1280" w:right="399" w:firstLine="360"/>
        <w:spacing w:after="0" w:line="275" w:lineRule="auto"/>
        <w:rPr>
          <w:sz w:val="20"/>
          <w:szCs w:val="20"/>
          <w:color w:val="auto"/>
        </w:rPr>
      </w:pPr>
      <w:r>
        <w:rPr>
          <w:rFonts w:ascii="Arial" w:cs="Arial" w:eastAsia="Arial" w:hAnsi="Arial"/>
          <w:sz w:val="17"/>
          <w:szCs w:val="17"/>
          <w:color w:val="auto"/>
        </w:rPr>
        <w:t>As of March 31, 2023, PIF, both directly and indirectly through Ayar, owned approximately 60.5% of our outstanding shares of common stock. As a result, we are a “controlled company” within the meaning of Nasdaq rules and, as a result, qualify for exemptions from certain corporate governance requirements. Our stockholders do not have the same protections afforded to stockholders of companies that are subject to such requirements. Ayar also currently has the ability to nominate five of the nine directors to our Board.</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7"/>
          <w:szCs w:val="17"/>
          <w:i w:val="1"/>
          <w:iCs w:val="1"/>
          <w:color w:val="auto"/>
        </w:rPr>
        <w:t>An investment in our securities involves a high degree of risk. Before making an investment decision, you should carefully consider the following risk factors, in addition to the risks and uncertainties discussed above under “Special Note Regarding Forward-Looking Statements,” together with the risk factors described in our most recent Annual Report on Form 10-K and Quarterly Report on Form 10 -Q filed with the SEC and any subsequent Annual Report on Form 10-K, Quarterly Reports on Form 10-Q and Current Reports on Form 8-K that we file with the SEC after the date of this prospectus, as well as the other information contained or incorporated by reference in this prospectus, and any applicable prospectus supplement, in light of your particular investment objectives and financial circumstances. The occurrence of one or more of the events or circumstances described in such risk factors, alone or in combination with other events or circumstances, may have an adverse effect on our business, cash flows, financial condition and results of operations. We may face additional risks and uncertainties that are not presently known to us that we currently deem immaterial, which may also impair our business or financial condition.</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Common Stock and Warrants</w:t>
      </w:r>
    </w:p>
    <w:p>
      <w:pPr>
        <w:spacing w:after="0" w:line="229" w:lineRule="exact"/>
        <w:rPr>
          <w:sz w:val="20"/>
          <w:szCs w:val="20"/>
          <w:color w:val="auto"/>
        </w:rPr>
      </w:pPr>
    </w:p>
    <w:p>
      <w:pPr>
        <w:ind w:left="1260" w:right="699"/>
        <w:spacing w:after="0" w:line="256" w:lineRule="auto"/>
        <w:rPr>
          <w:sz w:val="20"/>
          <w:szCs w:val="20"/>
          <w:color w:val="auto"/>
        </w:rPr>
      </w:pPr>
      <w:r>
        <w:rPr>
          <w:rFonts w:ascii="Arial" w:cs="Arial" w:eastAsia="Arial" w:hAnsi="Arial"/>
          <w:sz w:val="18"/>
          <w:szCs w:val="18"/>
          <w:b w:val="1"/>
          <w:bCs w:val="1"/>
          <w:i w:val="1"/>
          <w:iCs w:val="1"/>
          <w:color w:val="auto"/>
        </w:rPr>
        <w:t>There is no public market for the Private Placement Warrants and the Working Capital Warrants and we cannot guarantee that an active and liquid public market for the Private Placement Warrants and the Working Capital Warrants will develop.</w:t>
      </w:r>
    </w:p>
    <w:p>
      <w:pPr>
        <w:spacing w:after="0" w:line="107"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Our warrants are not listed on an exchange. A liquid trading market for our warrants may never develop, or if developed, it may not be sustained. In the absence of a liquid public trading market for our warrants:</w:t>
      </w:r>
    </w:p>
    <w:p>
      <w:pPr>
        <w:spacing w:after="0" w:line="74" w:lineRule="exact"/>
        <w:rPr>
          <w:sz w:val="20"/>
          <w:szCs w:val="20"/>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 may not be able to liquidate your investment in our warrants;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 may not be able to resell your warrants at favorable prices, or at all;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market price of our warrants may experience significant price volatility;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may be less efficiency in carrying out your purchase and sale orders.</w:t>
      </w:r>
    </w:p>
    <w:p>
      <w:pPr>
        <w:spacing w:after="0" w:line="225" w:lineRule="exact"/>
        <w:rPr>
          <w:sz w:val="20"/>
          <w:szCs w:val="20"/>
          <w:color w:val="auto"/>
        </w:rPr>
      </w:pPr>
    </w:p>
    <w:p>
      <w:pPr>
        <w:ind w:left="1260" w:right="459"/>
        <w:spacing w:after="0" w:line="277" w:lineRule="auto"/>
        <w:rPr>
          <w:sz w:val="20"/>
          <w:szCs w:val="20"/>
          <w:color w:val="auto"/>
        </w:rPr>
      </w:pPr>
      <w:r>
        <w:rPr>
          <w:rFonts w:ascii="Arial" w:cs="Arial" w:eastAsia="Arial" w:hAnsi="Arial"/>
          <w:sz w:val="18"/>
          <w:szCs w:val="18"/>
          <w:b w:val="1"/>
          <w:bCs w:val="1"/>
          <w:i w:val="1"/>
          <w:iCs w:val="1"/>
          <w:color w:val="auto"/>
        </w:rPr>
        <w:t>The price of our common stock is volatile, and this volatility may negatively impact the market price of our common stock and the trading price of the 2026 Notes.</w:t>
      </w:r>
    </w:p>
    <w:p>
      <w:pPr>
        <w:spacing w:after="0" w:line="89"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The trading price of our common stock has fluctuated substantially. The trading price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117" w:lineRule="exact"/>
        <w:rPr>
          <w:sz w:val="20"/>
          <w:szCs w:val="20"/>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conditions in the broader stock market in general, or in our industry in particular;</w:t>
      </w:r>
    </w:p>
    <w:p>
      <w:pPr>
        <w:spacing w:after="0" w:line="103"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or operating results or the quarterly financial or operating results of companies perceived to be similar to ours;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128" w:lineRule="exact"/>
        <w:rPr>
          <w:rFonts w:ascii="Arial" w:cs="Arial" w:eastAsia="Arial" w:hAnsi="Arial"/>
          <w:sz w:val="17"/>
          <w:szCs w:val="17"/>
          <w:color w:val="auto"/>
        </w:rPr>
      </w:pPr>
    </w:p>
    <w:p>
      <w:pPr>
        <w:ind w:left="1800" w:right="49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public’s reaction to the number of unit reservations, financial projections and any other guidance or metrics that we may publicly disclose from time to time;</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competitors’ businesses or the competitive landscape generally;</w:t>
      </w:r>
    </w:p>
    <w:p>
      <w:pPr>
        <w:sectPr>
          <w:pgSz w:w="11900" w:h="16838" w:orient="portrait"/>
          <w:cols w:equalWidth="0" w:num="1">
            <w:col w:w="9879"/>
          </w:cols>
          <w:pgMar w:left="580" w:top="90" w:right="1440" w:bottom="1440" w:gutter="0" w:footer="0" w:header="0"/>
        </w:sectPr>
      </w:pPr>
    </w:p>
    <w:p>
      <w:pPr>
        <w:spacing w:after="0" w:line="346"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53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operating results failing to meet the expectation of securities analysts or investors in a particular period;</w:t>
      </w:r>
    </w:p>
    <w:p>
      <w:pPr>
        <w:spacing w:after="0" w:line="62"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the achievement of objectives under our business plan and the timing and amount of costs we incur in connection therewith;</w:t>
      </w:r>
    </w:p>
    <w:p>
      <w:pPr>
        <w:spacing w:after="0" w:line="62"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operating and stock price performance of other companies that investors deem comparable to ours;</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commencement of, or involvement in, litigation or investigations involving us;</w:t>
      </w:r>
    </w:p>
    <w:p>
      <w:pPr>
        <w:spacing w:after="0" w:line="103"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volume of our common stock available for public sale;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17" w:lineRule="exact"/>
        <w:rPr>
          <w:rFonts w:ascii="Arial" w:cs="Arial" w:eastAsia="Arial" w:hAnsi="Arial"/>
          <w:sz w:val="18"/>
          <w:szCs w:val="18"/>
          <w:color w:val="auto"/>
        </w:rPr>
      </w:pPr>
    </w:p>
    <w:p>
      <w:pPr>
        <w:ind w:left="1800" w:right="719" w:hanging="180"/>
        <w:spacing w:after="0" w:line="286" w:lineRule="auto"/>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sales of substantial amounts of our common stock by our directors, officers or significant stockholders or the perception that such sales could occur, including the expiration of the lock-up periods applicable to certain holders of our common stock pursuant to the Sponsor Agreement;</w:t>
      </w:r>
    </w:p>
    <w:p>
      <w:pPr>
        <w:spacing w:after="0" w:line="57" w:lineRule="exact"/>
        <w:rPr>
          <w:rFonts w:ascii="Arial" w:cs="Arial" w:eastAsia="Arial" w:hAnsi="Arial"/>
          <w:sz w:val="17"/>
          <w:szCs w:val="17"/>
          <w:color w:val="auto"/>
        </w:rPr>
      </w:pPr>
    </w:p>
    <w:p>
      <w:pPr>
        <w:ind w:left="1800" w:right="479" w:hanging="180"/>
        <w:spacing w:after="0" w:line="259"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pandemics (such as COVID-19), inflation, government closures of banks and liquidity concerns at other financial institutions, changes in diplomatic and trade relationships, fluctuations in foreign currency exchange rates, acts of war or terrorism, and natural disasters; and</w:t>
      </w:r>
    </w:p>
    <w:p>
      <w:pPr>
        <w:spacing w:after="0" w:line="78"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risk factors listed in this section “Risk Factors.”</w:t>
      </w:r>
    </w:p>
    <w:p>
      <w:pPr>
        <w:spacing w:after="0" w:line="15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and the trading price of the 2026 Notes regardless of our business, prospects, financial conditions or results of operations. Broad market and industry factors, including, the impact of the conflict between Ukraine and Russia, natural disasters, the COVID-19 pandemic, and any other global pandemics, as well as general economic, political and market conditions such as recessions, inflation, government closures of banks and liquidity concerns at other financial institutions, or interest rate changes, may seriously affect the market price of our common stock and other securities, regardless of our actual operating performance. A decline in the market price of our securities also could adversely affect our ability to issue additional securities and our ability to obtain additional financing in the future.</w:t>
      </w:r>
    </w:p>
    <w:p>
      <w:pPr>
        <w:spacing w:after="0" w:line="117"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Furthermore, the stock markets in general, and the markets for technology and electric vehicle stocks in particular, have experienced extreme volatility, including as a result of the COVID-19 pandemic,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2026 Notes may impact the market price of our common stock, in particular during any redemption conversion period in connection with a redemption of the 2026 Notes or any observation period for a conversion of the 2026 Notes.</w:t>
      </w:r>
    </w:p>
    <w:p>
      <w:pPr>
        <w:spacing w:after="0" w:line="111" w:lineRule="exact"/>
        <w:rPr>
          <w:sz w:val="20"/>
          <w:szCs w:val="20"/>
          <w:color w:val="auto"/>
        </w:rPr>
      </w:pPr>
    </w:p>
    <w:p>
      <w:pPr>
        <w:ind w:left="1260" w:right="679" w:firstLine="360"/>
        <w:spacing w:after="0" w:line="308" w:lineRule="auto"/>
        <w:rPr>
          <w:sz w:val="20"/>
          <w:szCs w:val="20"/>
          <w:color w:val="auto"/>
        </w:rPr>
      </w:pPr>
      <w:r>
        <w:rPr>
          <w:rFonts w:ascii="Arial" w:cs="Arial" w:eastAsia="Arial" w:hAnsi="Arial"/>
          <w:sz w:val="17"/>
          <w:szCs w:val="17"/>
          <w:color w:val="auto"/>
        </w:rPr>
        <w:t>In addition, in the past, following periods of volatility in the overall market and the market prices of particular companies’ securities, securities class action litigations have often been instituted against these</w:t>
      </w:r>
    </w:p>
    <w:p>
      <w:pPr>
        <w:sectPr>
          <w:pgSz w:w="11900" w:h="16838" w:orient="portrait"/>
          <w:cols w:equalWidth="0" w:num="1">
            <w:col w:w="9879"/>
          </w:cols>
          <w:pgMar w:left="580" w:top="90" w:right="1440" w:bottom="1440" w:gutter="0" w:footer="0" w:header="0"/>
        </w:sectPr>
      </w:pPr>
    </w:p>
    <w:p>
      <w:pPr>
        <w:spacing w:after="0" w:line="335"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260" w:right="439"/>
        <w:spacing w:after="0" w:line="278" w:lineRule="auto"/>
        <w:rPr>
          <w:sz w:val="20"/>
          <w:szCs w:val="20"/>
          <w:color w:val="auto"/>
        </w:rPr>
      </w:pPr>
      <w:r>
        <w:rPr>
          <w:rFonts w:ascii="Arial" w:cs="Arial" w:eastAsia="Arial" w:hAnsi="Arial"/>
          <w:sz w:val="17"/>
          <w:szCs w:val="17"/>
          <w:color w:val="auto"/>
        </w:rPr>
        <w:t>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58" w:lineRule="exact"/>
        <w:rPr>
          <w:sz w:val="20"/>
          <w:szCs w:val="20"/>
          <w:color w:val="auto"/>
        </w:rPr>
      </w:pPr>
    </w:p>
    <w:p>
      <w:pPr>
        <w:ind w:left="1260" w:right="839"/>
        <w:spacing w:after="0" w:line="381" w:lineRule="auto"/>
        <w:rPr>
          <w:sz w:val="20"/>
          <w:szCs w:val="20"/>
          <w:color w:val="auto"/>
        </w:rPr>
      </w:pPr>
      <w:r>
        <w:rPr>
          <w:rFonts w:ascii="Arial" w:cs="Arial" w:eastAsia="Arial" w:hAnsi="Arial"/>
          <w:sz w:val="15"/>
          <w:szCs w:val="15"/>
          <w:b w:val="1"/>
          <w:bCs w:val="1"/>
          <w:i w:val="1"/>
          <w:iCs w:val="1"/>
          <w:color w:val="auto"/>
        </w:rPr>
        <w:t>The issuance of additional shares of our common stock or other equity or equity-linked securities, or sales of a significant portion of our common stock, could depress the market price of our common stock.</w:t>
      </w:r>
    </w:p>
    <w:p>
      <w:pPr>
        <w:spacing w:after="0" w:line="6"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Future issuances of shares of our common stock, or of securities convertible into or exercisable for our common stock, could depress the market price of our common stock and result in significant dilution for holders of our common stock. The exercise of our outstanding warrants and options, the vesting and settlement of our restricted stock units, or the conversion of our 2026 Notes would result in additional dilution to holders of our common stock. In the future, we may issue additional shares of our common stock, or securities convertible into or exercisable for common stock, in connection with generating additional capital, future acquisitions, repayment of outstanding indebtedness, under our stock incentive plan, or for other reasons.</w:t>
      </w:r>
    </w:p>
    <w:p>
      <w:pPr>
        <w:spacing w:after="0" w:line="119" w:lineRule="exact"/>
        <w:rPr>
          <w:sz w:val="20"/>
          <w:szCs w:val="20"/>
          <w:color w:val="auto"/>
        </w:rPr>
      </w:pPr>
    </w:p>
    <w:p>
      <w:pPr>
        <w:ind w:left="1260" w:right="599" w:firstLine="360"/>
        <w:spacing w:after="0" w:line="249" w:lineRule="auto"/>
        <w:rPr>
          <w:sz w:val="20"/>
          <w:szCs w:val="20"/>
          <w:color w:val="auto"/>
        </w:rPr>
      </w:pPr>
      <w:r>
        <w:rPr>
          <w:rFonts w:ascii="Arial" w:cs="Arial" w:eastAsia="Arial" w:hAnsi="Arial"/>
          <w:sz w:val="18"/>
          <w:szCs w:val="18"/>
          <w:color w:val="auto"/>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spacing w:after="0" w:line="113" w:lineRule="exact"/>
        <w:rPr>
          <w:sz w:val="20"/>
          <w:szCs w:val="20"/>
          <w:color w:val="auto"/>
        </w:rPr>
      </w:pPr>
    </w:p>
    <w:p>
      <w:pPr>
        <w:ind w:left="1260" w:right="579" w:firstLine="360"/>
        <w:spacing w:after="0" w:line="249" w:lineRule="auto"/>
        <w:rPr>
          <w:sz w:val="20"/>
          <w:szCs w:val="20"/>
          <w:color w:val="auto"/>
        </w:rPr>
      </w:pPr>
      <w:r>
        <w:rPr>
          <w:rFonts w:ascii="Arial" w:cs="Arial" w:eastAsia="Arial" w:hAnsi="Arial"/>
          <w:sz w:val="18"/>
          <w:szCs w:val="18"/>
          <w:color w:val="auto"/>
        </w:rPr>
        <w:t>In addition, pursuant to the Investor Rights Agreement, Ayar, and certain other parties thereto are entitled to, among other things, certain registration rights, including demand, piggy-back and shelf registration rights. If one or more of these stockholders were to sell a substantial portion of the shares they hold, it could cause the trading price of our common stock to decline.</w:t>
      </w:r>
    </w:p>
    <w:p>
      <w:pPr>
        <w:spacing w:after="0" w:line="194" w:lineRule="exact"/>
        <w:rPr>
          <w:sz w:val="20"/>
          <w:szCs w:val="20"/>
          <w:color w:val="auto"/>
        </w:rPr>
      </w:pPr>
    </w:p>
    <w:p>
      <w:pPr>
        <w:ind w:left="1260" w:right="599"/>
        <w:spacing w:after="0" w:line="294" w:lineRule="auto"/>
        <w:rPr>
          <w:sz w:val="20"/>
          <w:szCs w:val="20"/>
          <w:color w:val="auto"/>
        </w:rPr>
      </w:pPr>
      <w:r>
        <w:rPr>
          <w:rFonts w:ascii="Arial" w:cs="Arial" w:eastAsia="Arial" w:hAnsi="Arial"/>
          <w:sz w:val="16"/>
          <w:szCs w:val="16"/>
          <w:b w:val="1"/>
          <w:bCs w:val="1"/>
          <w:i w:val="1"/>
          <w:iCs w:val="1"/>
          <w:color w:val="auto"/>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spacing w:after="0" w:line="80"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As of March 31, 2023, PIF, both directly and indirectly through Ayar, held approximately 60.5% of our common stock.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spacing w:after="0" w:line="122"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color w:val="auto"/>
        </w:rPr>
        <w:t>Further, this concentration of ownership and voting power allows Ayar to control our decisions,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2026 Notes.</w:t>
      </w:r>
    </w:p>
    <w:p>
      <w:pPr>
        <w:spacing w:after="0" w:line="185" w:lineRule="exact"/>
        <w:rPr>
          <w:sz w:val="20"/>
          <w:szCs w:val="20"/>
          <w:color w:val="auto"/>
        </w:rPr>
      </w:pPr>
    </w:p>
    <w:p>
      <w:pPr>
        <w:ind w:left="1260" w:right="979"/>
        <w:spacing w:after="0" w:line="261" w:lineRule="auto"/>
        <w:rPr>
          <w:sz w:val="20"/>
          <w:szCs w:val="20"/>
          <w:color w:val="auto"/>
        </w:rPr>
      </w:pPr>
      <w:r>
        <w:rPr>
          <w:rFonts w:ascii="Arial" w:cs="Arial" w:eastAsia="Arial" w:hAnsi="Arial"/>
          <w:sz w:val="18"/>
          <w:szCs w:val="18"/>
          <w:b w:val="1"/>
          <w:bCs w:val="1"/>
          <w:i w:val="1"/>
          <w:iCs w:val="1"/>
          <w:color w:val="auto"/>
        </w:rPr>
        <w:t>PIF and Ayar beneficially own a significant equity interest in us and may take actions that conflict with your interests.</w:t>
      </w:r>
    </w:p>
    <w:p>
      <w:pPr>
        <w:spacing w:after="0" w:line="103"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The interests of PIF and Ayar may not align with our interests and the interests of our other stockholders or securityholders. PIF and Ayar are each in the business of making investments in companies and may</w:t>
      </w:r>
    </w:p>
    <w:p>
      <w:pPr>
        <w:sectPr>
          <w:pgSz w:w="11900" w:h="16838" w:orient="portrait"/>
          <w:cols w:equalWidth="0" w:num="1">
            <w:col w:w="9879"/>
          </w:cols>
          <w:pgMar w:left="580" w:top="90" w:right="1440" w:bottom="1440" w:gutter="0" w:footer="0" w:header="0"/>
        </w:sectPr>
      </w:pPr>
    </w:p>
    <w:p>
      <w:pPr>
        <w:spacing w:after="0" w:line="371"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260" w:right="579"/>
        <w:spacing w:after="0" w:line="263" w:lineRule="auto"/>
        <w:rPr>
          <w:sz w:val="20"/>
          <w:szCs w:val="20"/>
          <w:color w:val="auto"/>
        </w:rPr>
      </w:pPr>
      <w:r>
        <w:rPr>
          <w:rFonts w:ascii="Arial" w:cs="Arial" w:eastAsia="Arial" w:hAnsi="Arial"/>
          <w:sz w:val="18"/>
          <w:szCs w:val="18"/>
          <w:color w:val="auto"/>
        </w:rPr>
        <w:t>acquire and hold interests in businesses that compete directly or indirectly with us. PIF and Ayar and their respective affiliates, may also pursue acquisition opportunities that may be complementary to our business and, as a result, those acquisition opportunities may not be available to us.</w:t>
      </w:r>
    </w:p>
    <w:p>
      <w:pPr>
        <w:spacing w:after="0" w:line="184" w:lineRule="exact"/>
        <w:rPr>
          <w:sz w:val="20"/>
          <w:szCs w:val="20"/>
          <w:color w:val="auto"/>
        </w:rPr>
      </w:pPr>
    </w:p>
    <w:p>
      <w:pPr>
        <w:jc w:val="both"/>
        <w:ind w:left="1260" w:right="499"/>
        <w:spacing w:after="0" w:line="263" w:lineRule="auto"/>
        <w:rPr>
          <w:sz w:val="20"/>
          <w:szCs w:val="20"/>
          <w:color w:val="auto"/>
        </w:rPr>
      </w:pPr>
      <w:r>
        <w:rPr>
          <w:rFonts w:ascii="Arial" w:cs="Arial" w:eastAsia="Arial" w:hAnsi="Arial"/>
          <w:sz w:val="18"/>
          <w:szCs w:val="18"/>
          <w:b w:val="1"/>
          <w:bCs w:val="1"/>
          <w:i w:val="1"/>
          <w:iCs w:val="1"/>
          <w:color w:val="auto"/>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spacing w:after="0" w:line="116"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trading market for our common stock can be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do not anticipate paying any cash dividends for the foreseeable future.</w:t>
      </w:r>
    </w:p>
    <w:p>
      <w:pPr>
        <w:spacing w:after="0" w:line="158" w:lineRule="exact"/>
        <w:rPr>
          <w:sz w:val="20"/>
          <w:szCs w:val="20"/>
          <w:color w:val="auto"/>
        </w:rPr>
      </w:pPr>
    </w:p>
    <w:p>
      <w:pPr>
        <w:jc w:val="both"/>
        <w:ind w:left="1260" w:right="639" w:firstLine="360"/>
        <w:spacing w:after="0" w:line="259" w:lineRule="auto"/>
        <w:rPr>
          <w:sz w:val="20"/>
          <w:szCs w:val="20"/>
          <w:color w:val="auto"/>
        </w:rPr>
      </w:pPr>
      <w:r>
        <w:rPr>
          <w:rFonts w:ascii="Arial" w:cs="Arial" w:eastAsia="Arial" w:hAnsi="Arial"/>
          <w:sz w:val="18"/>
          <w:szCs w:val="18"/>
          <w:color w:val="auto"/>
        </w:rPr>
        <w:t>We have never declared or paid cash dividends on our capital stock, and we do not anticipate paying any cash dividends in the foreseeable future. In addition, the ABL Credit Facility limits our and certain of our subsidiaries’ ability to pay dividends. We currently intend to retain our future earnings, if any, for the foreseeable future, to fund the development and growth of our business.</w:t>
      </w:r>
    </w:p>
    <w:p>
      <w:pPr>
        <w:spacing w:after="0" w:line="106" w:lineRule="exact"/>
        <w:rPr>
          <w:sz w:val="20"/>
          <w:szCs w:val="20"/>
          <w:color w:val="auto"/>
        </w:rPr>
      </w:pPr>
    </w:p>
    <w:p>
      <w:pPr>
        <w:ind w:left="1260" w:right="499" w:firstLine="360"/>
        <w:spacing w:after="0" w:line="279" w:lineRule="auto"/>
        <w:rPr>
          <w:sz w:val="20"/>
          <w:szCs w:val="20"/>
          <w:color w:val="auto"/>
        </w:rPr>
      </w:pPr>
      <w:r>
        <w:rPr>
          <w:rFonts w:ascii="Arial" w:cs="Arial" w:eastAsia="Arial" w:hAnsi="Arial"/>
          <w:sz w:val="17"/>
          <w:szCs w:val="17"/>
          <w:color w:val="auto"/>
        </w:rPr>
        <w:t>Any future determination to pay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your only source of gain on an investment in our common stock.</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There is no guarantee that an active and liquid public market for our securities will be sustained.</w:t>
      </w:r>
    </w:p>
    <w:p>
      <w:pPr>
        <w:spacing w:after="0" w:line="16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 a liquid trading market for our common stock is not sustained:</w:t>
      </w:r>
    </w:p>
    <w:p>
      <w:pPr>
        <w:spacing w:after="0" w:line="117" w:lineRule="exact"/>
        <w:rPr>
          <w:sz w:val="20"/>
          <w:szCs w:val="20"/>
          <w:color w:val="auto"/>
        </w:rPr>
      </w:pPr>
    </w:p>
    <w:p>
      <w:pPr>
        <w:ind w:left="1800" w:right="53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holders of our common stock may not be able to liquidate their investment in shares of our common stock;</w:t>
      </w:r>
    </w:p>
    <w:p>
      <w:pPr>
        <w:spacing w:after="0" w:line="75"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holders of our common stock may not be able to resell their shares of our common stock at favorable prices, or at all;</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market price of shares of our common stock may experience significant price volatility; and</w:t>
      </w:r>
    </w:p>
    <w:p>
      <w:pPr>
        <w:spacing w:after="0" w:line="117"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may be less efficiency in carrying out purchase and sale orders with respect to our common stock.</w:t>
      </w:r>
    </w:p>
    <w:p>
      <w:pPr>
        <w:spacing w:after="0" w:line="103"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188" w:lineRule="exact"/>
        <w:rPr>
          <w:sz w:val="20"/>
          <w:szCs w:val="20"/>
          <w:color w:val="auto"/>
        </w:rPr>
      </w:pPr>
    </w:p>
    <w:p>
      <w:pPr>
        <w:ind w:left="1260" w:right="439"/>
        <w:spacing w:after="0" w:line="327" w:lineRule="auto"/>
        <w:rPr>
          <w:sz w:val="20"/>
          <w:szCs w:val="20"/>
          <w:color w:val="auto"/>
        </w:rPr>
      </w:pPr>
      <w:r>
        <w:rPr>
          <w:rFonts w:ascii="Arial" w:cs="Arial" w:eastAsia="Arial" w:hAnsi="Arial"/>
          <w:sz w:val="15"/>
          <w:szCs w:val="15"/>
          <w:b w:val="1"/>
          <w:bCs w:val="1"/>
          <w:i w:val="1"/>
          <w:iCs w:val="1"/>
          <w:color w:val="auto"/>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for disputes with us or with our directors, officers or employees and may discourage stockholders from bringing such claims.</w:t>
      </w:r>
    </w:p>
    <w:p>
      <w:pPr>
        <w:spacing w:after="0" w:line="59"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Under our current bylaws, unless we consent in writing to the selection of an alternative forum, the sole and exclusive forum will be a state court within the State of Delaware (or, if no state court located within the State of Delaware has jurisdiction, the federal district court for the District of Delaware) for:</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any derivative action or proceeding brought on our behalf;</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679" w:hanging="180"/>
        <w:spacing w:after="0" w:line="27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or employees to us or our stockholders;</w:t>
      </w:r>
    </w:p>
    <w:p>
      <w:pPr>
        <w:spacing w:after="0" w:line="62"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directors or officers or other employees arising pursuant to any provision of the DGCL or our certificate of incorporation or bylaws (as either may be amended, restated, modified, supplemented or waived from time to time); or</w:t>
      </w:r>
    </w:p>
    <w:p>
      <w:pPr>
        <w:spacing w:after="0" w:line="75" w:lineRule="exact"/>
        <w:rPr>
          <w:rFonts w:ascii="Arial" w:cs="Arial" w:eastAsia="Arial" w:hAnsi="Arial"/>
          <w:sz w:val="18"/>
          <w:szCs w:val="18"/>
          <w:color w:val="auto"/>
        </w:rPr>
      </w:pPr>
    </w:p>
    <w:p>
      <w:pPr>
        <w:ind w:left="1800" w:right="1119" w:hanging="180"/>
        <w:spacing w:after="0" w:line="27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directors or officers or other employees governed by the internal affairs doctrine.</w:t>
      </w:r>
    </w:p>
    <w:p>
      <w:pPr>
        <w:spacing w:after="0" w:line="89" w:lineRule="exact"/>
        <w:rPr>
          <w:sz w:val="20"/>
          <w:szCs w:val="20"/>
          <w:color w:val="auto"/>
        </w:rPr>
      </w:pPr>
    </w:p>
    <w:p>
      <w:pPr>
        <w:ind w:left="1260" w:right="499" w:firstLine="360"/>
        <w:spacing w:after="0" w:line="256" w:lineRule="auto"/>
        <w:rPr>
          <w:sz w:val="20"/>
          <w:szCs w:val="20"/>
          <w:color w:val="auto"/>
        </w:rPr>
      </w:pPr>
      <w:r>
        <w:rPr>
          <w:rFonts w:ascii="Arial" w:cs="Arial" w:eastAsia="Arial" w:hAnsi="Arial"/>
          <w:sz w:val="17"/>
          <w:szCs w:val="17"/>
          <w:color w:val="auto"/>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w:t>
      </w:r>
    </w:p>
    <w:p>
      <w:pPr>
        <w:spacing w:after="0" w:line="192" w:lineRule="exact"/>
        <w:rPr>
          <w:sz w:val="20"/>
          <w:szCs w:val="20"/>
          <w:color w:val="auto"/>
        </w:rPr>
      </w:pPr>
    </w:p>
    <w:p>
      <w:pPr>
        <w:ind w:left="1260" w:right="739"/>
        <w:spacing w:after="0" w:line="362" w:lineRule="auto"/>
        <w:rPr>
          <w:sz w:val="20"/>
          <w:szCs w:val="20"/>
          <w:color w:val="auto"/>
        </w:rPr>
      </w:pPr>
      <w:r>
        <w:rPr>
          <w:rFonts w:ascii="Arial" w:cs="Arial" w:eastAsia="Arial" w:hAnsi="Arial"/>
          <w:sz w:val="15"/>
          <w:szCs w:val="15"/>
          <w:b w:val="1"/>
          <w:bCs w:val="1"/>
          <w:i w:val="1"/>
          <w:iCs w:val="1"/>
          <w:color w:val="auto"/>
        </w:rPr>
        <w:t>Some provisions of Delaware law and our current certificate of incorporation and our current bylaws may deter third parties from acquiring us and diminish the value of our common stock and the 2026 Notes.</w:t>
      </w:r>
    </w:p>
    <w:p>
      <w:pPr>
        <w:spacing w:after="0" w:line="3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current certificate of incorporation and our current bylaws provide for, among other things:</w:t>
      </w:r>
    </w:p>
    <w:p>
      <w:pPr>
        <w:spacing w:after="0" w:line="117" w:lineRule="exact"/>
        <w:rPr>
          <w:sz w:val="20"/>
          <w:szCs w:val="20"/>
          <w:color w:val="auto"/>
        </w:rPr>
      </w:pPr>
    </w:p>
    <w:p>
      <w:pPr>
        <w:ind w:left="1800" w:right="619" w:hanging="180"/>
        <w:spacing w:after="0" w:line="263"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Board to issue one or more series of preferred stock with voting or other rights or preferences that could have the effect of impeding the success of an attempt to acquire us or otherwise effect a change in control;</w:t>
      </w:r>
    </w:p>
    <w:p>
      <w:pPr>
        <w:spacing w:after="0" w:line="75" w:lineRule="exact"/>
        <w:rPr>
          <w:rFonts w:ascii="Arial" w:cs="Arial" w:eastAsia="Arial" w:hAnsi="Arial"/>
          <w:sz w:val="18"/>
          <w:szCs w:val="18"/>
          <w:color w:val="auto"/>
        </w:rPr>
      </w:pPr>
    </w:p>
    <w:p>
      <w:pPr>
        <w:ind w:left="1800" w:right="639" w:hanging="180"/>
        <w:spacing w:after="0" w:line="342" w:lineRule="auto"/>
        <w:tabs>
          <w:tab w:leader="none" w:pos="1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subject to the Investor Rights Agreement, advance notice for nominations of directors by stockholders and for stockholders to include matters to be considered at stockholder meetings; and</w:t>
      </w:r>
    </w:p>
    <w:p>
      <w:pPr>
        <w:spacing w:after="0" w:line="15" w:lineRule="exact"/>
        <w:rPr>
          <w:rFonts w:ascii="Arial" w:cs="Arial" w:eastAsia="Arial" w:hAnsi="Arial"/>
          <w:sz w:val="16"/>
          <w:szCs w:val="16"/>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144"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73" w:lineRule="exact"/>
        <w:rPr>
          <w:sz w:val="20"/>
          <w:szCs w:val="20"/>
          <w:color w:val="auto"/>
        </w:rPr>
      </w:pPr>
    </w:p>
    <w:p>
      <w:pPr>
        <w:ind w:left="1800" w:right="103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that resulted in the stockholder becoming an interested stockholder;</w:t>
      </w:r>
    </w:p>
    <w:p>
      <w:pPr>
        <w:spacing w:after="0" w:line="62"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75"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and by the affirmative vote of holders of at least two-thirds of the votes of our outstanding voting stock that is not owned by the interested stockholder.</w:t>
      </w:r>
    </w:p>
    <w:p>
      <w:pPr>
        <w:sectPr>
          <w:pgSz w:w="11900" w:h="16838" w:orient="portrait"/>
          <w:cols w:equalWidth="0" w:num="1">
            <w:col w:w="9879"/>
          </w:cols>
          <w:pgMar w:left="580" w:top="90" w:right="1440" w:bottom="1440" w:gutter="0" w:footer="0" w:header="0"/>
        </w:sectPr>
      </w:pPr>
    </w:p>
    <w:p>
      <w:pPr>
        <w:spacing w:after="0" w:line="359"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260" w:right="439" w:firstLine="360"/>
        <w:spacing w:after="0" w:line="271"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w:t>
      </w:r>
    </w:p>
    <w:p>
      <w:pPr>
        <w:jc w:val="both"/>
        <w:ind w:left="1260" w:right="419"/>
        <w:spacing w:after="0" w:line="290" w:lineRule="auto"/>
        <w:rPr>
          <w:sz w:val="20"/>
          <w:szCs w:val="20"/>
          <w:color w:val="auto"/>
        </w:rPr>
      </w:pPr>
      <w:r>
        <w:rPr>
          <w:rFonts w:ascii="Arial" w:cs="Arial" w:eastAsia="Arial" w:hAnsi="Arial"/>
          <w:sz w:val="17"/>
          <w:szCs w:val="17"/>
          <w:color w:val="auto"/>
        </w:rPr>
        <w:t>three years owned, 15% or more of the votes of our outstanding voting stock. For purposes of this provision, “voting stock” means any class or series of stock entitled to vote generally in the election of directors.</w:t>
      </w:r>
    </w:p>
    <w:p>
      <w:pPr>
        <w:spacing w:after="0" w:line="94" w:lineRule="exact"/>
        <w:rPr>
          <w:sz w:val="20"/>
          <w:szCs w:val="20"/>
          <w:color w:val="auto"/>
        </w:rPr>
      </w:pPr>
    </w:p>
    <w:p>
      <w:pPr>
        <w:ind w:left="1260" w:right="619" w:firstLine="360"/>
        <w:spacing w:after="0" w:line="291"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99"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These provisions in our current certificate of incorporation and our current bylaws, as well as Delaware law,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or the trading price of the 2026 Notes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common stock or the 2026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8" w:name="page49"/>
    <w:bookmarkEnd w:id="4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1260" w:right="419" w:firstLine="360"/>
        <w:spacing w:after="0" w:line="286" w:lineRule="auto"/>
        <w:rPr>
          <w:sz w:val="20"/>
          <w:szCs w:val="20"/>
          <w:color w:val="auto"/>
        </w:rPr>
      </w:pPr>
      <w:r>
        <w:rPr>
          <w:rFonts w:ascii="Arial" w:cs="Arial" w:eastAsia="Arial" w:hAnsi="Arial"/>
          <w:sz w:val="17"/>
          <w:szCs w:val="17"/>
          <w:color w:val="auto"/>
        </w:rPr>
        <w:t>All of the shares of common stock and the warrants (including shares of common stock underlying such warrants) offered by the Selling Securityholders pursuant to this prospectus will be sold by the Selling Securityholders for their respective accounts. We will not receive any of the proceeds from these sales.</w:t>
      </w:r>
    </w:p>
    <w:p>
      <w:pPr>
        <w:spacing w:after="0" w:line="98"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We will receive up to an aggregate of approximately $510 million from the exercise of all of the Private Placement Warrants and the Working Capital Warrants, assuming the exercise in full of all such warrants for cash.</w:t>
      </w:r>
    </w:p>
    <w:p>
      <w:pPr>
        <w:spacing w:after="0" w:line="103"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Unless we inform you otherwise in a prospectus supplement, we intend to use the net proceeds from the sale of the securities offered by us by this prospectus, as well as from the exercise of the Private Placement Warrants and the Working Capital Warrants, for general corporate purposes, which may include capital expenditures and working capital. Our management will have broad discretion over the use of such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9" w:name="page50"/>
    <w:bookmarkEnd w:id="4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DESCRIPTION OF CAPITAL STOCK</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i w:val="1"/>
          <w:iCs w:val="1"/>
          <w:color w:val="auto"/>
        </w:rPr>
        <w:t>The following is a summary of the rights and preferences of and is qualified in its entirety by, our current certificate of incorporation and current by-laws. The full texts of our current certificate of incorporation and our current bylaws are filed as exhibits the registration statement of which this prospectus is a part. For a complete description of the rights and preferences of our securities, we urge you to read our current certificate of incorporation, our current bylaws and the applicable provisions of Delaware law.</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Authorized and Outstanding Stock</w:t>
      </w:r>
    </w:p>
    <w:p>
      <w:pPr>
        <w:spacing w:after="0" w:line="162"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Our current certificate of incorporation authorizes the issuance of shares of our capital stock, each with a par value of $0.0001, consisting of (a) 15,000,000,000 shares of common stock and (b) 10,000,000 shares of preferred stock. The outstanding shares of common stock are duly authorized, validly issued, fully paid and non-assessable.</w:t>
      </w:r>
    </w:p>
    <w:p>
      <w:pPr>
        <w:spacing w:after="0" w:line="106"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As of March 31, 2023, there were (i) 1,833,385,174 shares of our common stock outstanding, (ii) no shares of preferred stock outstanding, and (iii) 44,350,000 shares of common stock issuable upon the exercise of Private Placement Warrants (including the Working Capital Warrants).</w:t>
      </w:r>
    </w:p>
    <w:p>
      <w:pPr>
        <w:spacing w:after="0" w:line="116"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Our current certificate of incorporation provides that shares of preferred stock may be issued from time to time in one or more series. The Board is authorized to fix the voting rights, if any, designations, powers, preferences, the relative, participating, optional or other special rights and any qualifications, limitations and restrictions thereof, applicable to the shares of each series. The Board is able to, without stockholder approval, issue preferred stock with voting and other rights that could adversely affect the voting power and other rights of the holders of the common stock and could have anti-takeover effects. The ability of the Board to issue preferred stock without stockholder approval could have the effect of delaying, deferring or preventing a change of control of us or the removal of existing management.</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Voting Power</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Except as otherwise required by law or as otherwise provided in any certificate of designation for any series of preferred stock, under our current certificate of incorporation, the holders of common stock will possess all voting power for the election of directors and all other matters requiring stockholder action and will be entitled to one vote per share on matters to be voted on by stockholders. The holders of our common stock will at all times vote together as one class on all matters submitted to a vote of the common stock under our current certificate of incorporation.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48"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Subject to limitations contained in the DGCL and our current certificate of incorporation, under our current bylaws, the Board may declare and pay dividends upon the shares of our common stock, which dividends may be paid either in cash, in property or in shares of our common stock.</w:t>
      </w:r>
    </w:p>
    <w:p>
      <w:pPr>
        <w:spacing w:after="0" w:line="116"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The payment of cash dividends in the future will be dependent upon our revenues and earnings, if any, capital requirements, the terms of any outstanding indebtedness and general financial condition. The payment of any cash dividends will be within the discretion of the Board at such time. In addition, the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Liquidation, Dissolution and Winding Up</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In the event of the voluntary or involuntary liquidation, dissolution, or winding-up of the Company, the holders of our common stock will be entitled to receive all the remaining assets of the Company available for distribution to stockholders, ratably in proportion to the number of shares of common stock held by them, after the rights of creditors of the Company and the holders of any outstanding shares of preferred stock have been satisfied.</w:t>
      </w:r>
    </w:p>
    <w:p>
      <w:pPr>
        <w:sectPr>
          <w:pgSz w:w="11900" w:h="16838" w:orient="portrait"/>
          <w:cols w:equalWidth="0" w:num="1">
            <w:col w:w="9879"/>
          </w:cols>
          <w:pgMar w:left="580" w:top="90" w:right="1440" w:bottom="1440" w:gutter="0" w:footer="0" w:header="0"/>
        </w:sectPr>
      </w:pPr>
    </w:p>
    <w:p>
      <w:pPr>
        <w:spacing w:after="0" w:line="36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Preemptive or Other Rights</w:t>
      </w:r>
    </w:p>
    <w:p>
      <w:pPr>
        <w:spacing w:after="0" w:line="162"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The holders of our common stock do not have preemptive or other subscription rights and there is no sinking fund or redemption provisions applicable to our common stock.</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Private Placement Warrants and Working Capital Warrants</w:t>
      </w:r>
    </w:p>
    <w:p>
      <w:pPr>
        <w:spacing w:after="0" w:line="144"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The Private Placement Warrants (including the common stock issuable upon exercise of the Private Placement Warrants) are, pursuant to the Investor Rights Agreement, not redeemable by us so long as they are held by the Sponsor or its permitted transferees. The Sponsor, or its permitted transferees, has the option to exercise the Private Placement Warrants on a cashless basis and will be entitled to certain registration rights. The Private Placement Warrants have terms and provisions outlined below.</w:t>
      </w:r>
    </w:p>
    <w:p>
      <w:pPr>
        <w:spacing w:after="0" w:line="101" w:lineRule="exact"/>
        <w:rPr>
          <w:sz w:val="20"/>
          <w:szCs w:val="20"/>
          <w:color w:val="auto"/>
        </w:rPr>
      </w:pPr>
    </w:p>
    <w:p>
      <w:pPr>
        <w:jc w:val="both"/>
        <w:ind w:left="1260" w:right="439" w:firstLine="360"/>
        <w:spacing w:after="0" w:line="260" w:lineRule="auto"/>
        <w:rPr>
          <w:sz w:val="20"/>
          <w:szCs w:val="20"/>
          <w:color w:val="auto"/>
        </w:rPr>
      </w:pPr>
      <w:r>
        <w:rPr>
          <w:rFonts w:ascii="Arial" w:cs="Arial" w:eastAsia="Arial" w:hAnsi="Arial"/>
          <w:sz w:val="17"/>
          <w:szCs w:val="17"/>
          <w:color w:val="auto"/>
        </w:rPr>
        <w:t>If holders of the Private Placement Warrants elect to exercise them on a cashless basis, they would pay the exercise price by surrendering their warrants for that number of shares of our common stock equal to the quotient obtained by dividing (x) the product of the number of shares of common stock underlying the</w:t>
      </w:r>
    </w:p>
    <w:p>
      <w:pPr>
        <w:ind w:left="1260" w:right="419"/>
        <w:spacing w:after="0" w:line="243" w:lineRule="auto"/>
        <w:rPr>
          <w:sz w:val="20"/>
          <w:szCs w:val="20"/>
          <w:color w:val="auto"/>
        </w:rPr>
      </w:pPr>
      <w:r>
        <w:rPr>
          <w:rFonts w:ascii="Arial" w:cs="Arial" w:eastAsia="Arial" w:hAnsi="Arial"/>
          <w:sz w:val="18"/>
          <w:szCs w:val="18"/>
          <w:color w:val="auto"/>
        </w:rPr>
        <w:t>warrants, multiplied by the excess of the “fair market value” (defined​ below) over the exercise price per share of the warrants by (y) the fair market value. The “fair market value” shall mean the average closing price per share of our common stock for the ten (10) trading days ending on the third trading day prior to the date on which the notice of redemption is sent to the holders of warrants.</w:t>
      </w:r>
    </w:p>
    <w:p>
      <w:pPr>
        <w:spacing w:after="0" w:line="119"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In order to finance transaction costs in connection with an intended initial business combination, the Sponsor loaned us $1,500,000 funds pursuant to the Promissory Note. The principal amount of such Promissory Note was converted into Working Capital Warrants by the Sponsor. The Working Capital Warrants are identical to the Private Placement Warrants issued to the Sponsor.</w:t>
      </w:r>
    </w:p>
    <w:p>
      <w:pPr>
        <w:spacing w:after="0" w:line="16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Anti-Dilution Adjustments</w:t>
      </w:r>
    </w:p>
    <w:p>
      <w:pPr>
        <w:spacing w:after="0" w:line="158"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If the number of outstanding shares of our common stock is increased by a stock dividend payable in shares of our common stock, or by a split-up of shares of our common stock or other similar event, then, on the effective date of such stock dividend, split-up or similar event, the number of shares of our common stock issuable on exercise of each Private Placement Warrant will be increased in proportion to such increase in the outstanding shares of our common stock. A rights offering to holders of our common stock entitling holders to purchase shares of our common stock at a price less than the fair market value will be deemed a stock dividend of a number of shares of our common stock equal to the product of (1) the number of shares of our common stock actually sold in such rights offering (or issuable under any other equity securities sold in such rights offering that are convertible into or exercisable for our common stock) multiplied by (2) one minus the quotient of (x) the price per share of our common stock paid in such rights offering divided by (y) the fair market value. For these purposes (1) if the rights offering is for securities convertible into or exercisable for our common stock, in determining the price payable for our common stock, there will be taken into account any consideration received for such rights, as well as any additional amount payable upon exercise or conversion and (2) fair market value means the volume weighted average price per share of our common stock as reported during the ten trading day period ending on the trading day prior to the first date on which the shares of our common stock trade on the applicable exchange or in the applicable market, regular way, without the right to receive such rights.</w:t>
      </w:r>
    </w:p>
    <w:p>
      <w:pPr>
        <w:spacing w:after="0" w:line="110"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In addition, if we, at any time while the Private Placement Warrants are outstanding and unexpired, pay a dividend or make a distribution in cash, securities or other assets to the holders of our common stock on account of such shares of common stock (or other shares of our capital stock into which the warrants are convertible), other than (a) as described above and (b) certain ordinary cash dividends, then the Private Placement Warrant exercise price will be decreased, effective immediately after the effective date of such event, by the amount of cash and /or the fair market value of any securities or other assets paid on each share of our common stock in respect of such event.</w:t>
      </w:r>
    </w:p>
    <w:p>
      <w:pPr>
        <w:spacing w:after="0" w:line="127" w:lineRule="exact"/>
        <w:rPr>
          <w:sz w:val="20"/>
          <w:szCs w:val="20"/>
          <w:color w:val="auto"/>
        </w:rPr>
      </w:pPr>
    </w:p>
    <w:p>
      <w:pPr>
        <w:ind w:left="1260" w:right="439" w:firstLine="360"/>
        <w:spacing w:after="0" w:line="308" w:lineRule="auto"/>
        <w:rPr>
          <w:sz w:val="20"/>
          <w:szCs w:val="20"/>
          <w:color w:val="auto"/>
        </w:rPr>
      </w:pPr>
      <w:r>
        <w:rPr>
          <w:rFonts w:ascii="Arial" w:cs="Arial" w:eastAsia="Arial" w:hAnsi="Arial"/>
          <w:sz w:val="17"/>
          <w:szCs w:val="17"/>
          <w:color w:val="auto"/>
        </w:rPr>
        <w:t>If the number of outstanding shares of our common stock is decreased by a consolidation, combination, reverse stock split or reclassification of shares of our common stock or other similar event, then, on the</w:t>
      </w:r>
    </w:p>
    <w:p>
      <w:pPr>
        <w:sectPr>
          <w:pgSz w:w="11900" w:h="16838" w:orient="portrait"/>
          <w:cols w:equalWidth="0" w:num="1">
            <w:col w:w="9879"/>
          </w:cols>
          <w:pgMar w:left="580" w:top="90" w:right="1440" w:bottom="1440" w:gutter="0" w:footer="0" w:header="0"/>
        </w:sectPr>
      </w:pPr>
    </w:p>
    <w:p>
      <w:pPr>
        <w:spacing w:after="0" w:line="32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639"/>
        <w:spacing w:after="0" w:line="286" w:lineRule="auto"/>
        <w:rPr>
          <w:sz w:val="20"/>
          <w:szCs w:val="20"/>
          <w:color w:val="auto"/>
        </w:rPr>
      </w:pPr>
      <w:r>
        <w:rPr>
          <w:rFonts w:ascii="Arial" w:cs="Arial" w:eastAsia="Arial" w:hAnsi="Arial"/>
          <w:sz w:val="17"/>
          <w:szCs w:val="17"/>
          <w:color w:val="auto"/>
        </w:rPr>
        <w:t>effective date of such consolidation, combination, reverse stock split, reclassification or similar event, the number of shares of our common stock issuable on exercise of each Private Placement Warrant will be decreased in proportion to such decrease in outstanding shares of our common stock.</w:t>
      </w:r>
    </w:p>
    <w:p>
      <w:pPr>
        <w:spacing w:after="0" w:line="98"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Whenever the number of shares of our common stock purchasable upon the exercise of the Private Placement Warrants is adjusted, as described above, the warrant exercise price will be adjusted by multiplying the warrant exercise price immediately prior to such adjustment by a fraction (x) the numerator of which will be the number of shares of our common stock purchasable upon the exercise of the Private Placement Warrants immediately prior to such adjustment, and (y) the denominator of which will be the number of shares of our common stock so purchasable immediately thereafter.</w:t>
      </w:r>
    </w:p>
    <w:p>
      <w:pPr>
        <w:spacing w:after="0" w:line="110"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Private Placement Warrants will thereafter have the right to purchase and receive, upon the basis and upon the terms and conditions specified in the Private Placement Warrants and in lieu of the shares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Private Placement Warrants would have received if such holder had exercised their Private Placement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Private Placement Warrants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13d-5(b)(l)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our common stock, the holder of a Private Placement Warrants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our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our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Private Placement Warrants within thirty (30) days following public disclosure of such transaction, the warrant exercise price will be reduced as specified in the Warrant Agreement based on the per share consideration minus Black-Scholes Warrant Value (as defined in the Warrant Agreement) of the warrant. The purpose of such exercise price reduction is to provide additional value to holders of the Private Placement Warrants when an extraordinary transaction occurs during the exercise period of the warrants pursuant to which the holders of the warrants otherwise do not receive the full potential value of the warrants in order to determine and realize the option value component of the Private Placement Warrant. This formula is to compensate the warrant holder for the loss of the option value portion of the Private Placement Warrant due to the requirement that the warrant holder exercise the warrant within thirty (30) days of the event. The Black-Scholes model is an accepted pricing model for estimating fair market value where no quoted market price for an instrument is available.</w:t>
      </w:r>
    </w:p>
    <w:p>
      <w:pPr>
        <w:sectPr>
          <w:pgSz w:w="11900" w:h="16838" w:orient="portrait"/>
          <w:cols w:equalWidth="0" w:num="1">
            <w:col w:w="9879"/>
          </w:cols>
          <w:pgMar w:left="580" w:top="90" w:right="1440" w:bottom="1440" w:gutter="0" w:footer="0" w:header="0"/>
        </w:sectPr>
      </w:pPr>
    </w:p>
    <w:p>
      <w:pPr>
        <w:spacing w:after="0" w:line="36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7"/>
          <w:szCs w:val="17"/>
          <w:color w:val="auto"/>
        </w:rPr>
        <w:t>The Private Placement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by certified or official bank check payable to us, for the number of warrants being exercised. The warrant holders do not have the rights or privileges of holders of common stock and any voting rights until they exercise their warrants and receive shares of our common stock. After the issuance of shares of our common stock upon exercise of the Private Placement Warrants, each holder will be entitled to one vote for each share held of record on all matters to be voted on by stockholders.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Annual Stockholder Meetings</w:t>
      </w:r>
    </w:p>
    <w:p>
      <w:pPr>
        <w:spacing w:after="0" w:line="162" w:lineRule="exact"/>
        <w:rPr>
          <w:sz w:val="20"/>
          <w:szCs w:val="20"/>
          <w:color w:val="auto"/>
        </w:rPr>
      </w:pPr>
    </w:p>
    <w:p>
      <w:pPr>
        <w:ind w:left="1260" w:right="679" w:firstLine="360"/>
        <w:spacing w:after="0" w:line="248" w:lineRule="auto"/>
        <w:rPr>
          <w:sz w:val="20"/>
          <w:szCs w:val="20"/>
          <w:color w:val="auto"/>
        </w:rPr>
      </w:pPr>
      <w:r>
        <w:rPr>
          <w:rFonts w:ascii="Arial" w:cs="Arial" w:eastAsia="Arial" w:hAnsi="Arial"/>
          <w:sz w:val="18"/>
          <w:szCs w:val="18"/>
          <w:color w:val="auto"/>
        </w:rPr>
        <w:t>Our current certificate of incorporation and our current bylaws provide that annual stockholder meetings will be held at a date, time and place, if any, as exclusively selected by the Board. To the extent permitted under applicable law, we may conduct meetings by remote communications.</w:t>
      </w:r>
    </w:p>
    <w:p>
      <w:pPr>
        <w:spacing w:after="0" w:line="191" w:lineRule="exact"/>
        <w:rPr>
          <w:sz w:val="20"/>
          <w:szCs w:val="20"/>
          <w:color w:val="auto"/>
        </w:rPr>
      </w:pPr>
    </w:p>
    <w:p>
      <w:pPr>
        <w:ind w:left="1260" w:right="599"/>
        <w:spacing w:after="0" w:line="266" w:lineRule="auto"/>
        <w:rPr>
          <w:sz w:val="20"/>
          <w:szCs w:val="20"/>
          <w:color w:val="auto"/>
        </w:rPr>
      </w:pPr>
      <w:r>
        <w:rPr>
          <w:rFonts w:ascii="Arial" w:cs="Arial" w:eastAsia="Arial" w:hAnsi="Arial"/>
          <w:sz w:val="18"/>
          <w:szCs w:val="18"/>
          <w:b w:val="1"/>
          <w:bCs w:val="1"/>
          <w:color w:val="auto"/>
        </w:rPr>
        <w:t>Effects of Our Current Certificate of Incorporation, Our Current Bylaws and Certain Provisions of Delaware Law</w:t>
      </w:r>
    </w:p>
    <w:p>
      <w:pPr>
        <w:spacing w:after="0" w:line="99" w:lineRule="exact"/>
        <w:rPr>
          <w:sz w:val="20"/>
          <w:szCs w:val="20"/>
          <w:color w:val="auto"/>
        </w:rPr>
      </w:pPr>
    </w:p>
    <w:p>
      <w:pPr>
        <w:ind w:left="1260" w:right="539" w:firstLine="360"/>
        <w:spacing w:after="0" w:line="244" w:lineRule="auto"/>
        <w:rPr>
          <w:sz w:val="20"/>
          <w:szCs w:val="20"/>
          <w:color w:val="auto"/>
        </w:rPr>
      </w:pPr>
      <w:r>
        <w:rPr>
          <w:rFonts w:ascii="Arial" w:cs="Arial" w:eastAsia="Arial" w:hAnsi="Arial"/>
          <w:sz w:val="18"/>
          <w:szCs w:val="18"/>
          <w:color w:val="auto"/>
        </w:rPr>
        <w:t>Our current certificate of incorporation, our current bylaws and the DGCL contain provisions, which are summarized in the following paragraphs, that are intended to enhance the likelihood of continuity and stability in the composition of the Board. These provisions are intended to avoid costly takeover battles, reduce our vulnerability to a hostile change of control and enhance the ability of the Board to maximize stockholder value in connection with any unsolicited offer to acquire us. 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our common stock held by stockholders.</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5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our common stock. Additional shares that may be used in the future may be used for a variety of corporate purposes, including future public offerings, to raise additional capital or to facilitate acquisitions.</w:t>
      </w:r>
    </w:p>
    <w:p>
      <w:pPr>
        <w:spacing w:after="0" w:line="120"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7"/>
          <w:szCs w:val="17"/>
          <w:color w:val="auto"/>
        </w:rPr>
        <w:t>The Board may generally issue one or more series of preferred shares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103"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8"/>
          <w:szCs w:val="18"/>
          <w:color w:val="auto"/>
        </w:rPr>
        <w:t>One of the effects of the existence of authorized and unissued and unreserved common stock or preferred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58" w:lineRule="exact"/>
        <w:rPr>
          <w:sz w:val="20"/>
          <w:szCs w:val="20"/>
          <w:color w:val="auto"/>
        </w:rPr>
      </w:pPr>
    </w:p>
    <w:p>
      <w:pPr>
        <w:ind w:left="1260" w:right="639" w:firstLine="360"/>
        <w:spacing w:after="0" w:line="249" w:lineRule="auto"/>
        <w:rPr>
          <w:sz w:val="20"/>
          <w:szCs w:val="20"/>
          <w:color w:val="auto"/>
        </w:rPr>
      </w:pPr>
      <w:r>
        <w:rPr>
          <w:rFonts w:ascii="Arial" w:cs="Arial" w:eastAsia="Arial" w:hAnsi="Arial"/>
          <w:sz w:val="18"/>
          <w:szCs w:val="18"/>
          <w:color w:val="auto"/>
        </w:rPr>
        <w:t>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73" w:lineRule="exact"/>
        <w:rPr>
          <w:sz w:val="20"/>
          <w:szCs w:val="20"/>
          <w:color w:val="auto"/>
        </w:rPr>
      </w:pPr>
    </w:p>
    <w:p>
      <w:pPr>
        <w:ind w:left="1800" w:right="103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that resulted in the stockholder becoming an interested stockholder;</w:t>
      </w:r>
    </w:p>
    <w:p>
      <w:pPr>
        <w:sectPr>
          <w:pgSz w:w="11900" w:h="16838" w:orient="portrait"/>
          <w:cols w:equalWidth="0" w:num="1">
            <w:col w:w="9879"/>
          </w:cols>
          <w:pgMar w:left="580" w:top="90" w:right="1440" w:bottom="1440" w:gutter="0" w:footer="0" w:header="0"/>
        </w:sectPr>
      </w:pPr>
    </w:p>
    <w:p>
      <w:pPr>
        <w:spacing w:after="0" w:line="34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419" w:hanging="180"/>
        <w:spacing w:after="0" w:line="263"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75"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16" w:lineRule="exact"/>
        <w:rPr>
          <w:sz w:val="20"/>
          <w:szCs w:val="20"/>
          <w:color w:val="auto"/>
        </w:rPr>
      </w:pPr>
    </w:p>
    <w:p>
      <w:pPr>
        <w:jc w:val="both"/>
        <w:ind w:left="1260" w:right="439" w:firstLine="360"/>
        <w:spacing w:after="0" w:line="260"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w:t>
      </w:r>
    </w:p>
    <w:p>
      <w:pPr>
        <w:jc w:val="both"/>
        <w:ind w:left="1260" w:right="419"/>
        <w:spacing w:after="0" w:line="273" w:lineRule="auto"/>
        <w:rPr>
          <w:sz w:val="20"/>
          <w:szCs w:val="20"/>
          <w:color w:val="auto"/>
        </w:rPr>
      </w:pPr>
      <w:r>
        <w:rPr>
          <w:rFonts w:ascii="Arial" w:cs="Arial" w:eastAsia="Arial" w:hAnsi="Arial"/>
          <w:sz w:val="17"/>
          <w:szCs w:val="17"/>
          <w:color w:val="auto"/>
        </w:rPr>
        <w:t>three years owned, 15% or more of the votes of our outstanding voting stock. For purposes of this provision, “voting stock” means any class or series of stock entitled to vote generally in the election of directors.</w:t>
      </w:r>
    </w:p>
    <w:p>
      <w:pPr>
        <w:spacing w:after="0" w:line="94" w:lineRule="exact"/>
        <w:rPr>
          <w:sz w:val="20"/>
          <w:szCs w:val="20"/>
          <w:color w:val="auto"/>
        </w:rPr>
      </w:pPr>
    </w:p>
    <w:p>
      <w:pPr>
        <w:ind w:left="1260" w:right="619" w:firstLine="360"/>
        <w:spacing w:after="0" w:line="280"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This provision also may have the effect of preventing changes in our Board and may make it more difficult to accomplish transactions that stockholders may otherwise deem to be in their best interests.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58"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7"/>
          <w:szCs w:val="17"/>
          <w:color w:val="auto"/>
        </w:rPr>
        <w:t>Under the DGCL, unless otherwise provided in our current certificate of incorporation, directors serving on a board may be removed by the stockholders with or without cause. Our current certificate of incorporation provides that any director may be removed from office by the stockholders, with or without cause, by the affirmative vote of the holders of a majority of the total voting power of all outstanding securities generally entitled to vote in the election of directors, voting together as a single class. However, pursuant to the Investor Rights Agreement, Ayar has the exclusive right to (i) remove its nominees from the Board, and we are required to take all necessary action to cause the removal of any such nominee at the request of Ayar and (ii) designate directors for election or appointment, as applicable, to the Board to fill vacancies created by reason of death, removal or resignation of its nominees to the Board, and we are required to take all necessary action to nominate or cause the Board to appoint, as applicable, replacement directors designated by Ayar to fill any such vacancies created pursuant to clause (i) or (ii) above as promptly as practicable after such designation (and in any event prior to the next meeting or action of the Board or applicable committee). In addition, our current certificate of incorporation provides that, without limiting the rights of any party to the Investor Rights Agreement, vacancies on the Board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until such director’s successor shall have been duly elected and qualified or until such director’s earlier death, resignation, or removal. Our current certificate of incorporation provides that, subject to the Investor Rights Agreement, the number of directors constituting the Board can be fixed exclusively by one or more resolutions adopted from time to time solely by the affirmative vote of a majority of the Board.</w:t>
      </w:r>
    </w:p>
    <w:p>
      <w:pPr>
        <w:spacing w:after="0" w:line="38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58" w:lineRule="exact"/>
        <w:rPr>
          <w:sz w:val="20"/>
          <w:szCs w:val="20"/>
          <w:color w:val="auto"/>
        </w:rPr>
      </w:pPr>
    </w:p>
    <w:p>
      <w:pPr>
        <w:ind w:left="1260" w:right="419" w:firstLine="360"/>
        <w:spacing w:after="0" w:line="249"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current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58" w:lineRule="exact"/>
        <w:rPr>
          <w:sz w:val="20"/>
          <w:szCs w:val="20"/>
          <w:color w:val="auto"/>
        </w:rPr>
      </w:pPr>
    </w:p>
    <w:p>
      <w:pPr>
        <w:ind w:left="1260" w:right="759" w:firstLine="360"/>
        <w:spacing w:after="0" w:line="249" w:lineRule="auto"/>
        <w:rPr>
          <w:sz w:val="20"/>
          <w:szCs w:val="20"/>
          <w:color w:val="auto"/>
        </w:rPr>
      </w:pPr>
      <w:r>
        <w:rPr>
          <w:rFonts w:ascii="Arial" w:cs="Arial" w:eastAsia="Arial" w:hAnsi="Arial"/>
          <w:sz w:val="18"/>
          <w:szCs w:val="18"/>
          <w:color w:val="auto"/>
        </w:rPr>
        <w:t>Our current certificate of incorporation provides that special meetings of the stockholders may be called only by the Board acting pursuant to a resolution adopted by a majority of the Board. Our current bylaws prohibit the conduct of any business at a special meeting other than as specified in the notice for such</w:t>
      </w:r>
    </w:p>
    <w:p>
      <w:pPr>
        <w:sectPr>
          <w:pgSz w:w="11900" w:h="16838" w:orient="portrait"/>
          <w:cols w:equalWidth="0" w:num="1">
            <w:col w:w="9879"/>
          </w:cols>
          <w:pgMar w:left="580" w:top="90" w:right="1440" w:bottom="1440" w:gutter="0" w:footer="0" w:header="0"/>
        </w:sectPr>
      </w:pPr>
    </w:p>
    <w:p>
      <w:pPr>
        <w:spacing w:after="0" w:line="37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619"/>
        <w:spacing w:after="0" w:line="277" w:lineRule="auto"/>
        <w:rPr>
          <w:sz w:val="20"/>
          <w:szCs w:val="20"/>
          <w:color w:val="auto"/>
        </w:rPr>
      </w:pPr>
      <w:r>
        <w:rPr>
          <w:rFonts w:ascii="Arial" w:cs="Arial" w:eastAsia="Arial" w:hAnsi="Arial"/>
          <w:sz w:val="18"/>
          <w:szCs w:val="18"/>
          <w:color w:val="auto"/>
        </w:rPr>
        <w:t>meeting. These provisions may have the effect of deferring, delaying or discouraging hostile takeovers, or changes in control or management of the Company.</w:t>
      </w:r>
    </w:p>
    <w:p>
      <w:pPr>
        <w:spacing w:after="0" w:line="15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158" w:lineRule="exact"/>
        <w:rPr>
          <w:sz w:val="20"/>
          <w:szCs w:val="20"/>
          <w:color w:val="auto"/>
        </w:rPr>
      </w:pPr>
    </w:p>
    <w:p>
      <w:pPr>
        <w:ind w:left="1260" w:right="459" w:firstLine="360"/>
        <w:spacing w:after="0" w:line="242" w:lineRule="auto"/>
        <w:rPr>
          <w:sz w:val="20"/>
          <w:szCs w:val="20"/>
          <w:color w:val="auto"/>
        </w:rPr>
      </w:pPr>
      <w:r>
        <w:rPr>
          <w:rFonts w:ascii="Arial" w:cs="Arial" w:eastAsia="Arial" w:hAnsi="Arial"/>
          <w:sz w:val="18"/>
          <w:szCs w:val="18"/>
          <w:color w:val="auto"/>
        </w:rPr>
        <w:t>Our current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of our stockholders, a stockholder will have to comply with advance notice requirements and provide us with certain information. Generally, to be timely, a stockholder’s notice must be received by our secretary not less than 90 calendar days nor more than 120 calendar days prior to the first anniversary date of the immediately preceding annual meeting of stockholders. Our current bylaws also specify requirements as to the form and content of a stockholder’s notice. Our current bylaws allow the chairperson of the meeting at a meeting of the stockholders to adopt rules and regulations for the conduct of meetings, which may have the effect of precluding the conduct of certain business at a meeting if the rules and regulations are not followed. These provisions may also deter, delay or discourage a potential acquirer from conducting a solicitation of proxies to elect the acquirer’s own slate of directors or otherwise attempting to influence or obtain control of the Company.</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5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current certificate of incorporation provides otherwise. Our current certificate of incorporation precludes stockholder action by written consent at any time when Ayar and its permitted transferees beneficially own, in the aggregate, less than 50% in voting power of the stock of the Company entitled to vote generally in the election of directors, other than certain rights that holders of our preferred stock may have to act by written consent.</w:t>
      </w:r>
    </w:p>
    <w:p>
      <w:pPr>
        <w:spacing w:after="0" w:line="18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Dissenters’ Rights of Appraisal and Payment</w:t>
      </w:r>
    </w:p>
    <w:p>
      <w:pPr>
        <w:spacing w:after="0" w:line="144"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Stockholders’ Derivative Actions</w:t>
      </w:r>
    </w:p>
    <w:p>
      <w:pPr>
        <w:spacing w:after="0" w:line="144" w:lineRule="exact"/>
        <w:rPr>
          <w:sz w:val="20"/>
          <w:szCs w:val="20"/>
          <w:color w:val="auto"/>
        </w:rPr>
      </w:pPr>
    </w:p>
    <w:p>
      <w:pPr>
        <w:ind w:left="1260" w:right="499" w:firstLine="360"/>
        <w:spacing w:after="0" w:line="24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incident to which the action relates or such stockholder’s stock thereafter devolved by operation of law.</w:t>
      </w:r>
    </w:p>
    <w:p>
      <w:pPr>
        <w:spacing w:after="0" w:line="19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Exclusive Forum</w:t>
      </w:r>
    </w:p>
    <w:p>
      <w:pPr>
        <w:spacing w:after="0" w:line="144"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7"/>
          <w:szCs w:val="17"/>
          <w:color w:val="auto"/>
        </w:rPr>
        <w:t>Our current bylaws provide that unless the Company consents in writing to the selection of an alternative forum, the sole and exclusive forum for (i) any derivative action or proceeding brought on behalf of the Company, (ii) any action asserting a claim of breach of a fiduciary duty owed by any director or officer or other employee of the Company to the Company or the Company’s stockholders, (iii) any action asserting a claim against the Company or any director or officer or other employee of the Company arising pursuant to any provision of Delaware law or our current certificate of incorporation or our current bylaws (in each case, as they may be amended from time to time), or (iv) any action asserting a claim against the Company or any director or officer or other employee of the Company governed by the internal affairs doctrine shall be a state court located within the State of Delaware (or, if no state court located within the State of Delaware has jurisdiction, the federal district court for the District of Delaware), in all cases</w:t>
      </w:r>
    </w:p>
    <w:p>
      <w:pPr>
        <w:spacing w:after="0" w:line="36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subject to the court’s having personal jurisdiction over the indispensable parties named as defendants. These provisions do not apply to claims arising under the Securities Act, the Exchange Act, or other federal securities laws for which there is exclusive federal or concurrent federal and state jurisdiction. Unless the Company consents in writing to the selection of an alternative forum, the federal district courts of the United States of America shall be the exclusive forum for the resolution of any complaint asserting a cause of action arising under the Securities Act. Any person or entity purchasing or otherwise acquiring any interest in shares of capital stock of the Company shall be deemed to have notice of and consented to the forum provisions in our current bylaws. However, it is possible that a court could find our forum selection provisions to be inapplicable or unenforceable.</w:t>
      </w:r>
    </w:p>
    <w:p>
      <w:pPr>
        <w:spacing w:after="0" w:line="19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Limitation on Liability and Indemnification of Directors and Officers</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Company’s current certificate of incorporation provides for this limitation of liability.</w:t>
      </w:r>
    </w:p>
    <w:p>
      <w:pPr>
        <w:spacing w:after="0" w:line="127"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 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104"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25"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The Company’s current certificate of incorporation provides that we must indemnify and advance expenses to our directors and officers to the full extent authorized by the DGCL.</w:t>
      </w:r>
    </w:p>
    <w:p>
      <w:pPr>
        <w:spacing w:after="0" w:line="103"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We have entered into indemnification agreements with each of our directors and executive officers, and certain other officers. Such agreements may require us, among other things, to advance expenses and otherwise indemnify our officers and directors against certain liabilities that may arise by reason of their status or service as officers or directors, to the fullest extent permitted by law. We intend to enter into indemnification agreements with any new directors and executive officers, and certain other officers, in the future.</w:t>
      </w:r>
    </w:p>
    <w:p>
      <w:pPr>
        <w:sectPr>
          <w:pgSz w:w="11900" w:h="16838" w:orient="portrait"/>
          <w:cols w:equalWidth="0" w:num="1">
            <w:col w:w="9879"/>
          </w:cols>
          <w:pgMar w:left="580" w:top="90" w:right="1440" w:bottom="1440" w:gutter="0" w:footer="0" w:header="0"/>
        </w:sectPr>
      </w:pPr>
    </w:p>
    <w:p>
      <w:pPr>
        <w:spacing w:after="0" w:line="36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w:t>
      </w:r>
    </w:p>
    <w:p>
      <w:pPr>
        <w:spacing w:after="0" w:line="127"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Company maintains and expect to maintain standard policies of insurance that provide coverage</w:t>
      </w:r>
    </w:p>
    <w:p>
      <w:pPr>
        <w:spacing w:after="0" w:line="35" w:lineRule="exact"/>
        <w:rPr>
          <w:sz w:val="20"/>
          <w:szCs w:val="20"/>
          <w:color w:val="auto"/>
        </w:rPr>
      </w:pPr>
    </w:p>
    <w:p>
      <w:pPr>
        <w:ind w:left="1260" w:right="459"/>
        <w:spacing w:after="0" w:line="255" w:lineRule="auto"/>
        <w:tabs>
          <w:tab w:leader="none" w:pos="152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its directors and officers against loss rising from claims made by reason of breach of duty or other wrongful act and (2) to the Company with respect to indemnification payments that the Company may make to such directors and officers.</w:t>
      </w:r>
    </w:p>
    <w:p>
      <w:pPr>
        <w:spacing w:after="0" w:line="109"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w:t>
      </w:r>
    </w:p>
    <w:p>
      <w:pPr>
        <w:spacing w:after="0" w:line="125"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The Company believes that these provisions, the insurance and the indemnity agreements are necessary to attract and retain talented and experienced officers and directors.</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Our Transfer Agent and Warrant Agent</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transfer agent for our common stock and warrant agent for our warrants is Equiniti Trust Company.</w:t>
      </w:r>
    </w:p>
    <w:p>
      <w:pPr>
        <w:spacing w:after="0" w:line="156" w:lineRule="exact"/>
        <w:rPr>
          <w:sz w:val="20"/>
          <w:szCs w:val="20"/>
          <w:color w:val="auto"/>
        </w:rPr>
      </w:pPr>
    </w:p>
    <w:p>
      <w:pPr>
        <w:ind w:left="1260" w:right="599" w:firstLine="360"/>
        <w:spacing w:after="0" w:line="257" w:lineRule="auto"/>
        <w:rPr>
          <w:sz w:val="20"/>
          <w:szCs w:val="20"/>
          <w:color w:val="auto"/>
        </w:rPr>
      </w:pPr>
      <w:r>
        <w:rPr>
          <w:rFonts w:ascii="Arial" w:cs="Arial" w:eastAsia="Arial" w:hAnsi="Arial"/>
          <w:sz w:val="18"/>
          <w:szCs w:val="18"/>
          <w:color w:val="auto"/>
        </w:rPr>
        <w:t>We have agreed to indemnify Equiniti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7" w:name="page58"/>
    <w:bookmarkEnd w:id="5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DESCRIPTION OF DEBT SECURITIES</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Arial" w:cs="Arial" w:eastAsia="Arial" w:hAnsi="Arial"/>
          <w:sz w:val="18"/>
          <w:szCs w:val="18"/>
          <w:i w:val="1"/>
          <w:iCs w:val="1"/>
          <w:color w:val="auto"/>
        </w:rPr>
        <w:t>The following description of debt securities does not purport to be complete and is subject to and qualified in its entirety by reference to the indenture, a form of which has been filed with the SEC as an exhibit to the registration statement of which this prospectus is a part. Any future supplemental indenture or similar document will also be so filed. You should read the indenture and any supplemental indenture or similar document because they, and not this summary, define your rights as a holder of our debt securities. All capitalized terms have the meanings specified in the indenture.</w:t>
      </w:r>
    </w:p>
    <w:p>
      <w:pPr>
        <w:spacing w:after="0" w:line="118" w:lineRule="exact"/>
        <w:rPr>
          <w:sz w:val="20"/>
          <w:szCs w:val="20"/>
          <w:color w:val="auto"/>
        </w:rPr>
      </w:pPr>
    </w:p>
    <w:p>
      <w:pPr>
        <w:ind w:left="1260" w:right="619" w:firstLine="360"/>
        <w:spacing w:after="0" w:line="283" w:lineRule="auto"/>
        <w:rPr>
          <w:sz w:val="20"/>
          <w:szCs w:val="20"/>
          <w:color w:val="auto"/>
        </w:rPr>
      </w:pPr>
      <w:r>
        <w:rPr>
          <w:rFonts w:ascii="Arial" w:cs="Arial" w:eastAsia="Arial" w:hAnsi="Arial"/>
          <w:sz w:val="16"/>
          <w:szCs w:val="16"/>
          <w:color w:val="auto"/>
        </w:rPr>
        <w:t>As used in this prospectus, debt securities means the debentures, notes, bonds and other evidences of indebtedness that we may issue separately or upon exercise of a debt warrant from time to time. The debt securities may either be senior debt securities or subordinated debt securities. The debt securities we offer will be issued under an indenture between us and a trustee to be named therein. Debt securities, whether senior or subordinated, may be issued as convertible debt securities or exchangeable debt securities.</w:t>
      </w:r>
    </w:p>
    <w:p>
      <w:pPr>
        <w:spacing w:after="0" w:line="90" w:lineRule="exact"/>
        <w:rPr>
          <w:sz w:val="20"/>
          <w:szCs w:val="20"/>
          <w:color w:val="auto"/>
        </w:rPr>
      </w:pPr>
    </w:p>
    <w:p>
      <w:pPr>
        <w:ind w:left="1260" w:right="839" w:firstLine="360"/>
        <w:spacing w:after="0" w:line="261" w:lineRule="auto"/>
        <w:rPr>
          <w:sz w:val="20"/>
          <w:szCs w:val="20"/>
          <w:color w:val="auto"/>
        </w:rPr>
      </w:pPr>
      <w:r>
        <w:rPr>
          <w:rFonts w:ascii="Arial" w:cs="Arial" w:eastAsia="Arial" w:hAnsi="Arial"/>
          <w:sz w:val="18"/>
          <w:szCs w:val="18"/>
          <w:color w:val="auto"/>
        </w:rPr>
        <w:t>As used in this “Description of Debt Securities,” the terms “Lucid,” “we,” “our,” and “us” refer to Lucid Group, Inc. and do not, unless otherwise specified, include our subsidiaries.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 Terms of the Indenture</w:t>
      </w:r>
    </w:p>
    <w:p>
      <w:pPr>
        <w:spacing w:after="0" w:line="148"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The debt securities will be our direct unsecured obligations. The senior debt securities will rank equally with all of our other senior unsecured and unsubordinated debt. The subordinated debt securities will be subordinate and junior in right of payment to all of our present and future senior indebtedness to the extent and in the manner described in the prospectus supplement and as set forth in the supplemental indenture, board resolution or officers’ certificate relating to such offering.</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The indenture does not limit the amount of debt securities that we may issue. It provides that we may issue debt securities up to the principal amount that we may authorize and may be in any currency or currency unit designated by us. Except for the limitations on consolidation, merger and sale of all or substantially all of our assets contained in the indenture, the terms of the indenture do not contain any covenants or other provisions designed to afford holders of any debt securities protection with respect to our operations, financial condition or transactions involving us.</w:t>
      </w:r>
    </w:p>
    <w:p>
      <w:pPr>
        <w:spacing w:after="0" w:line="120"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7"/>
          <w:szCs w:val="17"/>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U.S. federal income tax purposes, be treated as if they were issued with “original issue discount,” because of interest payment and other characteristics. Special U.S. federal income tax considerations applicable to debt securities issued with original issue discount will be described in more detail in any applicable prospectus supplement.</w:t>
      </w:r>
    </w:p>
    <w:p>
      <w:pPr>
        <w:spacing w:after="0" w:line="105"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color w:val="auto"/>
        </w:rPr>
        <w:t>The applicable prospectus supplement for a series of debt securities that we issue will describe, among other things, the following terms of the offered debt securities:</w:t>
      </w:r>
    </w:p>
    <w:p>
      <w:pPr>
        <w:spacing w:after="0" w:line="63" w:lineRule="exact"/>
        <w:rPr>
          <w:sz w:val="20"/>
          <w:szCs w:val="20"/>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title;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aggregate principal amount;</w:t>
      </w:r>
    </w:p>
    <w:p>
      <w:pPr>
        <w:spacing w:after="0" w:line="90"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issued in fully registered form without coupons or in a form registered as to principal only with coupons;</w:t>
      </w:r>
    </w:p>
    <w:p>
      <w:pPr>
        <w:spacing w:after="0" w:line="48" w:lineRule="exact"/>
        <w:rPr>
          <w:rFonts w:ascii="Arial" w:cs="Arial" w:eastAsia="Arial" w:hAnsi="Arial"/>
          <w:sz w:val="18"/>
          <w:szCs w:val="18"/>
          <w:color w:val="auto"/>
        </w:rPr>
      </w:pPr>
    </w:p>
    <w:p>
      <w:pPr>
        <w:ind w:left="1800" w:right="99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issued in the form of one or more global securities and whether all or a portion of the principal amount of the debt securities is represented thereby;</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price or prices at which the debt securities will be issued;</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or dates on which principal is payable;</w:t>
      </w:r>
    </w:p>
    <w:p>
      <w:pPr>
        <w:spacing w:after="0" w:line="103"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place or places where and the manner in which principal, premium or interest will be payable and the place or places where the debt securities may be presented for transfer and, if applicable, conversion or exchange;</w:t>
      </w:r>
    </w:p>
    <w:p>
      <w:pPr>
        <w:spacing w:after="0" w:line="62" w:lineRule="exact"/>
        <w:rPr>
          <w:rFonts w:ascii="Arial" w:cs="Arial" w:eastAsia="Arial" w:hAnsi="Arial"/>
          <w:sz w:val="18"/>
          <w:szCs w:val="18"/>
          <w:color w:val="auto"/>
        </w:rPr>
      </w:pPr>
    </w:p>
    <w:p>
      <w:pPr>
        <w:ind w:left="1800" w:right="73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rates, and the dates from which interest, if any, will accrue, and the dates when interest is payable;</w:t>
      </w:r>
    </w:p>
    <w:p>
      <w:pPr>
        <w:sectPr>
          <w:pgSz w:w="11900" w:h="16838" w:orient="portrait"/>
          <w:cols w:equalWidth="0" w:num="1">
            <w:col w:w="9879"/>
          </w:cols>
          <w:pgMar w:left="580" w:top="90" w:right="1440" w:bottom="1440" w:gutter="0" w:footer="0" w:header="0"/>
        </w:sectPr>
      </w:pPr>
    </w:p>
    <w:p>
      <w:pPr>
        <w:spacing w:after="0" w:line="34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the extensions;</w:t>
      </w:r>
    </w:p>
    <w:p>
      <w:pPr>
        <w:spacing w:after="0" w:line="117"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rights or obligations to redeem or purchase the debt securities, including sinking fund or partial redemption payments;</w:t>
      </w:r>
    </w:p>
    <w:p>
      <w:pPr>
        <w:spacing w:after="0" w:line="62"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conversion or exchange provisions, if any, including conversion or exchange prices or rates and adjustments thereto;</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currency or currencies of payment of principal or interest;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terms applicable to any debt securities issued at a discount from their stated principal amount;</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terms, if any, pursuant to which any debt securities will be subordinate to any of our other debt;</w:t>
      </w:r>
    </w:p>
    <w:p>
      <w:pPr>
        <w:spacing w:after="0" w:line="115" w:lineRule="exact"/>
        <w:rPr>
          <w:rFonts w:ascii="Arial" w:cs="Arial" w:eastAsia="Arial" w:hAnsi="Arial"/>
          <w:sz w:val="17"/>
          <w:szCs w:val="17"/>
          <w:color w:val="auto"/>
        </w:rPr>
      </w:pPr>
    </w:p>
    <w:p>
      <w:pPr>
        <w:ind w:left="1800" w:right="659" w:hanging="180"/>
        <w:spacing w:after="0" w:line="259"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78" w:lineRule="exact"/>
        <w:rPr>
          <w:rFonts w:ascii="Arial" w:cs="Arial" w:eastAsia="Arial" w:hAnsi="Arial"/>
          <w:sz w:val="18"/>
          <w:szCs w:val="18"/>
          <w:color w:val="auto"/>
        </w:rPr>
      </w:pPr>
    </w:p>
    <w:p>
      <w:pPr>
        <w:ind w:left="1800" w:right="699" w:hanging="180"/>
        <w:spacing w:after="0" w:line="308" w:lineRule="auto"/>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if other than the entire principal amount of the debt securities when issued, the portion of the principal amount payable upon acceleration of maturity as a result of a default on our obligations;</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provisions for the remarketing of the debt securities;</w:t>
      </w:r>
    </w:p>
    <w:p>
      <w:pPr>
        <w:spacing w:after="0" w:line="117"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applicable, covenants affording holders of debt protection with respect to our operations, financial condition or transactions involving us;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specific terms of any debt securities.</w:t>
      </w:r>
    </w:p>
    <w:p>
      <w:pPr>
        <w:spacing w:after="0" w:line="158" w:lineRule="exact"/>
        <w:rPr>
          <w:sz w:val="20"/>
          <w:szCs w:val="20"/>
          <w:color w:val="auto"/>
        </w:rPr>
      </w:pPr>
    </w:p>
    <w:p>
      <w:pPr>
        <w:jc w:val="both"/>
        <w:ind w:left="1260" w:right="559" w:firstLine="360"/>
        <w:spacing w:after="0" w:line="263" w:lineRule="auto"/>
        <w:rPr>
          <w:sz w:val="20"/>
          <w:szCs w:val="20"/>
          <w:color w:val="auto"/>
        </w:rPr>
      </w:pPr>
      <w:r>
        <w:rPr>
          <w:rFonts w:ascii="Arial" w:cs="Arial" w:eastAsia="Arial" w:hAnsi="Arial"/>
          <w:sz w:val="18"/>
          <w:szCs w:val="18"/>
          <w:color w:val="auto"/>
        </w:rPr>
        <w:t>The applicable prospectus supplement will set forth certain U.S. federal income tax considerations for holders of any debt securities and the securities exchange or quotation system on which any debt securities are listed or quoted, if any.</w:t>
      </w:r>
    </w:p>
    <w:p>
      <w:pPr>
        <w:spacing w:after="0" w:line="116"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Debt securities issued by us will be structurally subordinated to all indebtedness and other liabilities of our subsidiaries.</w:t>
      </w:r>
    </w:p>
    <w:p>
      <w:pPr>
        <w:spacing w:after="0" w:line="89" w:lineRule="exact"/>
        <w:rPr>
          <w:sz w:val="20"/>
          <w:szCs w:val="20"/>
          <w:color w:val="auto"/>
        </w:rPr>
      </w:pPr>
    </w:p>
    <w:p>
      <w:pPr>
        <w:jc w:val="both"/>
        <w:ind w:left="1260" w:right="799" w:firstLine="360"/>
        <w:spacing w:after="0" w:line="342" w:lineRule="auto"/>
        <w:rPr>
          <w:sz w:val="20"/>
          <w:szCs w:val="20"/>
          <w:color w:val="auto"/>
        </w:rPr>
      </w:pPr>
      <w:r>
        <w:rPr>
          <w:rFonts w:ascii="Arial" w:cs="Arial" w:eastAsia="Arial" w:hAnsi="Arial"/>
          <w:sz w:val="16"/>
          <w:szCs w:val="16"/>
          <w:color w:val="auto"/>
        </w:rPr>
        <w:t>Unless otherwise provided in the applicable prospectus supplement, all securities of any one series need not be issued at the same time and may be issued from time to time without consent of any holder.</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Subordination</w:t>
      </w:r>
    </w:p>
    <w:p>
      <w:pPr>
        <w:spacing w:after="0" w:line="162"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The prospectus supplement relating to any offering of subordinated debt securities will describe the specific subordination provisions, including the extent of subordination of payments by us of the principal of, premium, if any, and interest on such subordinated debt securities.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Conversion or Exchange Rights</w:t>
      </w:r>
    </w:p>
    <w:p>
      <w:pPr>
        <w:spacing w:after="0" w:line="162"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Debt securities may be convertible into or exchangeable for our other securities or property. The terms and conditions of conversion or exchange will be set forth in the applicable prospectus supplement. The terms will include, among others, the following:</w:t>
      </w:r>
    </w:p>
    <w:p>
      <w:pPr>
        <w:spacing w:after="0" w:line="76" w:lineRule="exact"/>
        <w:rPr>
          <w:sz w:val="20"/>
          <w:szCs w:val="20"/>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provisions regarding the ability of us or the holder to convert or exchange the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provisions affecting conversion or exchange in the event of our redemption of the debt securities.</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Consolidation, Merger or Sale</w:t>
      </w:r>
    </w:p>
    <w:p>
      <w:pPr>
        <w:spacing w:after="0" w:line="148" w:lineRule="exact"/>
        <w:rPr>
          <w:sz w:val="20"/>
          <w:szCs w:val="20"/>
          <w:color w:val="auto"/>
        </w:rPr>
      </w:pPr>
    </w:p>
    <w:p>
      <w:pPr>
        <w:ind w:left="1260" w:right="739" w:firstLine="360"/>
        <w:spacing w:after="0" w:line="342" w:lineRule="auto"/>
        <w:rPr>
          <w:sz w:val="20"/>
          <w:szCs w:val="20"/>
          <w:color w:val="auto"/>
        </w:rPr>
      </w:pPr>
      <w:r>
        <w:rPr>
          <w:rFonts w:ascii="Arial" w:cs="Arial" w:eastAsia="Arial" w:hAnsi="Arial"/>
          <w:sz w:val="16"/>
          <w:szCs w:val="16"/>
          <w:color w:val="auto"/>
        </w:rPr>
        <w:t>We cannot consolidate with or merge into, or convey, transfer or lease all or substantially all of our properties and assets to, any person unless (1) we will be the continuing corporation or (2) the successor</w:t>
      </w:r>
    </w:p>
    <w:p>
      <w:pPr>
        <w:sectPr>
          <w:pgSz w:w="11900" w:h="16838" w:orient="portrait"/>
          <w:cols w:equalWidth="0" w:num="1">
            <w:col w:w="9879"/>
          </w:cols>
          <w:pgMar w:left="580" w:top="90" w:right="1440" w:bottom="1440" w:gutter="0" w:footer="0" w:header="0"/>
        </w:sectPr>
      </w:pPr>
    </w:p>
    <w:p>
      <w:pPr>
        <w:spacing w:after="0" w:line="31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59"/>
        <w:spacing w:after="0" w:line="272" w:lineRule="auto"/>
        <w:rPr>
          <w:sz w:val="20"/>
          <w:szCs w:val="20"/>
          <w:color w:val="auto"/>
        </w:rPr>
      </w:pPr>
      <w:r>
        <w:rPr>
          <w:rFonts w:ascii="Arial" w:cs="Arial" w:eastAsia="Arial" w:hAnsi="Arial"/>
          <w:sz w:val="17"/>
          <w:szCs w:val="17"/>
          <w:color w:val="auto"/>
        </w:rPr>
        <w:t>corporation or person to which our assets are conveyed, transferred or leased is a corporation, partnership, trust or other entity that expressly assumes our obligations on the debt securities and under the indenture. In addition, we cannot effect such a transaction unless immediately after giving effect to such transaction, no default or event of default under the indenture shall have occurred and be continuing. Subject to certain exceptions, when the person to whom our assets are transferred or leased has assumed our obligations under the debt securities and the indenture, we shall be discharged from all our obligations under the debt securities and the indenture, except in limited circumstances.</w:t>
      </w:r>
    </w:p>
    <w:p>
      <w:pPr>
        <w:spacing w:after="0" w:line="110"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This covenant would not apply to any recapitalization transaction, a change of control of us or a highly leveraged transaction, unless the transaction or change of control were structured to include a merger or consolidation or transfer or lease of all or substantially all of our assets.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Events of Default</w:t>
      </w:r>
    </w:p>
    <w:p>
      <w:pPr>
        <w:spacing w:after="0" w:line="162"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Unless otherwise indicated, the term “Event of Default,” when used in the indenture, means any of the following:</w:t>
      </w:r>
    </w:p>
    <w:p>
      <w:pPr>
        <w:spacing w:after="0" w:line="62" w:lineRule="exact"/>
        <w:rPr>
          <w:sz w:val="20"/>
          <w:szCs w:val="20"/>
          <w:color w:val="auto"/>
        </w:rPr>
      </w:pPr>
    </w:p>
    <w:p>
      <w:pPr>
        <w:ind w:left="1800" w:right="559" w:hanging="180"/>
        <w:spacing w:after="0" w:line="263"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pay interest for 30 days after the date payment is due and payable; provided that, an extension of an interest payment period in accordance with the terms of the debt securities shall not constitute a failure to pay interest;</w:t>
      </w:r>
    </w:p>
    <w:p>
      <w:pPr>
        <w:spacing w:after="0" w:line="75"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pay principal or premium, if any, on any debt security when due, either at maturity, upon any redemption, by declaration or otherwise;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make sinking fund payments when due;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perform any other covenant for 90 days after notice that performance was required;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events relating to bankruptcy, insolvency or reorganization; or</w:t>
      </w:r>
    </w:p>
    <w:p>
      <w:pPr>
        <w:spacing w:after="0" w:line="117" w:lineRule="exact"/>
        <w:rPr>
          <w:rFonts w:ascii="Arial" w:cs="Arial" w:eastAsia="Arial" w:hAnsi="Arial"/>
          <w:sz w:val="18"/>
          <w:szCs w:val="18"/>
          <w:color w:val="auto"/>
        </w:rPr>
      </w:pPr>
    </w:p>
    <w:p>
      <w:pPr>
        <w:ind w:left="1800" w:right="859" w:hanging="180"/>
        <w:spacing w:after="0" w:line="308" w:lineRule="auto"/>
        <w:tabs>
          <w:tab w:leader="none" w:pos="1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other Event of Default provided in the applicable resolution of our board of directors or the officers’ certificate or supplemental indenture under which we issue series of debt securities.</w:t>
      </w:r>
    </w:p>
    <w:p>
      <w:pPr>
        <w:spacing w:after="0" w:line="79"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 If an Event of Default relating to the payment of interest, principal or any sinking fund installment involving any series of debt securities has occurred and is continuing, the trustee or the holders of not less than 25% in aggregate principal amount of the debt securities of each affected series may declare the entire principal of all the debt securities of that series to be due and payable immediately.</w:t>
      </w:r>
    </w:p>
    <w:p>
      <w:pPr>
        <w:spacing w:after="0" w:line="125"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If an Event of Default relating to the performance of other covenants has occurred and is continuing for a period of 90 days after notice of such, or involves all of the series of senior debt securities, then the trustee or the holders of not less than 25% in aggregate principal amount of all of the series of senior debt securities may declare the entire principal amount of all of the series of senior debt securities due and payable immediately.</w:t>
      </w:r>
    </w:p>
    <w:p>
      <w:pPr>
        <w:spacing w:after="0" w:line="107"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Similarly, if an Event of Default relating to the performance of other covenants has occurred and is continuing for a period of 90 days after notice of such, or involves all of the series of subordinated debt securities, then the trustee or the holders of not less than 25% in aggregate principal amount of all of the series of subordinated debt securities may declare the entire principal amount of all of the series of subordinated debt securities due and payable immediately.</w:t>
      </w:r>
    </w:p>
    <w:p>
      <w:pPr>
        <w:spacing w:after="0" w:line="120"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If, however, the Event of Default relating to the performance of other covenants or any other Event of Default that has occurred and is continuing is for less than all of the series of senior debt securities or subordinated debt securities, as the case may be, then, the trustee or the holders of not less than 25% in aggregate principal amount of each affected series of the senior debt securities or the subordinated debt securities, as the case may be, may declare the entire principal amount of all debt securities of such affected series due and payable immediately. The holders of not less than a majority in aggregate principal amount of the debt securities of a series may, after satisfying conditions, rescind and annul any of the above-described declarations and consequences involving the series.</w:t>
      </w:r>
    </w:p>
    <w:p>
      <w:pPr>
        <w:sectPr>
          <w:pgSz w:w="11900" w:h="16838" w:orient="portrait"/>
          <w:cols w:equalWidth="0" w:num="1">
            <w:col w:w="9879"/>
          </w:cols>
          <w:pgMar w:left="580" w:top="90" w:right="1440" w:bottom="1440" w:gutter="0" w:footer="0" w:header="0"/>
        </w:sectPr>
      </w:pPr>
    </w:p>
    <w:p>
      <w:pPr>
        <w:spacing w:after="0" w:line="36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If an Event of Default relating to events in bankruptcy, insolvency or reorganization occurs and is continuing, then the principal amount of all of the debt securities outstanding, and any accrued interest, will automatically become due and payable immediately, without any declaration or other act by the trustee or any holder.</w:t>
      </w:r>
    </w:p>
    <w:p>
      <w:pPr>
        <w:spacing w:after="0" w:line="119"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indenture provides that the trustee shall within 90 days after the occurrence of default (or 30 days after it is known by the trustee) with respect to a particular series of debt securities, give the holders of the debt securities of such series notice of such default known to it; provided that, except in the case of a default or Event of Default in payment of the principal, premium, if any, of, or interest on, any debt security of such series or in the payment of any redemption obligation, the trustee may withhold the notice if, and so long as, it in good faith determines that withholding the notice is in the interests of the holders of debt securities of that series.</w:t>
      </w:r>
    </w:p>
    <w:p>
      <w:pPr>
        <w:spacing w:after="0" w:line="127"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The indenture imposes limitations on suits brought by holders of debt securities against us. Except as provided below, no holder of debt securities of any series may institute any action against us under the indenture unless:</w:t>
      </w:r>
    </w:p>
    <w:p>
      <w:pPr>
        <w:spacing w:after="0" w:line="76" w:lineRule="exact"/>
        <w:rPr>
          <w:sz w:val="20"/>
          <w:szCs w:val="20"/>
          <w:color w:val="auto"/>
        </w:rPr>
      </w:pPr>
    </w:p>
    <w:p>
      <w:pPr>
        <w:ind w:left="1800" w:right="99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default and continuance of that default;</w:t>
      </w:r>
    </w:p>
    <w:p>
      <w:pPr>
        <w:spacing w:after="0" w:line="62"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the affected series have requested that the trustee institute the action;</w:t>
      </w:r>
    </w:p>
    <w:p>
      <w:pPr>
        <w:spacing w:after="0" w:line="62"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requesting holders have offered the trustee reasonable security or indemnity satisfactory to it for expenses and liabilities that may be incurred by bringing the action;</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the request; and</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trustee has not received inconsistent direction by the holders of a majority in principal amount of the outstanding debt securities of the series.</w:t>
      </w:r>
    </w:p>
    <w:p>
      <w:pPr>
        <w:spacing w:after="0" w:line="103"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Notwithstanding the foregoing, each holder of debt securities of any series has the right, which is absolute and unconditional, to receive payment of the principal of and premium and interest, if any, on such debt securities when due and to institute suit for the enforcement of any such payment, and such rights may not be impaired without the consent of that holder of debt securities.</w:t>
      </w:r>
    </w:p>
    <w:p>
      <w:pPr>
        <w:spacing w:after="0" w:line="106" w:lineRule="exact"/>
        <w:rPr>
          <w:sz w:val="20"/>
          <w:szCs w:val="20"/>
          <w:color w:val="auto"/>
        </w:rPr>
      </w:pPr>
    </w:p>
    <w:p>
      <w:pPr>
        <w:jc w:val="both"/>
        <w:ind w:left="1260" w:right="559" w:firstLine="360"/>
        <w:spacing w:after="0" w:line="263" w:lineRule="auto"/>
        <w:rPr>
          <w:sz w:val="20"/>
          <w:szCs w:val="20"/>
          <w:color w:val="auto"/>
        </w:rPr>
      </w:pPr>
      <w:r>
        <w:rPr>
          <w:rFonts w:ascii="Arial" w:cs="Arial" w:eastAsia="Arial" w:hAnsi="Arial"/>
          <w:sz w:val="18"/>
          <w:szCs w:val="18"/>
          <w:color w:val="auto"/>
        </w:rPr>
        <w:t>We will be required to file annually with the trustee a certificate, signed by one of our officers, stating whether or not the officer knows of any default by us in compliance with any condition or covenant of the indenture.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Registered Global Securities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We may issue the debt securities of a series in whole or in part in the form of one or more fully registered global securities that we will deposit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w:t>
      </w:r>
    </w:p>
    <w:p>
      <w:pPr>
        <w:spacing w:after="0" w:line="125" w:lineRule="exact"/>
        <w:rPr>
          <w:sz w:val="20"/>
          <w:szCs w:val="20"/>
          <w:color w:val="auto"/>
        </w:rPr>
      </w:pPr>
    </w:p>
    <w:p>
      <w:pPr>
        <w:ind w:left="1260" w:right="639" w:firstLine="360"/>
        <w:spacing w:after="0" w:line="277" w:lineRule="auto"/>
        <w:rPr>
          <w:sz w:val="20"/>
          <w:szCs w:val="20"/>
          <w:color w:val="auto"/>
        </w:rPr>
      </w:pPr>
      <w:r>
        <w:rPr>
          <w:rFonts w:ascii="Arial" w:cs="Arial" w:eastAsia="Arial" w:hAnsi="Arial"/>
          <w:sz w:val="18"/>
          <w:szCs w:val="18"/>
          <w:color w:val="auto"/>
        </w:rPr>
        <w:t>Unless and until it is exchanged in whole or in part for debt securities in definitive registered form, a registered global security may not be transferred except as a whole:</w:t>
      </w:r>
    </w:p>
    <w:p>
      <w:pPr>
        <w:spacing w:after="0" w:line="62" w:lineRule="exact"/>
        <w:rPr>
          <w:sz w:val="20"/>
          <w:szCs w:val="20"/>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by the depositary for such registered global security to its nominee;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by a nominee of the depositary to the depositary or another nominee of the depositary;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by the depositary or its nominee to a successor of the depositary or a nominee of the successor.</w:t>
      </w:r>
    </w:p>
    <w:p>
      <w:pPr>
        <w:spacing w:after="0" w:line="158"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The prospectus supplement relating to a series of debt securities will describe the specific terms of the depositary arrangement with respect to any portion of such series represented by a registered global security. We anticipate that the following provisions will apply to all depositary arrangements for debt securities:</w:t>
      </w:r>
    </w:p>
    <w:p>
      <w:pPr>
        <w:sectPr>
          <w:pgSz w:w="11900" w:h="16838" w:orient="portrait"/>
          <w:cols w:equalWidth="0" w:num="1">
            <w:col w:w="9879"/>
          </w:cols>
          <w:pgMar w:left="580" w:top="90" w:right="1440" w:bottom="1440" w:gutter="0" w:footer="0" w:header="0"/>
        </w:sectPr>
      </w:pPr>
    </w:p>
    <w:p>
      <w:pPr>
        <w:spacing w:after="0" w:line="36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619" w:hanging="180"/>
        <w:spacing w:after="0" w:line="263"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ownership of beneficial interests in a registered global security will be limited to persons that have accounts with the depositary for the registered global security, those persons being referred to as “participants,” or persons that may hold interests through participants;</w:t>
      </w:r>
    </w:p>
    <w:p>
      <w:pPr>
        <w:spacing w:after="0" w:line="75" w:lineRule="exact"/>
        <w:rPr>
          <w:rFonts w:ascii="Arial" w:cs="Arial" w:eastAsia="Arial" w:hAnsi="Arial"/>
          <w:sz w:val="18"/>
          <w:szCs w:val="18"/>
          <w:color w:val="auto"/>
        </w:rPr>
      </w:pPr>
    </w:p>
    <w:p>
      <w:pPr>
        <w:ind w:left="1800" w:right="439" w:hanging="180"/>
        <w:spacing w:after="0" w:line="259"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p>
      <w:pPr>
        <w:spacing w:after="0" w:line="92" w:lineRule="exact"/>
        <w:rPr>
          <w:rFonts w:ascii="Arial" w:cs="Arial" w:eastAsia="Arial" w:hAnsi="Arial"/>
          <w:sz w:val="18"/>
          <w:szCs w:val="18"/>
          <w:color w:val="auto"/>
        </w:rPr>
      </w:pPr>
    </w:p>
    <w:p>
      <w:pPr>
        <w:ind w:left="1800" w:right="1019" w:hanging="180"/>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dealers, underwriters, or agents participating in the distribution of the debt securities will designate the accounts to be credited; and</w:t>
      </w:r>
    </w:p>
    <w:p>
      <w:pPr>
        <w:spacing w:after="0" w:line="62" w:lineRule="exact"/>
        <w:rPr>
          <w:rFonts w:ascii="Arial" w:cs="Arial" w:eastAsia="Arial" w:hAnsi="Arial"/>
          <w:sz w:val="18"/>
          <w:szCs w:val="18"/>
          <w:color w:val="auto"/>
        </w:rPr>
      </w:pPr>
    </w:p>
    <w:p>
      <w:pPr>
        <w:ind w:left="1800" w:right="419" w:hanging="180"/>
        <w:spacing w:after="0" w:line="259"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ownership of any beneficial interest in the registered global security will be shown on, and the transfer of any ownership interest will be effected only through, records maintained by the depositary for the registered global security (with respect to interests of participants) and on the records of participants (with respect to interests of persons holding through participants).</w:t>
      </w:r>
    </w:p>
    <w:p>
      <w:pPr>
        <w:spacing w:after="0" w:line="106"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The laws of some states may require that certain purchasers of securities take physical delivery of the securities in definitive form. These laws may limit the ability of those persons to own, transfer or pledge beneficial interests in registered global securities.</w:t>
      </w:r>
    </w:p>
    <w:p>
      <w:pPr>
        <w:spacing w:after="0" w:line="116"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color w:val="auto"/>
        </w:rPr>
        <w:t>So long as the depositary for a registered global security, or its nominee, is the registered owner of the registered global security, the depositary or the nominee, as the case may be, will be considered the sole owner or holder of the debt securities represented by the registered global security for all purposes under the indenture. Except as set forth below, owners of beneficial interests in a registered global security:</w:t>
      </w:r>
    </w:p>
    <w:p>
      <w:pPr>
        <w:spacing w:after="0" w:line="63" w:lineRule="exact"/>
        <w:rPr>
          <w:sz w:val="20"/>
          <w:szCs w:val="20"/>
          <w:color w:val="auto"/>
        </w:rPr>
      </w:pPr>
    </w:p>
    <w:p>
      <w:pPr>
        <w:ind w:left="1800" w:right="59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represented by a registered global security registered in their names;</w:t>
      </w:r>
    </w:p>
    <w:p>
      <w:pPr>
        <w:spacing w:after="0" w:line="62"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the debt securities in the definitive form;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securities under the indenture.</w:t>
      </w:r>
    </w:p>
    <w:p>
      <w:pPr>
        <w:spacing w:after="0" w:line="158"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119"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those participants would authorize beneficial owners owning through those participants to give or take the action or would otherwise act upon the instructions of beneficial owners holding through them.</w:t>
      </w:r>
    </w:p>
    <w:p>
      <w:pPr>
        <w:spacing w:after="0" w:line="111"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None of Lucid, the trustee or any other agent of Lucid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27"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w:t>
      </w:r>
    </w:p>
    <w:p>
      <w:pPr>
        <w:sectPr>
          <w:pgSz w:w="11900" w:h="16838" w:orient="portrait"/>
          <w:cols w:equalWidth="0" w:num="1">
            <w:col w:w="9879"/>
          </w:cols>
          <w:pgMar w:left="580" w:top="90" w:right="1440" w:bottom="1440" w:gutter="0" w:footer="0" w:header="0"/>
        </w:sectPr>
      </w:pPr>
    </w:p>
    <w:p>
      <w:pPr>
        <w:spacing w:after="0" w:line="37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spacing w:after="0" w:line="277" w:lineRule="auto"/>
        <w:rPr>
          <w:sz w:val="20"/>
          <w:szCs w:val="20"/>
          <w:color w:val="auto"/>
        </w:rPr>
      </w:pPr>
      <w:r>
        <w:rPr>
          <w:rFonts w:ascii="Arial" w:cs="Arial" w:eastAsia="Arial" w:hAnsi="Arial"/>
          <w:sz w:val="18"/>
          <w:szCs w:val="18"/>
          <w:color w:val="auto"/>
        </w:rPr>
        <w:t>as is now the case with the securities held for the accounts of customers registered in “street name.” We also expect that any of these payments will be the responsibility of the participants.</w:t>
      </w:r>
    </w:p>
    <w:p>
      <w:pPr>
        <w:spacing w:after="0" w:line="103"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If the depositary for any debt securities represented by a registered global security is at any time unwilling or unable to continue as depositary or ceases to be a clearing agency registered under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such event, we will issue debt securities of that series in a definitive form in exchange for all of the registered global securities representing the debt securities. The trustee will register any debt securities issued in definitive form in exchange for a registered global security in such name or names as the depositary, based upon instructions from its participants, shall instruct the trustee.</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62" w:lineRule="exact"/>
        <w:rPr>
          <w:sz w:val="20"/>
          <w:szCs w:val="20"/>
          <w:color w:val="auto"/>
        </w:rPr>
      </w:pPr>
    </w:p>
    <w:p>
      <w:pPr>
        <w:ind w:left="1260" w:right="659" w:firstLine="360"/>
        <w:spacing w:after="0" w:line="259" w:lineRule="auto"/>
        <w:rPr>
          <w:sz w:val="20"/>
          <w:szCs w:val="20"/>
          <w:color w:val="auto"/>
        </w:rPr>
      </w:pPr>
      <w:r>
        <w:rPr>
          <w:rFonts w:ascii="Arial" w:cs="Arial" w:eastAsia="Arial" w:hAnsi="Arial"/>
          <w:sz w:val="18"/>
          <w:szCs w:val="18"/>
          <w:color w:val="auto"/>
        </w:rPr>
        <w:t>We can discharge or defease our obligations under the indenture as set forth below. Unless otherwise set forth in the applicable prospectus supplement, the subordination provisions applicable to any subordinated debt securities will be expressly made subject to the discharge and defeasance provisions of the indenture.</w:t>
      </w:r>
    </w:p>
    <w:p>
      <w:pPr>
        <w:spacing w:after="0" w:line="106"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We may discharge our obligations to holders of any series of debt securities that have not already been delivered to the trustee for cancellation and that have either become due and payable or are by their terms to become due and payable within one year (or are scheduled for redemption within one year). We may effect a discharge by irrevocably depositing with the trustee cash or U.S. government obligations or foreign government obligations, as applicable, as trust funds, in an amount certified to be sufficient to pay when due, whether at maturity, upon redemption or otherwise, the principal of, premium, if any, and interest on the debt securities and any mandatory sinking fund payments.</w:t>
      </w:r>
    </w:p>
    <w:p>
      <w:pPr>
        <w:spacing w:after="0" w:line="127" w:lineRule="exact"/>
        <w:rPr>
          <w:sz w:val="20"/>
          <w:szCs w:val="20"/>
          <w:color w:val="auto"/>
        </w:rPr>
      </w:pPr>
    </w:p>
    <w:p>
      <w:pPr>
        <w:jc w:val="both"/>
        <w:ind w:left="1260" w:right="559" w:firstLine="360"/>
        <w:spacing w:after="0" w:line="255" w:lineRule="auto"/>
        <w:rPr>
          <w:sz w:val="20"/>
          <w:szCs w:val="20"/>
          <w:color w:val="auto"/>
        </w:rPr>
      </w:pPr>
      <w:r>
        <w:rPr>
          <w:rFonts w:ascii="Arial" w:cs="Arial" w:eastAsia="Arial" w:hAnsi="Arial"/>
          <w:sz w:val="18"/>
          <w:szCs w:val="18"/>
          <w:color w:val="auto"/>
        </w:rPr>
        <w:t>Unless otherwise provided in the applicable prospectus supplement we may also discharge any and all of our obligations to holders of any series of debt securities at any time (“legal defeasance”). We also may be released from the obligations imposed by any covenants of any outstanding series of debt securities and provisions of the indenture, and we may omit to comply with those covenants without creating an Event of Default (“covenant defeasance”). We may effect legal defeasance and covenant defeasance only if, among other things:</w:t>
      </w:r>
    </w:p>
    <w:p>
      <w:pPr>
        <w:spacing w:after="0" w:line="84" w:lineRule="exact"/>
        <w:rPr>
          <w:sz w:val="20"/>
          <w:szCs w:val="20"/>
          <w:color w:val="auto"/>
        </w:rPr>
      </w:pPr>
    </w:p>
    <w:p>
      <w:pPr>
        <w:ind w:left="1800" w:right="439" w:hanging="180"/>
        <w:spacing w:after="0" w:line="259"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irrevocably deposit with the trustee cash or U.S. government obligations or foreign government obligations, as applicable, as trust funds, in an amount certified to be sufficient to pay at maturity (or upon redemption) the principal, premium, if any, and interest on all outstanding debt securities of the series; and</w:t>
      </w:r>
    </w:p>
    <w:p>
      <w:pPr>
        <w:spacing w:after="0" w:line="78" w:lineRule="exact"/>
        <w:rPr>
          <w:rFonts w:ascii="Arial" w:cs="Arial" w:eastAsia="Arial" w:hAnsi="Arial"/>
          <w:sz w:val="18"/>
          <w:szCs w:val="18"/>
          <w:color w:val="auto"/>
        </w:rPr>
      </w:pPr>
    </w:p>
    <w:p>
      <w:pPr>
        <w:ind w:left="1800" w:right="499" w:hanging="180"/>
        <w:spacing w:after="0" w:line="254"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legal defeasance or covenant defeasance and that legal defeasance or covenant defeasance will not otherwise alter the holders’ U.S. federal income tax treatment of principal, premium, if any, and interest payments on the series of debt securities, which opinion, in the case of legal defeasance, must be based on a ruling of the Internal Revenue Service issued, or a change in U.S. federal income tax law.</w:t>
      </w:r>
    </w:p>
    <w:p>
      <w:pPr>
        <w:spacing w:after="0" w:line="127" w:lineRule="exact"/>
        <w:rPr>
          <w:sz w:val="20"/>
          <w:szCs w:val="20"/>
          <w:color w:val="auto"/>
        </w:rPr>
      </w:pPr>
    </w:p>
    <w:p>
      <w:pPr>
        <w:ind w:left="1260" w:right="579" w:firstLine="360"/>
        <w:spacing w:after="0" w:line="279" w:lineRule="auto"/>
        <w:rPr>
          <w:sz w:val="20"/>
          <w:szCs w:val="20"/>
          <w:color w:val="auto"/>
        </w:rPr>
      </w:pPr>
      <w:r>
        <w:rPr>
          <w:rFonts w:ascii="Arial" w:cs="Arial" w:eastAsia="Arial" w:hAnsi="Arial"/>
          <w:sz w:val="17"/>
          <w:szCs w:val="17"/>
          <w:color w:val="auto"/>
        </w:rPr>
        <w:t>Although we may discharge or defease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Modification of the Indenture</w:t>
      </w:r>
    </w:p>
    <w:p>
      <w:pPr>
        <w:spacing w:after="0" w:line="148"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to:</w:t>
      </w:r>
    </w:p>
    <w:p>
      <w:pPr>
        <w:sectPr>
          <w:pgSz w:w="11900" w:h="16838" w:orient="portrait"/>
          <w:cols w:equalWidth="0" w:num="1">
            <w:col w:w="9879"/>
          </w:cols>
          <w:pgMar w:left="580" w:top="90" w:right="1440" w:bottom="1440" w:gutter="0" w:footer="0" w:header="0"/>
        </w:sectPr>
      </w:pPr>
    </w:p>
    <w:p>
      <w:pPr>
        <w:spacing w:after="0" w:line="35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secure any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evidence the assumption by a successor corporation of our obligations;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 covenants for the protection of the holders of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 one or more guarantees for the benefit of holders of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cure any ambiguity or correct any inconsistency in the indenture;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w:t>
      </w:r>
    </w:p>
    <w:p>
      <w:pPr>
        <w:spacing w:after="0" w:line="103" w:lineRule="exact"/>
        <w:rPr>
          <w:rFonts w:ascii="Arial" w:cs="Arial" w:eastAsia="Arial" w:hAnsi="Arial"/>
          <w:sz w:val="18"/>
          <w:szCs w:val="18"/>
          <w:color w:val="auto"/>
        </w:rPr>
      </w:pPr>
    </w:p>
    <w:p>
      <w:pPr>
        <w:ind w:left="1800" w:right="679" w:hanging="180"/>
        <w:spacing w:after="0" w:line="263"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conform any provision of the indenture to this description of debt securities, the description of the notes included in the applicable prospectus supplement or any other relevant section of the applicable prospectus supplement describing the terms of the debt securities;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 provide for uncertificated debt securities in addition to or in place of certificated debt securities;</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any change that does not materially adversely affect the right of any holder; and</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comply with requirements of the SEC in order to effect or maintain the qualification of the indenture under the Trust Indenture Act of 1939, as amended.</w:t>
      </w:r>
    </w:p>
    <w:p>
      <w:pPr>
        <w:spacing w:after="0" w:line="103"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The indenture also provides that we and the trustee may, with the consent of the holders of not less than a majority in aggregate principal amount of debt securities of all series of senior debt securities or subordinated debt securities, as the case may be, then outstanding and affected (voting as one class), add any provisions to, or change in any manner, eliminate or modify in any way the provisions of, the indenture or modify in any manner the rights of the holders of the debt securities.</w:t>
      </w:r>
    </w:p>
    <w:p>
      <w:pPr>
        <w:spacing w:after="0" w:line="120"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We and the trustee may not, however, without the consent of the holder of each outstanding debt security affected thereby:</w:t>
      </w:r>
    </w:p>
    <w:p>
      <w:pPr>
        <w:spacing w:after="0" w:line="62" w:lineRule="exact"/>
        <w:rPr>
          <w:sz w:val="20"/>
          <w:szCs w:val="20"/>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extend the final maturity of any debt security;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principal amount or premium, if any;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any amount payable on redemption;</w:t>
      </w:r>
    </w:p>
    <w:p>
      <w:pPr>
        <w:spacing w:after="0" w:line="117"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the currency in which the principal (other than as may be provided otherwise with respect to a series), premium, if any, or interest is payable;</w:t>
      </w:r>
    </w:p>
    <w:p>
      <w:pPr>
        <w:spacing w:after="0" w:line="62"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amount of the principal of any debt security issued with an original issue discount that is payable upon acceleration or provable in bankruptcy;</w:t>
      </w:r>
    </w:p>
    <w:p>
      <w:pPr>
        <w:spacing w:after="0" w:line="62"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modify any of the subordination provisions or the definition of senior indebtedness applicable to any subordinated debt securities in a manner adverse to the holders of those securities;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alter provisions of the indenture relating to the debt securities not denominated in U.S. dollars;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impair the right to institute suit for the enforcement of any payment on any debt security when due;</w:t>
      </w:r>
    </w:p>
    <w:p>
      <w:pPr>
        <w:spacing w:after="0" w:line="128" w:lineRule="exact"/>
        <w:rPr>
          <w:rFonts w:ascii="Arial" w:cs="Arial" w:eastAsia="Arial" w:hAnsi="Arial"/>
          <w:sz w:val="17"/>
          <w:szCs w:val="17"/>
          <w:color w:val="auto"/>
        </w:rPr>
      </w:pPr>
    </w:p>
    <w:p>
      <w:pPr>
        <w:ind w:left="1800" w:right="699" w:hanging="180"/>
        <w:spacing w:after="0" w:line="259"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of any series whose consent is required for any modification of the indenture, or the consent of whose holders is required for any waiver (of compliance with certain provisions of the indenture or certain defaults thereunder and their consequences) provided for in the indenture; or</w:t>
      </w:r>
    </w:p>
    <w:p>
      <w:pPr>
        <w:spacing w:after="0" w:line="78"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modify any provisions set forth in this paragraph.</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Concerning the Trustee</w:t>
      </w:r>
    </w:p>
    <w:p>
      <w:pPr>
        <w:spacing w:after="0" w:line="148" w:lineRule="exact"/>
        <w:rPr>
          <w:sz w:val="20"/>
          <w:szCs w:val="20"/>
          <w:color w:val="auto"/>
        </w:rPr>
      </w:pPr>
    </w:p>
    <w:p>
      <w:pPr>
        <w:ind w:left="1260" w:right="479" w:firstLine="360"/>
        <w:spacing w:after="0" w:line="311" w:lineRule="auto"/>
        <w:rPr>
          <w:sz w:val="20"/>
          <w:szCs w:val="20"/>
          <w:color w:val="auto"/>
        </w:rPr>
      </w:pPr>
      <w:r>
        <w:rPr>
          <w:rFonts w:ascii="Arial" w:cs="Arial" w:eastAsia="Arial" w:hAnsi="Arial"/>
          <w:sz w:val="16"/>
          <w:szCs w:val="16"/>
          <w:color w:val="auto"/>
        </w:rPr>
        <w:t>The indenture provides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w:t>
      </w:r>
    </w:p>
    <w:p>
      <w:pPr>
        <w:sectPr>
          <w:pgSz w:w="11900" w:h="16838" w:orient="portrait"/>
          <w:cols w:equalWidth="0" w:num="1">
            <w:col w:w="9879"/>
          </w:cols>
          <w:pgMar w:left="580" w:top="90" w:right="1440" w:bottom="1440" w:gutter="0" w:footer="0" w:header="0"/>
        </w:sectPr>
      </w:pPr>
    </w:p>
    <w:p>
      <w:pPr>
        <w:spacing w:after="0" w:line="32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any other trustee under the indenture. Except as otherwise indicated in this prospectus or any prospectus supplement, any action permitted to be taken by a trustee may be taken by such trustee only with respect to the one or more series of debt securities for which it is the trustee under the indenture. Any trustee under the indenture may resign or be removed with respect to one or more series of debt securities. All payments of principal of, premium, if any, and interest on, and all registration, transfer, exchange, authentication and delivery (including authentication and delivery on original issuance of the debt securities) of, the debt securities of a series will be effected by the trustee with respect to that series at an office designated by the trustee in New York, New York.</w:t>
      </w:r>
    </w:p>
    <w:p>
      <w:pPr>
        <w:spacing w:after="0" w:line="124"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8"/>
          <w:szCs w:val="18"/>
          <w:color w:val="auto"/>
        </w:rPr>
        <w:t>The indenture contains limitations on the right of the trustee, should it become a creditor of Lucid, to obtain payment of claims in some cases or to realize on certain property received in respect of any such claim as security or otherwise. The trustee may engage in other transactions. If it acquires any conflicting interest relating to any duties with respect to the debt securities, however, it must eliminate the conflict or resign as trustee.</w:t>
      </w:r>
    </w:p>
    <w:p>
      <w:pPr>
        <w:spacing w:after="0" w:line="120"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The holders of a majority in aggregate principal amount of any series of debt securities then outstanding will have the right to direct the time, method and place of conducting any proceeding for exercising any remedy available to the trustee with respect to such series of debt securities, provided that, the direction would not conflict with any rule of law or with the indenture, would not be unduly prejudicial to the rights of another holder of the debt securities, and would not involve any trustee in personal liability. The indenture provides that in case an Event of Default shall occur and be known to any trustee and not be cured, the trustee must use the same degree of care as a prudent person would use in the conduct of his or her own affairs in the exercise of the trustee’s power. Subject to these provisions, the trustee will be under no obligation to exercise any of its rights or powers under the indenture at the request of any of the holders of the debt securities, unless they shall have offered to the trustee security and indemnity satisfactory to the trustee.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48" w:lineRule="exact"/>
        <w:rPr>
          <w:sz w:val="20"/>
          <w:szCs w:val="20"/>
          <w:color w:val="auto"/>
        </w:rPr>
      </w:pPr>
    </w:p>
    <w:p>
      <w:pPr>
        <w:ind w:left="1260" w:right="639" w:firstLine="360"/>
        <w:spacing w:after="0" w:line="286" w:lineRule="auto"/>
        <w:rPr>
          <w:sz w:val="20"/>
          <w:szCs w:val="20"/>
          <w:color w:val="auto"/>
        </w:rPr>
      </w:pPr>
      <w:r>
        <w:rPr>
          <w:rFonts w:ascii="Arial" w:cs="Arial" w:eastAsia="Arial" w:hAnsi="Arial"/>
          <w:sz w:val="17"/>
          <w:szCs w:val="17"/>
          <w:color w:val="auto"/>
        </w:rPr>
        <w:t>The indenture provides that no incorporator and no past, present or future stockholder, officer or director, of us or any successor corporation in their capacity as such shall have any individual liability for any of our obligations, covenants or agreements under the debt securities or the indenture.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Governing Law</w:t>
      </w:r>
    </w:p>
    <w:p>
      <w:pPr>
        <w:spacing w:after="0" w:line="162"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 including, without limitation, Sections 5-1401 and 5-1402 of the New York General Obligations Law and New York Civil Practice Law and Rules 327(b).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5" w:name="page66"/>
    <w:bookmarkEnd w:id="6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DESCRIPTION OF DEPOSITARY SHARES</w:t>
      </w:r>
    </w:p>
    <w:p>
      <w:pPr>
        <w:spacing w:after="0" w:line="162" w:lineRule="exact"/>
        <w:rPr>
          <w:sz w:val="20"/>
          <w:szCs w:val="20"/>
          <w:color w:val="auto"/>
        </w:rPr>
      </w:pPr>
    </w:p>
    <w:p>
      <w:pPr>
        <w:jc w:val="both"/>
        <w:ind w:left="1260" w:right="519" w:firstLine="360"/>
        <w:spacing w:after="0" w:line="275" w:lineRule="auto"/>
        <w:rPr>
          <w:sz w:val="20"/>
          <w:szCs w:val="20"/>
          <w:color w:val="auto"/>
        </w:rPr>
      </w:pPr>
      <w:r>
        <w:rPr>
          <w:rFonts w:ascii="Arial" w:cs="Arial" w:eastAsia="Arial" w:hAnsi="Arial"/>
          <w:sz w:val="17"/>
          <w:szCs w:val="17"/>
          <w:color w:val="auto"/>
        </w:rPr>
        <w:t>We may offer depositary receipts representing fractional shares of our preferred stock, rather than full shares of preferred stock. The shares of preferred stock represented by depositary shares will be deposited under a depositary agreement between us and a bank or trust company that meets certain requirements and is selected by us (the “Bank Depositary”). Each owner of a depositary share will be entitled to all the rights and preferences of the preferred stock represented by the depositary share.</w:t>
      </w:r>
    </w:p>
    <w:p>
      <w:pPr>
        <w:spacing w:after="0" w:line="109"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The description in an accompanying prospectus supplement of any depositary shares we offer will not necessarily be complete and will be qualified in its entirety by reference to the applicable depositary agreement, which will be filed with the SEC if we offer depositary shares. For more information on how you can obtain copies of any depositary agreement if we offer depositary shares, see “Where You Can Find More Information.” We urge you to read the applicable depositary agreement and any accompanying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6" w:name="page67"/>
    <w:bookmarkEnd w:id="6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DESCRIPTION OF WARRANTS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a description of our outstanding warrants, see “Description of Capital Stock-Warrants.”</w:t>
      </w:r>
    </w:p>
    <w:p>
      <w:pPr>
        <w:spacing w:after="0" w:line="158" w:lineRule="exact"/>
        <w:rPr>
          <w:sz w:val="20"/>
          <w:szCs w:val="20"/>
          <w:color w:val="auto"/>
        </w:rPr>
      </w:pPr>
    </w:p>
    <w:p>
      <w:pPr>
        <w:ind w:left="1260" w:right="419" w:firstLine="360"/>
        <w:spacing w:after="0" w:line="291"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85"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The applicable prospectus supplement will describe the following terms of any warrants in respect of which this prospectus is being delivered:</w:t>
      </w:r>
    </w:p>
    <w:p>
      <w:pPr>
        <w:spacing w:after="0" w:line="62" w:lineRule="exact"/>
        <w:rPr>
          <w:sz w:val="20"/>
          <w:szCs w:val="20"/>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currency or currencies in which the price of such warrants will be payable;</w:t>
      </w:r>
    </w:p>
    <w:p>
      <w:pPr>
        <w:spacing w:after="0" w:line="117" w:lineRule="exact"/>
        <w:rPr>
          <w:rFonts w:ascii="Arial" w:cs="Arial" w:eastAsia="Arial" w:hAnsi="Arial"/>
          <w:sz w:val="18"/>
          <w:szCs w:val="18"/>
          <w:color w:val="auto"/>
        </w:rPr>
      </w:pPr>
    </w:p>
    <w:p>
      <w:pPr>
        <w:jc w:val="both"/>
        <w:ind w:left="1800" w:right="659" w:hanging="180"/>
        <w:spacing w:after="0" w:line="263"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75"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or other rights purchasable upon exercise of such warrants may be purchased;</w:t>
      </w:r>
    </w:p>
    <w:p>
      <w:pPr>
        <w:spacing w:after="0" w:line="62"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62"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62"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62"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applicable, a discussion of any material United States Federal income tax considerations; and</w:t>
      </w:r>
    </w:p>
    <w:p>
      <w:pPr>
        <w:spacing w:after="0" w:line="117" w:lineRule="exact"/>
        <w:rPr>
          <w:rFonts w:ascii="Arial" w:cs="Arial" w:eastAsia="Arial" w:hAnsi="Arial"/>
          <w:sz w:val="18"/>
          <w:szCs w:val="18"/>
          <w:color w:val="auto"/>
        </w:rPr>
      </w:pPr>
    </w:p>
    <w:p>
      <w:pPr>
        <w:ind w:left="1800" w:right="113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terms of such warrants, including terms, procedures and limitations relating to the exchange and exercise of such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7" w:name="page68"/>
    <w:bookmarkEnd w:id="6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DESCRIPTION OF PURCHASE CONTRACTS</w:t>
      </w:r>
    </w:p>
    <w:p>
      <w:pPr>
        <w:spacing w:after="0" w:line="162"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As specified in the applicable prospectus supplement, we may issue purchase contracts for the purchase or sale of:</w:t>
      </w:r>
    </w:p>
    <w:p>
      <w:pPr>
        <w:spacing w:after="0" w:line="62" w:lineRule="exact"/>
        <w:rPr>
          <w:sz w:val="20"/>
          <w:szCs w:val="20"/>
          <w:color w:val="auto"/>
        </w:rPr>
      </w:pPr>
    </w:p>
    <w:p>
      <w:pPr>
        <w:jc w:val="both"/>
        <w:ind w:left="1800" w:right="779" w:hanging="180"/>
        <w:spacing w:after="0" w:line="263"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debt or equity securities issued by us or securities of third parties, a basket of such securities, an index or indices or such securities or any combination of the above as specified in the applicable prospectus supplement;</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currencies;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commodities.</w:t>
      </w:r>
    </w:p>
    <w:p>
      <w:pPr>
        <w:spacing w:after="0" w:line="158"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100" w:lineRule="exact"/>
        <w:rPr>
          <w:sz w:val="20"/>
          <w:szCs w:val="20"/>
          <w:color w:val="auto"/>
        </w:rPr>
      </w:pPr>
    </w:p>
    <w:p>
      <w:pPr>
        <w:ind w:left="1260" w:right="559" w:firstLine="360"/>
        <w:spacing w:after="0" w:line="271" w:lineRule="auto"/>
        <w:rPr>
          <w:sz w:val="20"/>
          <w:szCs w:val="20"/>
          <w:color w:val="auto"/>
        </w:rPr>
      </w:pPr>
      <w:r>
        <w:rPr>
          <w:rFonts w:ascii="Arial" w:cs="Arial" w:eastAsia="Arial" w:hAnsi="Arial"/>
          <w:sz w:val="17"/>
          <w:szCs w:val="17"/>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either the senior indenture or the subordinated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8" w:name="page69"/>
    <w:bookmarkEnd w:id="6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DESCRIPTION OF UNITS</w:t>
      </w:r>
    </w:p>
    <w:p>
      <w:pPr>
        <w:spacing w:after="0" w:line="162"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As specified in the applicable prospectus supplement, we may issue units consisting of one or more shares of common stock, preferred shares, depositary shares representing preferred stock, debt securities, warrants, purchase contracts or any combination of such securities. The applicable supplement will describe:</w:t>
      </w:r>
    </w:p>
    <w:p>
      <w:pPr>
        <w:spacing w:after="0" w:line="79" w:lineRule="exact"/>
        <w:rPr>
          <w:sz w:val="20"/>
          <w:szCs w:val="20"/>
          <w:color w:val="auto"/>
        </w:rPr>
      </w:pPr>
    </w:p>
    <w:p>
      <w:pPr>
        <w:ind w:left="1800" w:right="65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terms of the units and of the securities comprising the units, including whether and under what circumstances the securities comprising the units may be traded separately;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9" w:name="page70"/>
    <w:bookmarkEnd w:id="6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PLAN OF DISTRIBUTION</w:t>
      </w:r>
    </w:p>
    <w:p>
      <w:pPr>
        <w:spacing w:after="0" w:line="162"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6"/>
          <w:szCs w:val="16"/>
          <w:color w:val="auto"/>
        </w:rPr>
        <w:t>This prospectus relates to: (1) the offer, issuance and sale by the Company of up to $7,400,017,750 in the aggregate of the securities identified herein from time to time in one or more offerings; (2) the issuance by the Company of an aggregate of up to 44,350,000 shares of common stock, consisting of (a) 42,850,000 shares of common stock issuable upon exercise of the Private Placement Warrants and (b) 1,500,000 shares of common stock issuable upon exercise of the Working Capital Warrants; and (3) the offer and resale from time to time by the Selling Securityholders, or their permitted transferees, of: (a) up to 1,161,947,946 shares of common stock, consisting of (i) 1,076,235,267 shares of common stock, including issued and outstanding shares of common stock, shares of common stock subject to vesting and/or exercise of the assumed Legacy Lucid Awards and shares of common stock issuable upon exercise of certain Private Placement Warrants and (ii) 85,712,679 shares of common stock issued to Ayar pursuant to the Subscription Agreement and</w:t>
      </w:r>
    </w:p>
    <w:p>
      <w:pPr>
        <w:spacing w:after="0" w:line="4" w:lineRule="exact"/>
        <w:rPr>
          <w:sz w:val="20"/>
          <w:szCs w:val="20"/>
          <w:color w:val="auto"/>
        </w:rPr>
      </w:pPr>
    </w:p>
    <w:p>
      <w:pPr>
        <w:ind w:left="1260" w:right="439"/>
        <w:spacing w:after="0" w:line="261" w:lineRule="auto"/>
        <w:tabs>
          <w:tab w:leader="none" w:pos="1529" w:val="left"/>
        </w:tabs>
        <w:numPr>
          <w:ilvl w:val="0"/>
          <w:numId w:val="47"/>
        </w:numPr>
        <w:rPr>
          <w:rFonts w:ascii="Arial" w:cs="Arial" w:eastAsia="Arial" w:hAnsi="Arial"/>
          <w:sz w:val="17"/>
          <w:szCs w:val="17"/>
          <w:color w:val="auto"/>
        </w:rPr>
      </w:pPr>
      <w:r>
        <w:rPr>
          <w:rFonts w:ascii="Arial" w:cs="Arial" w:eastAsia="Arial" w:hAnsi="Arial"/>
          <w:sz w:val="17"/>
          <w:szCs w:val="17"/>
          <w:color w:val="auto"/>
        </w:rPr>
        <w:t>7,221,921 warrants representing certain Private Placement Warrants. We will receive proceeds from the issuance and sale of our common stock, preferred stock, depositary shares representing preferred stock, debt securities, warrants, purchase contracts or units. We will pay any underwriting discounts and commissions and expenses incurred by us in connection with the sale of securities by us.</w:t>
      </w:r>
    </w:p>
    <w:p>
      <w:pPr>
        <w:spacing w:after="0" w:line="106" w:lineRule="exact"/>
        <w:rPr>
          <w:sz w:val="20"/>
          <w:szCs w:val="20"/>
          <w:color w:val="auto"/>
        </w:rPr>
      </w:pPr>
    </w:p>
    <w:p>
      <w:pPr>
        <w:ind w:left="1260" w:right="419" w:firstLine="360"/>
        <w:spacing w:after="0" w:line="249" w:lineRule="auto"/>
        <w:rPr>
          <w:sz w:val="20"/>
          <w:szCs w:val="20"/>
          <w:color w:val="auto"/>
        </w:rPr>
      </w:pPr>
      <w:r>
        <w:rPr>
          <w:rFonts w:ascii="Arial" w:cs="Arial" w:eastAsia="Arial" w:hAnsi="Arial"/>
          <w:sz w:val="18"/>
          <w:szCs w:val="18"/>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w:t>
      </w:r>
    </w:p>
    <w:p>
      <w:pPr>
        <w:spacing w:after="0" w:line="113" w:lineRule="exact"/>
        <w:rPr>
          <w:sz w:val="20"/>
          <w:szCs w:val="20"/>
          <w:color w:val="auto"/>
        </w:rPr>
      </w:pPr>
    </w:p>
    <w:p>
      <w:pPr>
        <w:ind w:left="1260" w:right="519" w:firstLine="360"/>
        <w:spacing w:after="0" w:line="246" w:lineRule="auto"/>
        <w:rPr>
          <w:sz w:val="20"/>
          <w:szCs w:val="20"/>
          <w:color w:val="auto"/>
        </w:rPr>
      </w:pPr>
      <w:r>
        <w:rPr>
          <w:rFonts w:ascii="Arial" w:cs="Arial" w:eastAsia="Arial" w:hAnsi="Arial"/>
          <w:sz w:val="18"/>
          <w:szCs w:val="18"/>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spacing w:after="0" w:line="118"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The securities to be offered and sold by us covered by this prospectus may be offered and sold from time to time. The securities beneficially owned by the Selling Securityholders covered by this prospectus may be offered and sold from time to time by the Selling Securityholders. The term “Selling Securityholders” includes their permitted transferees who later come to hold any of the Selling Securityholders’ interest in the common stock or warrants in accordance with the terms of the agreement(s) governing the registration rights applicable to such Selling Securityholder’s shares of common stock or warrants. The Selling Securityholders will act independently of us in making decisions with respect to the timing, manner and size of each sale.</w:t>
      </w:r>
    </w:p>
    <w:p>
      <w:pPr>
        <w:spacing w:after="0" w:line="119"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Such sales may be made on one or more exchanges or in the over-the-counter market or otherwise, at prices and under terms then prevailing or at prices related to the then current market price or in negotiated transactions. We and each Selling Securityholder reserves the right to accept and, together with our and its respective agents, to reject, any proposed purchase of securities to be made directly or through agents. We, the Selling Securityholders and any of their permitted transferees may sell the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spacing w:after="0" w:line="114" w:lineRule="exact"/>
        <w:rPr>
          <w:sz w:val="20"/>
          <w:szCs w:val="20"/>
          <w:color w:val="auto"/>
        </w:rPr>
      </w:pPr>
    </w:p>
    <w:p>
      <w:pPr>
        <w:jc w:val="both"/>
        <w:ind w:left="1260" w:right="679" w:firstLine="360"/>
        <w:spacing w:after="0" w:line="256" w:lineRule="auto"/>
        <w:rPr>
          <w:sz w:val="20"/>
          <w:szCs w:val="20"/>
          <w:color w:val="auto"/>
        </w:rPr>
      </w:pPr>
      <w:r>
        <w:rPr>
          <w:rFonts w:ascii="Arial" w:cs="Arial" w:eastAsia="Arial" w:hAnsi="Arial"/>
          <w:sz w:val="18"/>
          <w:szCs w:val="18"/>
          <w:color w:val="auto"/>
        </w:rPr>
        <w:t>We or, subject to the limitations set forth in any applicable registration rights agreement, the Selling Securityholders may use any one or more of the following methods when selling the securities offered by this prospectus:</w:t>
      </w:r>
    </w:p>
    <w:p>
      <w:pPr>
        <w:spacing w:after="0" w:line="67" w:lineRule="exact"/>
        <w:rPr>
          <w:sz w:val="20"/>
          <w:szCs w:val="20"/>
          <w:color w:val="auto"/>
        </w:rPr>
      </w:pPr>
    </w:p>
    <w:p>
      <w:pPr>
        <w:ind w:left="1800" w:right="979" w:hanging="180"/>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3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0" w:name="page71"/>
    <w:bookmarkEnd w:id="7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hanging="180"/>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17" w:lineRule="exact"/>
        <w:rPr>
          <w:rFonts w:ascii="Arial" w:cs="Arial" w:eastAsia="Arial" w:hAnsi="Arial"/>
          <w:sz w:val="18"/>
          <w:szCs w:val="18"/>
          <w:color w:val="auto"/>
        </w:rPr>
      </w:pPr>
    </w:p>
    <w:p>
      <w:pPr>
        <w:ind w:left="1800" w:right="779" w:hanging="180"/>
        <w:spacing w:after="0" w:line="308" w:lineRule="auto"/>
        <w:tabs>
          <w:tab w:leader="none" w:pos="18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block trades in which the broker-dealer so engaged will attempt to sell the securities as agent but may position and resell a portion of the block as principal to facilitate the transaction;</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the Nasdaq;</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one or more underwritten offerings on a firm commitment or best efforts basis;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17"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agreements with broker-dealers to sell a specified number of the securities at a stipulated price per share or warrant;</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“at the market” offerings, as defined in Rule 415 under the Securities Act, at negotiated prices;</w:t>
      </w:r>
    </w:p>
    <w:p>
      <w:pPr>
        <w:spacing w:after="0" w:line="115" w:lineRule="exact"/>
        <w:rPr>
          <w:rFonts w:ascii="Arial" w:cs="Arial" w:eastAsia="Arial" w:hAnsi="Arial"/>
          <w:sz w:val="17"/>
          <w:szCs w:val="17"/>
          <w:color w:val="auto"/>
        </w:rPr>
      </w:pPr>
    </w:p>
    <w:p>
      <w:pPr>
        <w:ind w:left="1800" w:right="499" w:hanging="180"/>
        <w:spacing w:after="0" w:line="263"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75"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directly to purchasers, including through a specific bidding, auction or other process or in privately negotiated transactions;</w:t>
      </w:r>
    </w:p>
    <w:p>
      <w:pPr>
        <w:spacing w:after="0" w:line="62"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62" w:lineRule="exact"/>
        <w:rPr>
          <w:rFonts w:ascii="Arial" w:cs="Arial" w:eastAsia="Arial" w:hAnsi="Arial"/>
          <w:sz w:val="18"/>
          <w:szCs w:val="18"/>
          <w:color w:val="auto"/>
        </w:rPr>
      </w:pPr>
    </w:p>
    <w:p>
      <w:pPr>
        <w:ind w:left="1800" w:right="1619" w:hanging="180"/>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distribution to employees, members, limited partners or securityholders of the Selling Securityholders;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by pledge to secure debts and other obligations;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delayed delivery requirements;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58" w:lineRule="exact"/>
        <w:rPr>
          <w:sz w:val="20"/>
          <w:szCs w:val="20"/>
          <w:color w:val="auto"/>
        </w:rPr>
      </w:pPr>
    </w:p>
    <w:p>
      <w:pPr>
        <w:ind w:left="1260" w:right="459" w:firstLine="360"/>
        <w:spacing w:after="0" w:line="246" w:lineRule="auto"/>
        <w:rPr>
          <w:sz w:val="20"/>
          <w:szCs w:val="20"/>
          <w:color w:val="auto"/>
        </w:rPr>
      </w:pPr>
      <w:r>
        <w:rPr>
          <w:rFonts w:ascii="Arial" w:cs="Arial" w:eastAsia="Arial" w:hAnsi="Arial"/>
          <w:sz w:val="18"/>
          <w:szCs w:val="18"/>
          <w:color w:val="auto"/>
        </w:rPr>
        <w:t>There can be no assurance that we or the Selling Securityholders will sell all or any of the securities offered by this prospectus. In addition, we and the Selling Securityholders may also sell securities under Rule 144 under the Securities Act, if available, or in other transactions exempt from registration, rather than under this prospectus. We and the Selling Securityholders, as applicable, have the sole and absolute discretion not to accept any purchase offer or make any sale of securities if we or they deem the purchase price to be unsatisfactory at any particular time.</w:t>
      </w:r>
    </w:p>
    <w:p>
      <w:pPr>
        <w:spacing w:after="0" w:line="118"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7"/>
          <w:szCs w:val="17"/>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03" w:lineRule="exact"/>
        <w:rPr>
          <w:sz w:val="20"/>
          <w:szCs w:val="20"/>
          <w:color w:val="auto"/>
        </w:rPr>
      </w:pPr>
    </w:p>
    <w:p>
      <w:pPr>
        <w:ind w:left="1260" w:right="499" w:firstLine="360"/>
        <w:spacing w:after="0" w:line="249" w:lineRule="auto"/>
        <w:rPr>
          <w:sz w:val="20"/>
          <w:szCs w:val="20"/>
          <w:color w:val="auto"/>
        </w:rPr>
      </w:pPr>
      <w:r>
        <w:rPr>
          <w:rFonts w:ascii="Arial" w:cs="Arial" w:eastAsia="Arial" w:hAnsi="Arial"/>
          <w:sz w:val="18"/>
          <w:szCs w:val="18"/>
          <w:color w:val="auto"/>
        </w:rPr>
        <w:t>With respect to a particular offering of the securities by us or of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73" w:lineRule="exact"/>
        <w:rPr>
          <w:sz w:val="20"/>
          <w:szCs w:val="20"/>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specific securities to be offered and sold;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names of the Selling Securityholders;</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respective purchase prices and public offering prices, the proceeds to be received from the sale, if any, and other material terms of the offering;</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names of any participating agents, broker-dealers or underwriters; and</w:t>
      </w:r>
    </w:p>
    <w:p>
      <w:pPr>
        <w:spacing w:after="0" w:line="103"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applicable commissions, discounts, concessions and other items constituting compensation from us or the Selling Securityholders.</w:t>
      </w:r>
    </w:p>
    <w:p>
      <w:pPr>
        <w:sectPr>
          <w:pgSz w:w="11900" w:h="16838" w:orient="portrait"/>
          <w:cols w:equalWidth="0" w:num="1">
            <w:col w:w="9879"/>
          </w:cols>
          <w:pgMar w:left="580" w:top="90" w:right="1440" w:bottom="1440" w:gutter="0" w:footer="0" w:header="0"/>
        </w:sectPr>
      </w:pPr>
    </w:p>
    <w:p>
      <w:pPr>
        <w:spacing w:after="0" w:line="35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7"/>
          <w:szCs w:val="17"/>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11"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11"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We and the Selling Securityholders may solicit offers to purchase the securities directly from, and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06"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common stock is listed on the Nasdaq under the symbol “LCID.”</w:t>
      </w:r>
    </w:p>
    <w:p>
      <w:pPr>
        <w:spacing w:after="0" w:line="119"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We and 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25"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36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2" w:name="page73"/>
    <w:bookmarkEnd w:id="7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In effecting sales, broker-dealers or agents engaged by us or the Selling Securityholders may arrange for other broker-dealers to participate. Broker-dealers or agents may receive commissions, discounts or concessions from us or the Selling Securityholders in amounts to be negotiated immediately prior to the sale.</w:t>
      </w:r>
    </w:p>
    <w:p>
      <w:pPr>
        <w:spacing w:after="0" w:line="119"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19"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spacing w:after="0" w:line="103"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 le, if required by applicable law or regulation, a supplement to this prospectus pursuant to</w:t>
      </w:r>
    </w:p>
    <w:p>
      <w:pPr>
        <w:spacing w:after="0" w:line="1" w:lineRule="exact"/>
        <w:rPr>
          <w:sz w:val="20"/>
          <w:szCs w:val="20"/>
          <w:color w:val="auto"/>
        </w:rPr>
      </w:pPr>
    </w:p>
    <w:p>
      <w:pPr>
        <w:ind w:left="1260" w:right="519"/>
        <w:spacing w:after="0" w:line="260" w:lineRule="auto"/>
        <w:rPr>
          <w:sz w:val="20"/>
          <w:szCs w:val="20"/>
          <w:color w:val="auto"/>
        </w:rPr>
      </w:pPr>
      <w:r>
        <w:rPr>
          <w:rFonts w:ascii="Arial" w:cs="Arial" w:eastAsia="Arial" w:hAnsi="Arial"/>
          <w:sz w:val="18"/>
          <w:szCs w:val="18"/>
          <w:color w:val="auto"/>
        </w:rPr>
        <w:t>Rule 424(b) under the Securities Act disclosing certain material information relating to such underwriter or broker-dealer and such offering.</w:t>
      </w:r>
    </w:p>
    <w:p>
      <w:pPr>
        <w:spacing w:after="0" w:line="118"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19"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In offering the securities covered by this prospectus, we,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07"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The underwriters, broker-dealers and agents may engage in transactions with us or the Selling Securityholders, may have banking, lending or other relationships with us or perform services for us or the Selling Securityholders, in the ordinary course of business.</w:t>
      </w:r>
    </w:p>
    <w:p>
      <w:pPr>
        <w:spacing w:after="0" w:line="116"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04"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w:t>
      </w:r>
    </w:p>
    <w:p>
      <w:pPr>
        <w:spacing w:after="0" w:line="111"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We will make copies of this prospectus available to the Selling Securityholders for the purpose of satisfying the prospectus delivery requirements of the Securities Act. The Selling Securityholders may indemnify any agent, broker-dealer or underwriter that participates in transactions involving the sale of the securities against certain liabilities, including liabilities arising under the Securities Act.</w:t>
      </w:r>
    </w:p>
    <w:p>
      <w:pPr>
        <w:spacing w:after="0" w:line="119"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8"/>
          <w:szCs w:val="18"/>
          <w:color w:val="auto"/>
        </w:rPr>
        <w:t>We have agreed to indemnify the Selling Securityholders against certain liabilities, including certain liabilities under the Securities Act, the Exchange Act or other federal or state law. Agents, broker-dealers and underwriters may be entitled to indemnification by us and the Selling Securityholders against certain civil</w:t>
      </w:r>
    </w:p>
    <w:p>
      <w:pPr>
        <w:sectPr>
          <w:pgSz w:w="11900" w:h="16838" w:orient="portrait"/>
          <w:cols w:equalWidth="0" w:num="1">
            <w:col w:w="9879"/>
          </w:cols>
          <w:pgMar w:left="580" w:top="90" w:right="1440" w:bottom="1440" w:gutter="0" w:footer="0" w:header="0"/>
        </w:sectPr>
      </w:pPr>
    </w:p>
    <w:p>
      <w:pPr>
        <w:spacing w:after="0" w:line="36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639"/>
        <w:spacing w:after="0" w:line="277" w:lineRule="auto"/>
        <w:rPr>
          <w:sz w:val="20"/>
          <w:szCs w:val="20"/>
          <w:color w:val="auto"/>
        </w:rPr>
      </w:pPr>
      <w:r>
        <w:rPr>
          <w:rFonts w:ascii="Arial" w:cs="Arial" w:eastAsia="Arial" w:hAnsi="Arial"/>
          <w:sz w:val="18"/>
          <w:szCs w:val="18"/>
          <w:color w:val="auto"/>
        </w:rPr>
        <w:t>liabilities, including liabilities under the Securities Act, or to contribution with respect to payments which the agents, broker-dealers or underwriters may be required to make in respect thereof.</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162"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The Private Placement Warrants and Working Capital Warrants (including common stock issuable upon exercise of such warrants) are subject to restrictions on transfer, assignment and sale and, in certain circumstances, are subject to redemption. See “Description of Capital Stock — Warrants.”</w:t>
      </w:r>
    </w:p>
    <w:p>
      <w:pPr>
        <w:spacing w:after="0" w:line="116"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A holder of warrants may exercise its warrants in accordance with the Warrant Agreement on or before the expiration date set forth therein by surrendering, at the office of the warrant agent, Equiniti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Agreements</w:t>
      </w:r>
    </w:p>
    <w:p>
      <w:pPr>
        <w:spacing w:after="0" w:line="148"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Pursuant to the Subscription Agreement and subject to certain exceptions, Ayar is restricted from selling or transferring common stock held by it until June 23, 2023.</w:t>
      </w:r>
    </w:p>
    <w:p>
      <w:pPr>
        <w:spacing w:after="0" w:line="103" w:lineRule="exact"/>
        <w:rPr>
          <w:sz w:val="20"/>
          <w:szCs w:val="20"/>
          <w:color w:val="auto"/>
        </w:rPr>
      </w:pPr>
    </w:p>
    <w:p>
      <w:pPr>
        <w:ind w:left="1260" w:right="659" w:firstLine="360"/>
        <w:spacing w:after="0" w:line="308" w:lineRule="auto"/>
        <w:rPr>
          <w:sz w:val="20"/>
          <w:szCs w:val="20"/>
          <w:color w:val="auto"/>
        </w:rPr>
      </w:pPr>
      <w:r>
        <w:rPr>
          <w:rFonts w:ascii="Arial" w:cs="Arial" w:eastAsia="Arial" w:hAnsi="Arial"/>
          <w:sz w:val="17"/>
          <w:szCs w:val="17"/>
          <w:color w:val="auto"/>
        </w:rPr>
        <w:t>Additionally, following certain underwritten offerings of our equity securities, parties to the Investor Rights Agreement will also agree to a customary market stand-off period not to exceed 90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4" w:name="page75"/>
    <w:bookmarkEnd w:id="7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SELLING SECURITYHOLDERS</w:t>
      </w:r>
    </w:p>
    <w:p>
      <w:pPr>
        <w:spacing w:after="0" w:line="162" w:lineRule="exact"/>
        <w:rPr>
          <w:sz w:val="20"/>
          <w:szCs w:val="20"/>
          <w:color w:val="auto"/>
        </w:rPr>
      </w:pPr>
    </w:p>
    <w:p>
      <w:pPr>
        <w:ind w:left="1260" w:right="519" w:firstLine="360"/>
        <w:spacing w:after="0" w:line="282" w:lineRule="auto"/>
        <w:rPr>
          <w:sz w:val="20"/>
          <w:szCs w:val="20"/>
          <w:color w:val="auto"/>
        </w:rPr>
      </w:pPr>
      <w:r>
        <w:rPr>
          <w:rFonts w:ascii="Arial" w:cs="Arial" w:eastAsia="Arial" w:hAnsi="Arial"/>
          <w:sz w:val="17"/>
          <w:szCs w:val="17"/>
          <w:color w:val="auto"/>
        </w:rPr>
        <w:t>This prospectus also relates to the offer and resale from time to time by the Selling Securityholders, or their permitted transferees, of: (a) up to 1,161,947,946 shares of common stock, consisting of</w:t>
      </w:r>
    </w:p>
    <w:p>
      <w:pPr>
        <w:ind w:left="1260" w:right="419"/>
        <w:spacing w:after="0" w:line="262" w:lineRule="auto"/>
        <w:tabs>
          <w:tab w:leader="none" w:pos="1489" w:val="left"/>
        </w:tabs>
        <w:numPr>
          <w:ilvl w:val="0"/>
          <w:numId w:val="51"/>
        </w:numPr>
        <w:rPr>
          <w:rFonts w:ascii="Arial" w:cs="Arial" w:eastAsia="Arial" w:hAnsi="Arial"/>
          <w:sz w:val="18"/>
          <w:szCs w:val="18"/>
          <w:color w:val="auto"/>
        </w:rPr>
      </w:pPr>
      <w:r>
        <w:rPr>
          <w:rFonts w:ascii="Arial" w:cs="Arial" w:eastAsia="Arial" w:hAnsi="Arial"/>
          <w:sz w:val="18"/>
          <w:szCs w:val="18"/>
          <w:color w:val="auto"/>
        </w:rPr>
        <w:t>1,076,235,267 shares of common stock, including issued and outstanding shares of common stock, shares of common stock subject to vesting and/or exercise of the assumed Legacy Lucid Awards and shares of common stock issuable upon exercise of certain Private Placement Warrants and (ii) 85,712,679 shares of common stock issued to Ayar pursuant to the Subscription Agreement; and (b) 7,221,921 warrants representing certain Private Placement Warrants. The Selling Securityholders may from time to time offer and sell any or all of the common stock and warrants set forth below pursuant to this prospectus and any accompanying prospectus supplement. When we refer to the “Selling Securityholders” in this prospectus, we mean the persons listed in the table below, and their permitted transferees who later come to hold any of the Selling Securityholders’ interest in common stock or warrants in accordance with the terms of the agreements governing the registration rights applicable to such Selling Securityholder’s shares of common stock or warrants.</w:t>
      </w:r>
    </w:p>
    <w:p>
      <w:pPr>
        <w:spacing w:after="0" w:line="119"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The following table sets forth, based on representations from the Selling Securityholders and where applicable, filings with the SEC, the names of the Selling Securityholders, the aggregate number of shares of common stock and warrants beneficially owned, the aggregate number of shares of common stock and warrants that the Selling Securityholders may offer pursuant to this prospectus and the number of shares of common stock and warrants beneficially owned by the Selling Securityholders after the sale of the securities offered hereby. The Selling Securityholders may have sold, transferred or otherwise disposed of some or all of their shares of common stock or warrants, or may have purchased additional freely-tradeable shares of common stock or warrants since providing us with this information. We have based percentage ownership on 1,833,994,756 shares of common stock issued and outstanding as of April 17, 2023 and ownership information available as of that date.</w:t>
      </w:r>
    </w:p>
    <w:p>
      <w:pPr>
        <w:spacing w:after="0" w:line="121"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113" w:lineRule="exact"/>
        <w:rPr>
          <w:sz w:val="20"/>
          <w:szCs w:val="20"/>
          <w:color w:val="auto"/>
        </w:rPr>
      </w:pPr>
    </w:p>
    <w:p>
      <w:pPr>
        <w:ind w:left="1260" w:right="599" w:firstLine="360"/>
        <w:spacing w:after="0" w:line="265" w:lineRule="auto"/>
        <w:rPr>
          <w:sz w:val="20"/>
          <w:szCs w:val="20"/>
          <w:color w:val="auto"/>
        </w:rPr>
      </w:pPr>
      <w:r>
        <w:rPr>
          <w:rFonts w:ascii="Arial" w:cs="Arial" w:eastAsia="Arial" w:hAnsi="Arial"/>
          <w:sz w:val="18"/>
          <w:szCs w:val="18"/>
          <w:color w:val="auto"/>
        </w:rPr>
        <w:t>We cannot advise you as to whether the Selling Securityholders will in fact sell any or all of such common stock or warrants. In addition, the Selling Securityholders may sell, transfer or otherwise dispose of, at any time and from time to time, common stock and warrants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 and no other purchases or sales of our securities by the Selling Securityholders will have occurred.</w:t>
      </w:r>
    </w:p>
    <w:p>
      <w:pPr>
        <w:spacing w:after="0" w:line="128" w:lineRule="exact"/>
        <w:rPr>
          <w:sz w:val="20"/>
          <w:szCs w:val="20"/>
          <w:color w:val="auto"/>
        </w:rPr>
      </w:pPr>
    </w:p>
    <w:p>
      <w:pPr>
        <w:ind w:left="1260" w:right="459" w:firstLine="360"/>
        <w:spacing w:after="0" w:line="313" w:lineRule="auto"/>
        <w:rPr>
          <w:sz w:val="20"/>
          <w:szCs w:val="20"/>
          <w:color w:val="auto"/>
        </w:rPr>
      </w:pPr>
      <w:r>
        <w:rPr>
          <w:rFonts w:ascii="Arial" w:cs="Arial" w:eastAsia="Arial" w:hAnsi="Arial"/>
          <w:sz w:val="16"/>
          <w:szCs w:val="16"/>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5" w:name="page76"/>
    <w:bookmarkEnd w:id="7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759"/>
        <w:spacing w:after="0" w:line="277" w:lineRule="auto"/>
        <w:rPr>
          <w:sz w:val="20"/>
          <w:szCs w:val="20"/>
          <w:color w:val="auto"/>
        </w:rPr>
      </w:pPr>
      <w:r>
        <w:rPr>
          <w:rFonts w:ascii="Arial" w:cs="Arial" w:eastAsia="Arial" w:hAnsi="Arial"/>
          <w:sz w:val="18"/>
          <w:szCs w:val="18"/>
          <w:color w:val="auto"/>
        </w:rPr>
        <w:t>holder and the number of shares registered on its behalf. A Selling Security holder may sell or otherwise transfer all, some or none of such shares in this offering. See “Plan of Distribution.”</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69" w:lineRule="exact"/>
        <w:rPr>
          <w:sz w:val="20"/>
          <w:szCs w:val="20"/>
          <w:color w:val="auto"/>
        </w:rPr>
      </w:pPr>
    </w:p>
    <w:p>
      <w:pPr>
        <w:ind w:left="1260"/>
        <w:spacing w:after="0"/>
        <w:rPr>
          <w:sz w:val="20"/>
          <w:szCs w:val="20"/>
          <w:color w:val="auto"/>
        </w:rPr>
      </w:pPr>
      <w:r>
        <w:rPr>
          <w:rFonts w:ascii="Arial" w:cs="Arial" w:eastAsia="Arial" w:hAnsi="Arial"/>
          <w:sz w:val="12"/>
          <w:szCs w:val="12"/>
          <w:b w:val="1"/>
          <w:bCs w:val="1"/>
          <w:color w:val="auto"/>
        </w:rPr>
        <w:t>Name of Selling Securityholder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Shares of</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Common Stock</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4"/>
              </w:rPr>
              <w:t>Shares of</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Beneficially Owned</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Common Stock</w:t>
            </w: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ind w:left="40"/>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Prior to Offering</w:t>
            </w:r>
          </w:p>
        </w:tc>
        <w:tc>
          <w:tcPr>
            <w:tcW w:w="1260" w:type="dxa"/>
            <w:vAlign w:val="bottom"/>
            <w:gridSpan w:val="2"/>
          </w:tcPr>
          <w:p>
            <w:pPr>
              <w:ind w:left="60"/>
              <w:spacing w:after="0" w:line="225" w:lineRule="exact"/>
              <w:rPr>
                <w:sz w:val="20"/>
                <w:szCs w:val="20"/>
                <w:color w:val="auto"/>
              </w:rPr>
            </w:pP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Being Offered</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-2018665</wp:posOffset>
            </wp:positionH>
            <wp:positionV relativeFrom="paragraph">
              <wp:posOffset>-8255</wp:posOffset>
            </wp:positionV>
            <wp:extent cx="5212080"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Shares of Common Stock</w:t>
            </w:r>
          </w:p>
        </w:tc>
        <w:tc>
          <w:tcPr>
            <w:tcW w:w="40" w:type="dxa"/>
            <w:vAlign w:val="bottom"/>
          </w:tcPr>
          <w:p>
            <w:pPr>
              <w:spacing w:after="0"/>
              <w:rPr>
                <w:sz w:val="14"/>
                <w:szCs w:val="14"/>
                <w:color w:val="auto"/>
              </w:rPr>
            </w:pPr>
          </w:p>
        </w:tc>
      </w:tr>
      <w:tr>
        <w:trPr>
          <w:trHeight w:val="162"/>
        </w:trPr>
        <w:tc>
          <w:tcPr>
            <w:tcW w:w="2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Beneficially Owned After the Offered</w:t>
            </w:r>
          </w:p>
        </w:tc>
        <w:tc>
          <w:tcPr>
            <w:tcW w:w="40" w:type="dxa"/>
            <w:vAlign w:val="bottom"/>
          </w:tcPr>
          <w:p>
            <w:pPr>
              <w:spacing w:after="0"/>
              <w:rPr>
                <w:sz w:val="14"/>
                <w:szCs w:val="14"/>
                <w:color w:val="auto"/>
              </w:rPr>
            </w:pPr>
          </w:p>
        </w:tc>
      </w:tr>
      <w:tr>
        <w:trPr>
          <w:trHeight w:val="225"/>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Shares of Common Stock Are Sold</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36"/>
        </w:trPr>
        <w:tc>
          <w:tcPr>
            <w:tcW w:w="1320" w:type="dxa"/>
            <w:vAlign w:val="bottom"/>
          </w:tcPr>
          <w:p>
            <w:pPr>
              <w:ind w:left="420"/>
              <w:spacing w:after="0"/>
              <w:rPr>
                <w:sz w:val="20"/>
                <w:szCs w:val="20"/>
                <w:color w:val="auto"/>
              </w:rPr>
            </w:pPr>
            <w:r>
              <w:rPr>
                <w:rFonts w:ascii="Arial" w:cs="Arial" w:eastAsia="Arial" w:hAnsi="Arial"/>
                <w:sz w:val="14"/>
                <w:szCs w:val="14"/>
                <w:b w:val="1"/>
                <w:bCs w:val="1"/>
                <w:color w:val="auto"/>
              </w:rPr>
              <w:t>Number</w:t>
            </w:r>
          </w:p>
        </w:tc>
        <w:tc>
          <w:tcPr>
            <w:tcW w:w="920" w:type="dxa"/>
            <w:vAlign w:val="bottom"/>
            <w:gridSpan w:val="2"/>
          </w:tcPr>
          <w:p>
            <w:pPr>
              <w:ind w:left="60"/>
              <w:spacing w:after="0" w:line="236" w:lineRule="exact"/>
              <w:rPr>
                <w:sz w:val="20"/>
                <w:szCs w:val="20"/>
                <w:color w:val="auto"/>
              </w:rPr>
            </w:pP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Percent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0"/>
        </w:trPr>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 w:lineRule="exact"/>
        <w:rPr>
          <w:sz w:val="20"/>
          <w:szCs w:val="20"/>
          <w:color w:val="auto"/>
        </w:rPr>
      </w:pPr>
    </w:p>
    <w:p>
      <w:pPr>
        <w:sectPr>
          <w:pgSz w:w="11900" w:h="16838" w:orient="portrait"/>
          <w:cols w:equalWidth="0" w:num="3">
            <w:col w:w="3720" w:space="720"/>
            <w:col w:w="2780" w:space="0"/>
            <w:col w:w="2659"/>
          </w:cols>
          <w:pgMar w:left="580" w:top="90" w:right="1440" w:bottom="1440" w:gutter="0" w:footer="0" w:header="0"/>
          <w:type w:val="continuous"/>
        </w:sectPr>
      </w:pPr>
    </w:p>
    <w:p>
      <w:pPr>
        <w:ind w:left="1260"/>
        <w:spacing w:after="0"/>
        <w:rPr>
          <w:sz w:val="20"/>
          <w:szCs w:val="20"/>
          <w:color w:val="auto"/>
        </w:rPr>
      </w:pPr>
      <w:r>
        <w:rPr>
          <w:rFonts w:ascii="Arial" w:cs="Arial" w:eastAsia="Arial" w:hAnsi="Arial"/>
          <w:sz w:val="18"/>
          <w:szCs w:val="18"/>
          <w:color w:val="auto"/>
        </w:rPr>
        <w:t>Peter Rawlinson</w:t>
      </w:r>
      <w:r>
        <w:rPr>
          <w:rFonts w:ascii="Arial" w:cs="Arial" w:eastAsia="Arial" w:hAnsi="Arial"/>
          <w:sz w:val="23"/>
          <w:szCs w:val="23"/>
          <w:color w:val="auto"/>
          <w:vertAlign w:val="superscript"/>
        </w:rPr>
        <w:t>(1)</w:t>
      </w:r>
    </w:p>
    <w:p>
      <w:pPr>
        <w:spacing w:after="0" w:line="2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Sherry House</w:t>
      </w:r>
      <w:r>
        <w:rPr>
          <w:rFonts w:ascii="Arial" w:cs="Arial" w:eastAsia="Arial" w:hAnsi="Arial"/>
          <w:sz w:val="23"/>
          <w:szCs w:val="23"/>
          <w:color w:val="auto"/>
          <w:vertAlign w:val="superscript"/>
        </w:rPr>
        <w:t>(2)</w:t>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Eric Bach</w:t>
      </w:r>
      <w:r>
        <w:rPr>
          <w:rFonts w:ascii="Arial" w:cs="Arial" w:eastAsia="Arial" w:hAnsi="Arial"/>
          <w:sz w:val="23"/>
          <w:szCs w:val="23"/>
          <w:color w:val="auto"/>
          <w:vertAlign w:val="superscript"/>
        </w:rPr>
        <w:t>(3)</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Michael Bell</w:t>
      </w:r>
      <w:r>
        <w:rPr>
          <w:rFonts w:ascii="Arial" w:cs="Arial" w:eastAsia="Arial" w:hAnsi="Arial"/>
          <w:sz w:val="23"/>
          <w:szCs w:val="23"/>
          <w:color w:val="auto"/>
          <w:vertAlign w:val="superscript"/>
        </w:rPr>
        <w:t>(4)</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Andrew Liveris</w:t>
      </w:r>
      <w:r>
        <w:rPr>
          <w:rFonts w:ascii="Arial" w:cs="Arial" w:eastAsia="Arial" w:hAnsi="Arial"/>
          <w:sz w:val="23"/>
          <w:szCs w:val="23"/>
          <w:color w:val="auto"/>
          <w:vertAlign w:val="superscript"/>
        </w:rPr>
        <w:t>(5)</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Glenn R. August</w:t>
      </w:r>
      <w:r>
        <w:rPr>
          <w:rFonts w:ascii="Arial" w:cs="Arial" w:eastAsia="Arial" w:hAnsi="Arial"/>
          <w:sz w:val="23"/>
          <w:szCs w:val="23"/>
          <w:color w:val="auto"/>
          <w:vertAlign w:val="superscript"/>
        </w:rPr>
        <w:t>(6)</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Nancy Gioia</w:t>
      </w:r>
      <w:r>
        <w:rPr>
          <w:rFonts w:ascii="Arial" w:cs="Arial" w:eastAsia="Arial" w:hAnsi="Arial"/>
          <w:sz w:val="23"/>
          <w:szCs w:val="23"/>
          <w:color w:val="auto"/>
          <w:vertAlign w:val="superscript"/>
        </w:rPr>
        <w:t>(7)</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Tony Posawatz</w:t>
      </w:r>
      <w:r>
        <w:rPr>
          <w:rFonts w:ascii="Arial" w:cs="Arial" w:eastAsia="Arial" w:hAnsi="Arial"/>
          <w:sz w:val="23"/>
          <w:szCs w:val="23"/>
          <w:color w:val="auto"/>
          <w:vertAlign w:val="superscript"/>
        </w:rPr>
        <w:t>(8)</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Turqi Alnowaiser</w:t>
      </w:r>
      <w:r>
        <w:rPr>
          <w:rFonts w:ascii="Arial" w:cs="Arial" w:eastAsia="Arial" w:hAnsi="Arial"/>
          <w:sz w:val="23"/>
          <w:szCs w:val="23"/>
          <w:color w:val="auto"/>
          <w:vertAlign w:val="superscript"/>
        </w:rPr>
        <w:t>(9)</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H.E. Yasir Othman Al-Rumayyan</w:t>
      </w:r>
      <w:r>
        <w:rPr>
          <w:rFonts w:ascii="Arial" w:cs="Arial" w:eastAsia="Arial" w:hAnsi="Arial"/>
          <w:sz w:val="20"/>
          <w:szCs w:val="20"/>
          <w:color w:val="auto"/>
          <w:vertAlign w:val="superscript"/>
        </w:rPr>
        <w:t>(10)</w:t>
      </w:r>
    </w:p>
    <w:p>
      <w:pPr>
        <w:spacing w:after="0" w:line="6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Public Investment Fund</w:t>
      </w:r>
      <w:r>
        <w:rPr>
          <w:rFonts w:ascii="Arial" w:cs="Arial" w:eastAsia="Arial" w:hAnsi="Arial"/>
          <w:sz w:val="23"/>
          <w:szCs w:val="23"/>
          <w:color w:val="auto"/>
          <w:vertAlign w:val="superscript"/>
        </w:rPr>
        <w:t>(11)</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José E. Feliciano</w:t>
      </w:r>
      <w:r>
        <w:rPr>
          <w:rFonts w:ascii="Arial" w:cs="Arial" w:eastAsia="Arial" w:hAnsi="Arial"/>
          <w:sz w:val="23"/>
          <w:szCs w:val="23"/>
          <w:color w:val="auto"/>
          <w:vertAlign w:val="superscript"/>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69"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Name of Selling Securityholder</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36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22,619,306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32,491,492​​ ​</w:t>
            </w: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228,540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509,254​​ ​</w:t>
            </w: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3,515,827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4,182,178​​ ​</w:t>
            </w: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606,977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971,189​​ ​</w:t>
            </w: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1,312,183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1,298,622​​ ​</w:t>
            </w: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13,561</w:t>
            </w:r>
          </w:p>
        </w:tc>
        <w:tc>
          <w:tcPr>
            <w:tcW w:w="400" w:type="dxa"/>
            <w:vAlign w:val="bottom"/>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13,872,135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13,858,574​​ ​</w:t>
            </w: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13,561</w:t>
            </w:r>
          </w:p>
        </w:tc>
        <w:tc>
          <w:tcPr>
            <w:tcW w:w="400" w:type="dxa"/>
            <w:vAlign w:val="bottom"/>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138,561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125,000​​ ​</w:t>
            </w: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13,561</w:t>
            </w:r>
          </w:p>
        </w:tc>
        <w:tc>
          <w:tcPr>
            <w:tcW w:w="400" w:type="dxa"/>
            <w:vAlign w:val="bottom"/>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51,930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38,369​​ ​</w:t>
            </w: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13,561</w:t>
            </w:r>
          </w:p>
        </w:tc>
        <w:tc>
          <w:tcPr>
            <w:tcW w:w="400" w:type="dxa"/>
            <w:vAlign w:val="bottom"/>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97"/>
        </w:trPr>
        <w:tc>
          <w:tcPr>
            <w:tcW w:w="1440" w:type="dxa"/>
            <w:vAlign w:val="bottom"/>
            <w:gridSpan w:val="3"/>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1,103,056,371 ​​</w:t>
            </w:r>
          </w:p>
        </w:tc>
        <w:tc>
          <w:tcPr>
            <w:tcW w:w="24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2,070,138​​ ​</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w:t>
            </w:r>
            <w:r>
              <w:rPr>
                <w:rFonts w:ascii="Arial" w:cs="Arial" w:eastAsia="Arial" w:hAnsi="Arial"/>
                <w:sz w:val="18"/>
                <w:szCs w:val="18"/>
                <w:color w:val="auto"/>
                <w:w w:val="93"/>
              </w:rPr>
              <w:t>1,100,986,233</w:t>
            </w:r>
          </w:p>
        </w:tc>
        <w:tc>
          <w:tcPr>
            <w:tcW w:w="400" w:type="dxa"/>
            <w:vAlign w:val="bottom"/>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97"/>
        </w:trPr>
        <w:tc>
          <w:tcPr>
            <w:tcW w:w="1440" w:type="dxa"/>
            <w:vAlign w:val="bottom"/>
            <w:gridSpan w:val="3"/>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1,105,619,797 ​​</w:t>
            </w:r>
          </w:p>
        </w:tc>
        <w:tc>
          <w:tcPr>
            <w:tcW w:w="24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4,604,595​​ ​</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w:t>
            </w:r>
            <w:r>
              <w:rPr>
                <w:rFonts w:ascii="Arial" w:cs="Arial" w:eastAsia="Arial" w:hAnsi="Arial"/>
                <w:sz w:val="18"/>
                <w:szCs w:val="18"/>
                <w:color w:val="auto"/>
                <w:w w:val="93"/>
              </w:rPr>
              <w:t>1,101,015,202</w:t>
            </w:r>
          </w:p>
        </w:tc>
        <w:tc>
          <w:tcPr>
            <w:tcW w:w="400" w:type="dxa"/>
            <w:vAlign w:val="bottom"/>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97"/>
        </w:trPr>
        <w:tc>
          <w:tcPr>
            <w:tcW w:w="1440" w:type="dxa"/>
            <w:vAlign w:val="bottom"/>
            <w:gridSpan w:val="3"/>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1,109,006,595 ​​</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1,100,965,202​​ ​</w:t>
            </w: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8,041,393</w:t>
            </w:r>
          </w:p>
        </w:tc>
        <w:tc>
          <w:tcPr>
            <w:tcW w:w="400" w:type="dxa"/>
            <w:vAlign w:val="bottom"/>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833,333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833,333​​ ​</w:t>
            </w: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-2018665</wp:posOffset>
            </wp:positionH>
            <wp:positionV relativeFrom="paragraph">
              <wp:posOffset>-1902460</wp:posOffset>
            </wp:positionV>
            <wp:extent cx="521208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-1525270</wp:posOffset>
            </wp:positionV>
            <wp:extent cx="521208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-1148080</wp:posOffset>
            </wp:positionV>
            <wp:extent cx="5212080"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-770890</wp:posOffset>
            </wp:positionV>
            <wp:extent cx="521208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-393700</wp:posOffset>
            </wp:positionV>
            <wp:extent cx="521208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173" w:lineRule="exact"/>
        <w:rPr>
          <w:sz w:val="20"/>
          <w:szCs w:val="20"/>
          <w:color w:val="auto"/>
        </w:rPr>
      </w:pPr>
    </w:p>
    <w:tbl>
      <w:tblPr>
        <w:tblLayout w:type="fixed"/>
        <w:tblInd w:w="60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Private Placement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Warrants Beneficially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Number of Private</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Private</w:t>
            </w:r>
          </w:p>
        </w:tc>
        <w:tc>
          <w:tcPr>
            <w:tcW w:w="20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Owned After the Offered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6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Private Placement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60" w:type="dxa"/>
            <w:vAlign w:val="bottom"/>
          </w:tcPr>
          <w:p>
            <w:pPr>
              <w:spacing w:after="0"/>
              <w:rPr>
                <w:sz w:val="5"/>
                <w:szCs w:val="5"/>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Placement Warrants</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Placement</w:t>
            </w:r>
          </w:p>
        </w:tc>
        <w:tc>
          <w:tcPr>
            <w:tcW w:w="200" w:type="dxa"/>
            <w:vAlign w:val="bottom"/>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Warrants are Sold</w:t>
            </w: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6"/>
        </w:trPr>
        <w:tc>
          <w:tcPr>
            <w:tcW w:w="160" w:type="dxa"/>
            <w:vAlign w:val="bottom"/>
            <w:vMerge w:val="continue"/>
          </w:tcPr>
          <w:p>
            <w:pPr>
              <w:spacing w:after="0"/>
              <w:rPr>
                <w:sz w:val="11"/>
                <w:szCs w:val="11"/>
                <w:color w:val="auto"/>
              </w:rPr>
            </w:pPr>
          </w:p>
        </w:tc>
        <w:tc>
          <w:tcPr>
            <w:tcW w:w="14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88"/>
              </w:rPr>
              <w:t>Beneficially Owned</w:t>
            </w:r>
          </w:p>
        </w:tc>
        <w:tc>
          <w:tcPr>
            <w:tcW w:w="11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0"/>
              </w:rPr>
              <w:t>Warrants Being</w:t>
            </w:r>
          </w:p>
        </w:tc>
        <w:tc>
          <w:tcPr>
            <w:tcW w:w="200" w:type="dxa"/>
            <w:vAlign w:val="bottom"/>
            <w:vMerge w:val="continue"/>
          </w:tcPr>
          <w:p>
            <w:pPr>
              <w:spacing w:after="0"/>
              <w:rPr>
                <w:sz w:val="11"/>
                <w:szCs w:val="11"/>
                <w:color w:val="auto"/>
              </w:rPr>
            </w:pPr>
          </w:p>
        </w:tc>
        <w:tc>
          <w:tcPr>
            <w:tcW w:w="1500" w:type="dxa"/>
            <w:vAlign w:val="bottom"/>
            <w:tcBorders>
              <w:bottom w:val="single" w:sz="8" w:color="auto"/>
            </w:tcBorders>
            <w:gridSpan w:val="3"/>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160" w:type="dxa"/>
            <w:vAlign w:val="bottom"/>
          </w:tcPr>
          <w:p>
            <w:pPr>
              <w:spacing w:after="0"/>
              <w:rPr>
                <w:sz w:val="20"/>
                <w:szCs w:val="20"/>
                <w:color w:val="auto"/>
              </w:rPr>
            </w:pPr>
            <w:r>
              <w:rPr>
                <w:rFonts w:ascii="Arial" w:cs="Arial" w:eastAsia="Arial" w:hAnsi="Arial"/>
                <w:sz w:val="14"/>
                <w:szCs w:val="14"/>
                <w:b w:val="1"/>
                <w:bCs w:val="1"/>
                <w:color w:val="auto"/>
              </w:rPr>
              <w:t>​ ​</w:t>
            </w:r>
          </w:p>
        </w:tc>
        <w:tc>
          <w:tcPr>
            <w:tcW w:w="1440" w:type="dxa"/>
            <w:vAlign w:val="bottom"/>
            <w:gridSpan w:val="2"/>
          </w:tcPr>
          <w:p>
            <w:pPr>
              <w:ind w:left="120"/>
              <w:spacing w:after="0" w:line="236" w:lineRule="exact"/>
              <w:rPr>
                <w:sz w:val="20"/>
                <w:szCs w:val="20"/>
                <w:color w:val="auto"/>
              </w:rPr>
            </w:pPr>
            <w:r>
              <w:rPr>
                <w:rFonts w:ascii="Arial" w:cs="Arial" w:eastAsia="Arial" w:hAnsi="Arial"/>
                <w:sz w:val="14"/>
                <w:szCs w:val="14"/>
                <w:b w:val="1"/>
                <w:bCs w:val="1"/>
                <w:color w:val="auto"/>
              </w:rPr>
              <w:t xml:space="preserve">Prior to Offering  </w:t>
            </w:r>
            <w:r>
              <w:rPr>
                <w:rFonts w:ascii="Arial" w:cs="Arial" w:eastAsia="Arial" w:hAnsi="Arial"/>
                <w:sz w:val="27"/>
                <w:szCs w:val="27"/>
                <w:b w:val="1"/>
                <w:bCs w:val="1"/>
                <w:color w:val="auto"/>
                <w:vertAlign w:val="subscript"/>
              </w:rPr>
              <w:t>​ ​</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Offered</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500" w:type="dxa"/>
            <w:vAlign w:val="bottom"/>
            <w:gridSpan w:val="3"/>
          </w:tcPr>
          <w:p>
            <w:pPr>
              <w:jc w:val="center"/>
              <w:spacing w:after="0" w:line="236" w:lineRule="exact"/>
              <w:rPr>
                <w:sz w:val="20"/>
                <w:szCs w:val="20"/>
                <w:color w:val="auto"/>
              </w:rPr>
            </w:pPr>
            <w:r>
              <w:rPr>
                <w:rFonts w:ascii="Arial" w:cs="Arial" w:eastAsia="Arial" w:hAnsi="Arial"/>
                <w:sz w:val="14"/>
                <w:szCs w:val="14"/>
                <w:b w:val="1"/>
                <w:bCs w:val="1"/>
                <w:color w:val="auto"/>
              </w:rPr>
              <w:t xml:space="preserve">Number  </w:t>
            </w: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Percent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-8255</wp:posOffset>
            </wp:positionV>
            <wp:extent cx="137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-8255</wp:posOffset>
            </wp:positionV>
            <wp:extent cx="137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-8255</wp:posOffset>
            </wp:positionV>
            <wp:extent cx="1371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-8255</wp:posOffset>
            </wp:positionV>
            <wp:extent cx="137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980" w:space="460"/>
            <w:col w:w="5439"/>
          </w:cols>
          <w:pgMar w:left="580" w:top="90"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63"/>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Andrew Liveris</w:t>
            </w:r>
            <w:r>
              <w:rPr>
                <w:rFonts w:ascii="Arial" w:cs="Arial" w:eastAsia="Arial" w:hAnsi="Arial"/>
                <w:sz w:val="23"/>
                <w:szCs w:val="23"/>
                <w:color w:val="auto"/>
                <w:vertAlign w:val="superscript"/>
              </w:rPr>
              <w:t>(5)</w:t>
            </w:r>
          </w:p>
        </w:tc>
        <w:tc>
          <w:tcPr>
            <w:tcW w:w="3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9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363,347</w:t>
            </w:r>
          </w:p>
        </w:tc>
        <w:tc>
          <w:tcPr>
            <w:tcW w:w="4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9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363,347</w:t>
            </w:r>
          </w:p>
        </w:tc>
        <w:tc>
          <w:tcPr>
            <w:tcW w:w="4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4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5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325"/>
        </w:trPr>
        <w:tc>
          <w:tcPr>
            <w:tcW w:w="3720" w:type="dxa"/>
            <w:vAlign w:val="bottom"/>
          </w:tcPr>
          <w:p>
            <w:pPr>
              <w:spacing w:after="0"/>
              <w:rPr>
                <w:sz w:val="20"/>
                <w:szCs w:val="20"/>
                <w:color w:val="auto"/>
              </w:rPr>
            </w:pPr>
            <w:r>
              <w:rPr>
                <w:rFonts w:ascii="Arial" w:cs="Arial" w:eastAsia="Arial" w:hAnsi="Arial"/>
                <w:sz w:val="18"/>
                <w:szCs w:val="18"/>
                <w:color w:val="auto"/>
              </w:rPr>
              <w:t>Glenn R. August</w:t>
            </w:r>
            <w:r>
              <w:rPr>
                <w:rFonts w:ascii="Arial" w:cs="Arial" w:eastAsia="Arial" w:hAnsi="Arial"/>
                <w:sz w:val="23"/>
                <w:szCs w:val="23"/>
                <w:color w:val="auto"/>
                <w:vertAlign w:val="superscript"/>
              </w:rPr>
              <w:t>(6)</w:t>
            </w:r>
          </w:p>
        </w:tc>
        <w:tc>
          <w:tcPr>
            <w:tcW w:w="340" w:type="dxa"/>
            <w:vAlign w:val="bottom"/>
          </w:tcPr>
          <w:p>
            <w:pPr>
              <w:ind w:left="60"/>
              <w:spacing w:after="0"/>
              <w:rPr>
                <w:sz w:val="20"/>
                <w:szCs w:val="20"/>
                <w:color w:val="auto"/>
              </w:rPr>
            </w:pPr>
            <w:r>
              <w:rPr>
                <w:rFonts w:ascii="Arial" w:cs="Arial" w:eastAsia="Arial" w:hAnsi="Arial"/>
                <w:sz w:val="18"/>
                <w:szCs w:val="18"/>
                <w:color w:val="auto"/>
              </w:rPr>
              <w:t>​ ​</w:t>
            </w:r>
          </w:p>
        </w:tc>
        <w:tc>
          <w:tcPr>
            <w:tcW w:w="980" w:type="dxa"/>
            <w:vAlign w:val="bottom"/>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6,858,574</w:t>
            </w:r>
          </w:p>
        </w:tc>
        <w:tc>
          <w:tcPr>
            <w:tcW w:w="440" w:type="dxa"/>
            <w:vAlign w:val="bottom"/>
          </w:tcPr>
          <w:p>
            <w:pPr>
              <w:ind w:left="120"/>
              <w:spacing w:after="0"/>
              <w:rPr>
                <w:sz w:val="20"/>
                <w:szCs w:val="20"/>
                <w:color w:val="auto"/>
              </w:rPr>
            </w:pPr>
            <w:r>
              <w:rPr>
                <w:rFonts w:ascii="Arial" w:cs="Arial" w:eastAsia="Arial" w:hAnsi="Arial"/>
                <w:sz w:val="18"/>
                <w:szCs w:val="18"/>
                <w:color w:val="auto"/>
              </w:rPr>
              <w:t>​​ ​</w:t>
            </w:r>
          </w:p>
        </w:tc>
        <w:tc>
          <w:tcPr>
            <w:tcW w:w="920" w:type="dxa"/>
            <w:vAlign w:val="bottom"/>
          </w:tcPr>
          <w:p>
            <w:pPr>
              <w:ind w:left="10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auto"/>
                <w:w w:val="99"/>
              </w:rPr>
              <w:t>6,858,574</w:t>
            </w:r>
          </w:p>
        </w:tc>
        <w:tc>
          <w:tcPr>
            <w:tcW w:w="420" w:type="dxa"/>
            <w:vAlign w:val="bottom"/>
          </w:tcPr>
          <w:p>
            <w:pPr>
              <w:ind w:left="100"/>
              <w:spacing w:after="0"/>
              <w:rPr>
                <w:sz w:val="20"/>
                <w:szCs w:val="20"/>
                <w:color w:val="auto"/>
              </w:rPr>
            </w:pPr>
            <w:r>
              <w:rPr>
                <w:rFonts w:ascii="Arial" w:cs="Arial" w:eastAsia="Arial" w:hAnsi="Arial"/>
                <w:sz w:val="18"/>
                <w:szCs w:val="18"/>
                <w:color w:val="auto"/>
              </w:rPr>
              <w:t>​​ ​</w:t>
            </w:r>
          </w:p>
        </w:tc>
        <w:tc>
          <w:tcPr>
            <w:tcW w:w="420" w:type="dxa"/>
            <w:vAlign w:val="bottom"/>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440" w:type="dxa"/>
            <w:vAlign w:val="bottom"/>
          </w:tcPr>
          <w:p>
            <w:pPr>
              <w:ind w:left="120"/>
              <w:spacing w:after="0"/>
              <w:rPr>
                <w:sz w:val="20"/>
                <w:szCs w:val="20"/>
                <w:color w:val="auto"/>
              </w:rPr>
            </w:pPr>
            <w:r>
              <w:rPr>
                <w:rFonts w:ascii="Arial" w:cs="Arial" w:eastAsia="Arial" w:hAnsi="Arial"/>
                <w:sz w:val="18"/>
                <w:szCs w:val="18"/>
                <w:color w:val="auto"/>
              </w:rPr>
              <w:t>​​ ​</w:t>
            </w:r>
          </w:p>
        </w:tc>
        <w:tc>
          <w:tcPr>
            <w:tcW w:w="520" w:type="dxa"/>
            <w:vAlign w:val="bottom"/>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127635</wp:posOffset>
            </wp:positionV>
            <wp:extent cx="12344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9" w:lineRule="exact"/>
        <w:rPr>
          <w:sz w:val="20"/>
          <w:szCs w:val="20"/>
          <w:color w:val="auto"/>
        </w:rPr>
      </w:pPr>
    </w:p>
    <w:p>
      <w:pPr>
        <w:ind w:left="1620" w:hanging="360"/>
        <w:spacing w:after="0"/>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1620" w:right="519" w:hanging="360"/>
        <w:spacing w:after="0" w:line="273" w:lineRule="auto"/>
        <w:tabs>
          <w:tab w:leader="none" w:pos="1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Mr. Rawlinson has served as our Chief Executive Officer and Chief Technology Officer and director since April 2019. Shares offered hereby include (i) 10,442,791 currently issued and outstanding shares of common stock; (ii) 12,176,515 shares of common stock subject to currently outstanding Lucid Awards vested or exercisable, or vesting or becoming exercisable, as applicable, within 60 days of April 17, 2023; and (iii) 9,872,186 shares of common stock subject to currently outstanding Lucid Awards vesting or becoming exercisable, as applicable, after June 16, 2023.</w:t>
      </w:r>
    </w:p>
    <w:p>
      <w:pPr>
        <w:spacing w:after="0" w:line="29" w:lineRule="exact"/>
        <w:rPr>
          <w:rFonts w:ascii="Arial" w:cs="Arial" w:eastAsia="Arial" w:hAnsi="Arial"/>
          <w:sz w:val="17"/>
          <w:szCs w:val="17"/>
          <w:color w:val="auto"/>
        </w:rPr>
      </w:pPr>
    </w:p>
    <w:p>
      <w:pPr>
        <w:ind w:left="1620" w:hanging="360"/>
        <w:spacing w:after="0"/>
        <w:tabs>
          <w:tab w:leader="none" w:pos="1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Ms. House has served as our Chief Financial Officer since May 2021. Shares offered hereby include</w:t>
      </w:r>
    </w:p>
    <w:p>
      <w:pPr>
        <w:spacing w:after="0" w:line="34" w:lineRule="exact"/>
        <w:rPr>
          <w:rFonts w:ascii="Arial" w:cs="Arial" w:eastAsia="Arial" w:hAnsi="Arial"/>
          <w:sz w:val="17"/>
          <w:szCs w:val="17"/>
          <w:color w:val="auto"/>
        </w:rPr>
      </w:pPr>
    </w:p>
    <w:p>
      <w:pPr>
        <w:ind w:left="1620" w:right="599"/>
        <w:spacing w:after="0" w:line="252" w:lineRule="auto"/>
        <w:tabs>
          <w:tab w:leader="none" w:pos="1849" w:val="left"/>
        </w:tabs>
        <w:numPr>
          <w:ilvl w:val="1"/>
          <w:numId w:val="53"/>
        </w:numPr>
        <w:rPr>
          <w:rFonts w:ascii="Arial" w:cs="Arial" w:eastAsia="Arial" w:hAnsi="Arial"/>
          <w:sz w:val="18"/>
          <w:szCs w:val="18"/>
          <w:color w:val="auto"/>
        </w:rPr>
      </w:pPr>
      <w:r>
        <w:rPr>
          <w:rFonts w:ascii="Arial" w:cs="Arial" w:eastAsia="Arial" w:hAnsi="Arial"/>
          <w:sz w:val="18"/>
          <w:szCs w:val="18"/>
          <w:color w:val="auto"/>
        </w:rPr>
        <w:t>137,441 currently issued and outstanding shares of common stock; (ii) 41,313 shares of common stock issuable upon exercise of outstanding Lucid RSUs that are currently exercisable or become exercisable within 60 days of April 17, 2023; and (iii) 330,500 shares of common stock subject to currently outstanding Lucid RSUs vesting after June 16, 2023. Upon vesting of such Lucid RSUs, the shares will be held by The House Revocable Trust, dated March 20, 2021, with Christopher A. House and /or Sherry A. House serving as Trustees. Christopher A. House and Sherry A. House are the beneficial owners of The House Revocable Trust.</w:t>
      </w:r>
    </w:p>
    <w:p>
      <w:pPr>
        <w:spacing w:after="0" w:line="57" w:lineRule="exact"/>
        <w:rPr>
          <w:rFonts w:ascii="Arial" w:cs="Arial" w:eastAsia="Arial" w:hAnsi="Arial"/>
          <w:sz w:val="18"/>
          <w:szCs w:val="18"/>
          <w:color w:val="auto"/>
        </w:rPr>
      </w:pPr>
    </w:p>
    <w:p>
      <w:pPr>
        <w:jc w:val="both"/>
        <w:ind w:left="1620" w:right="859" w:hanging="360"/>
        <w:spacing w:after="0" w:line="269" w:lineRule="auto"/>
        <w:tabs>
          <w:tab w:leader="none" w:pos="1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Mr. Bach has served as our Senior Vice President, Product and Chief Engineer since March 2021. Mr. Bach previously served as our Vice President, Hardware Engineering from September 2018 to February 2021 and as Senior Director, Body Engineering from April 2015 to August 2018. Shares offered hereby include (i) 1,121,184 currently issued and outstanding shares of common stock;</w:t>
      </w:r>
    </w:p>
    <w:p>
      <w:pPr>
        <w:spacing w:after="0" w:line="1" w:lineRule="exact"/>
        <w:rPr>
          <w:rFonts w:ascii="Arial" w:cs="Arial" w:eastAsia="Arial" w:hAnsi="Arial"/>
          <w:sz w:val="17"/>
          <w:szCs w:val="17"/>
          <w:color w:val="auto"/>
        </w:rPr>
      </w:pPr>
    </w:p>
    <w:p>
      <w:pPr>
        <w:ind w:left="1620" w:right="659"/>
        <w:spacing w:after="0" w:line="265" w:lineRule="auto"/>
        <w:tabs>
          <w:tab w:leader="none" w:pos="1903" w:val="left"/>
        </w:tabs>
        <w:numPr>
          <w:ilvl w:val="1"/>
          <w:numId w:val="54"/>
        </w:numPr>
        <w:rPr>
          <w:rFonts w:ascii="Arial" w:cs="Arial" w:eastAsia="Arial" w:hAnsi="Arial"/>
          <w:sz w:val="17"/>
          <w:szCs w:val="17"/>
          <w:color w:val="auto"/>
        </w:rPr>
      </w:pPr>
      <w:r>
        <w:rPr>
          <w:rFonts w:ascii="Arial" w:cs="Arial" w:eastAsia="Arial" w:hAnsi="Arial"/>
          <w:sz w:val="17"/>
          <w:szCs w:val="17"/>
          <w:color w:val="auto"/>
        </w:rPr>
        <w:t>2,347,667 shares of common stock subject to currently outstanding Lucid Awards vested or exercisable, or vesting or becoming exercisable, as applicable, within 60 days of April 17, 2023; and</w:t>
      </w:r>
    </w:p>
    <w:p>
      <w:pPr>
        <w:ind w:left="1620" w:right="1119"/>
        <w:spacing w:after="0" w:line="260" w:lineRule="auto"/>
        <w:tabs>
          <w:tab w:leader="none" w:pos="1956" w:val="left"/>
        </w:tabs>
        <w:numPr>
          <w:ilvl w:val="1"/>
          <w:numId w:val="54"/>
        </w:numPr>
        <w:rPr>
          <w:rFonts w:ascii="Arial" w:cs="Arial" w:eastAsia="Arial" w:hAnsi="Arial"/>
          <w:sz w:val="18"/>
          <w:szCs w:val="18"/>
          <w:color w:val="auto"/>
        </w:rPr>
      </w:pPr>
      <w:r>
        <w:rPr>
          <w:rFonts w:ascii="Arial" w:cs="Arial" w:eastAsia="Arial" w:hAnsi="Arial"/>
          <w:sz w:val="18"/>
          <w:szCs w:val="18"/>
          <w:color w:val="auto"/>
        </w:rPr>
        <w:t>713,327 shares of common stock subject to currently outstanding Lucid Awards vesting or becoming exercisable, as applicable, after June 16, 2023.</w:t>
      </w:r>
    </w:p>
    <w:p>
      <w:pPr>
        <w:sectPr>
          <w:pgSz w:w="11900" w:h="16838" w:orient="portrait"/>
          <w:cols w:equalWidth="0" w:num="1">
            <w:col w:w="9879"/>
          </w:cols>
          <w:pgMar w:left="580" w:top="90" w:right="1440" w:bottom="1440" w:gutter="0" w:footer="0" w:header="0"/>
          <w:type w:val="continuous"/>
        </w:sectPr>
      </w:pPr>
    </w:p>
    <w:p>
      <w:pPr>
        <w:spacing w:after="0" w:line="36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20" w:right="759" w:hanging="360"/>
        <w:spacing w:after="0" w:line="269" w:lineRule="auto"/>
        <w:tabs>
          <w:tab w:leader="none" w:pos="1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Mr. Bell has served as our Senior Vice President, Digital since February 2021, and served as our consultant from August 2020 to February 2021. Shares offered hereby include (i) 475,439 currently issued and outstanding shares of common stock; (ii) 82,625 shares of common stock issuable upon exercise of outstanding Lucid RSUs that are currently exercisable or become exercisable within</w:t>
      </w:r>
    </w:p>
    <w:p>
      <w:pPr>
        <w:spacing w:after="0" w:line="1" w:lineRule="exact"/>
        <w:rPr>
          <w:rFonts w:ascii="Arial" w:cs="Arial" w:eastAsia="Arial" w:hAnsi="Arial"/>
          <w:sz w:val="17"/>
          <w:szCs w:val="17"/>
          <w:color w:val="auto"/>
        </w:rPr>
      </w:pPr>
    </w:p>
    <w:p>
      <w:pPr>
        <w:ind w:left="1620" w:right="519"/>
        <w:spacing w:after="0" w:line="260" w:lineRule="auto"/>
        <w:rPr>
          <w:rFonts w:ascii="Arial" w:cs="Arial" w:eastAsia="Arial" w:hAnsi="Arial"/>
          <w:sz w:val="17"/>
          <w:szCs w:val="17"/>
          <w:color w:val="auto"/>
        </w:rPr>
      </w:pPr>
      <w:r>
        <w:rPr>
          <w:rFonts w:ascii="Arial" w:cs="Arial" w:eastAsia="Arial" w:hAnsi="Arial"/>
          <w:sz w:val="18"/>
          <w:szCs w:val="18"/>
          <w:color w:val="auto"/>
        </w:rPr>
        <w:t>60 days of August 15, 2022; and (iii) 413,125 shares of common stock subject to currently outstanding Lucid RSUs vesting after June 16, 2023.</w:t>
      </w:r>
    </w:p>
    <w:p>
      <w:pPr>
        <w:spacing w:after="0" w:line="50" w:lineRule="exact"/>
        <w:rPr>
          <w:rFonts w:ascii="Arial" w:cs="Arial" w:eastAsia="Arial" w:hAnsi="Arial"/>
          <w:sz w:val="17"/>
          <w:szCs w:val="17"/>
          <w:color w:val="auto"/>
        </w:rPr>
      </w:pPr>
    </w:p>
    <w:p>
      <w:pPr>
        <w:ind w:left="1620" w:right="419" w:hanging="360"/>
        <w:spacing w:after="0" w:line="274" w:lineRule="auto"/>
        <w:tabs>
          <w:tab w:leader="none" w:pos="1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Mr. Liveris has served as a member of our Board since April 2019. He was Chairman of our Board until April 2023. Shares offered hereby include (i) 535,275 shares of common stock held by Mr. Liveris and</w:t>
      </w:r>
    </w:p>
    <w:p>
      <w:pPr>
        <w:ind w:left="1620" w:right="599"/>
        <w:spacing w:after="0" w:line="271" w:lineRule="auto"/>
        <w:tabs>
          <w:tab w:leader="none" w:pos="1903" w:val="left"/>
        </w:tabs>
        <w:numPr>
          <w:ilvl w:val="1"/>
          <w:numId w:val="55"/>
        </w:numPr>
        <w:rPr>
          <w:rFonts w:ascii="Arial" w:cs="Arial" w:eastAsia="Arial" w:hAnsi="Arial"/>
          <w:sz w:val="17"/>
          <w:szCs w:val="17"/>
          <w:color w:val="auto"/>
        </w:rPr>
      </w:pPr>
      <w:r>
        <w:rPr>
          <w:rFonts w:ascii="Arial" w:cs="Arial" w:eastAsia="Arial" w:hAnsi="Arial"/>
          <w:sz w:val="17"/>
          <w:szCs w:val="17"/>
          <w:color w:val="auto"/>
        </w:rPr>
        <w:t>400,000 shares of common stock and 363,347 shares of common stock issuable upon exercise of Private Placement Warrants held by Liveris Capital Partners LLC. Mr. Liveris has investment control over Liveris Capital Partners and disclaims beneficial ownership of such shares of common stock and Private Placement Warrants held by Liveris Capital Partners LLC. The business address for Liveris Capital Partners LLC is c/o BDO 225 N E Mizner Blvd, Suite 685, Boca Raton, FL 33432.</w:t>
      </w:r>
    </w:p>
    <w:p>
      <w:pPr>
        <w:spacing w:after="0" w:line="29" w:lineRule="exact"/>
        <w:rPr>
          <w:rFonts w:ascii="Arial" w:cs="Arial" w:eastAsia="Arial" w:hAnsi="Arial"/>
          <w:sz w:val="17"/>
          <w:szCs w:val="17"/>
          <w:color w:val="auto"/>
        </w:rPr>
      </w:pPr>
    </w:p>
    <w:p>
      <w:pPr>
        <w:ind w:left="1620" w:right="1079" w:hanging="360"/>
        <w:spacing w:after="0" w:line="274" w:lineRule="auto"/>
        <w:tabs>
          <w:tab w:leader="none" w:pos="1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Mr. August has served as a member of our Board since July 2021 and he previously served as a member of Churchill’s board of directors from August 2020. Shares offered hereby include</w:t>
      </w:r>
    </w:p>
    <w:p>
      <w:pPr>
        <w:ind w:left="1620" w:right="599"/>
        <w:spacing w:after="0" w:line="252" w:lineRule="auto"/>
        <w:tabs>
          <w:tab w:leader="none" w:pos="1849" w:val="left"/>
        </w:tabs>
        <w:numPr>
          <w:ilvl w:val="1"/>
          <w:numId w:val="56"/>
        </w:numPr>
        <w:rPr>
          <w:rFonts w:ascii="Arial" w:cs="Arial" w:eastAsia="Arial" w:hAnsi="Arial"/>
          <w:sz w:val="18"/>
          <w:szCs w:val="18"/>
          <w:color w:val="auto"/>
        </w:rPr>
      </w:pPr>
      <w:r>
        <w:rPr>
          <w:rFonts w:ascii="Arial" w:cs="Arial" w:eastAsia="Arial" w:hAnsi="Arial"/>
          <w:sz w:val="18"/>
          <w:szCs w:val="18"/>
          <w:color w:val="auto"/>
        </w:rPr>
        <w:t>7,000,000 shares of common stock and (ii) 6,858,574 shares of common stock issuable upon exercise of Private Placement Warrants held by OHA Partner Global Co-Investment III, LLP (“OHA PGCI3”). Mr. August has investment control over OHA PGCI3 and may be deemed to be a beneficial owner of such shares of common stock and Private Placement Warrants held by OHA PGCI3. The business address for OHA PGCI3 is OHA PGCI3, c/o Oak Hill Advisors, L.P., 1 Vanderbilt Avenue 16th Floor, NYC, NY 10017.</w:t>
      </w:r>
    </w:p>
    <w:p>
      <w:pPr>
        <w:spacing w:after="0" w:line="45" w:lineRule="exact"/>
        <w:rPr>
          <w:rFonts w:ascii="Arial" w:cs="Arial" w:eastAsia="Arial" w:hAnsi="Arial"/>
          <w:sz w:val="18"/>
          <w:szCs w:val="18"/>
          <w:color w:val="auto"/>
        </w:rPr>
      </w:pPr>
    </w:p>
    <w:p>
      <w:pPr>
        <w:ind w:left="1620" w:right="959" w:hanging="360"/>
        <w:spacing w:after="0" w:line="277"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Ms. Gioia served as a member of our Board from July 2021 to April 2023. Shares offered hereby include 125,000 shares of common stock.</w:t>
      </w:r>
    </w:p>
    <w:p>
      <w:pPr>
        <w:spacing w:after="0" w:line="35" w:lineRule="exact"/>
        <w:rPr>
          <w:rFonts w:ascii="Arial" w:cs="Arial" w:eastAsia="Arial" w:hAnsi="Arial"/>
          <w:sz w:val="18"/>
          <w:szCs w:val="18"/>
          <w:color w:val="auto"/>
        </w:rPr>
      </w:pPr>
    </w:p>
    <w:p>
      <w:pPr>
        <w:ind w:left="1620" w:right="619" w:hanging="360"/>
        <w:spacing w:after="0" w:line="277"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Mr. Posawatz served as a member of our Board from April 2019 to April 2023. Shares offered hereby include 38,369 shares of common stock.</w:t>
      </w:r>
    </w:p>
    <w:p>
      <w:pPr>
        <w:spacing w:after="0" w:line="21" w:lineRule="exact"/>
        <w:rPr>
          <w:rFonts w:ascii="Arial" w:cs="Arial" w:eastAsia="Arial" w:hAnsi="Arial"/>
          <w:sz w:val="18"/>
          <w:szCs w:val="18"/>
          <w:color w:val="auto"/>
        </w:rPr>
      </w:pPr>
    </w:p>
    <w:p>
      <w:pPr>
        <w:ind w:left="1620" w:right="459" w:hanging="360"/>
        <w:spacing w:after="0" w:line="259"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Mr. Alnowaiser has served as a member of our board of directors since April 2019. He has been Chairman of our Board since April 2023. Also see footnote 11. Mr. Alnowaiser disclaims beneficial ownership of the shares held by Ayar. Shares offered hereby include 2,070,138 shares of common stock issued to Mr. Alnowaiser upon the Closing.</w:t>
      </w:r>
    </w:p>
    <w:p>
      <w:pPr>
        <w:spacing w:after="0" w:line="38" w:lineRule="exact"/>
        <w:rPr>
          <w:rFonts w:ascii="Arial" w:cs="Arial" w:eastAsia="Arial" w:hAnsi="Arial"/>
          <w:sz w:val="18"/>
          <w:szCs w:val="18"/>
          <w:color w:val="auto"/>
        </w:rPr>
      </w:pPr>
    </w:p>
    <w:p>
      <w:pPr>
        <w:ind w:left="1620" w:right="419" w:hanging="360"/>
        <w:spacing w:after="0" w:line="263"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Also see footnote 11. H.E. Al-Rumayyan disclaims beneficial ownership of the shares held by Ayar. Shares offered hereby include 4,604,595 shares of common stock issued to H.E. Al-Rumayyan upon the Closing.</w:t>
      </w:r>
    </w:p>
    <w:p>
      <w:pPr>
        <w:spacing w:after="0" w:line="48" w:lineRule="exact"/>
        <w:rPr>
          <w:rFonts w:ascii="Arial" w:cs="Arial" w:eastAsia="Arial" w:hAnsi="Arial"/>
          <w:sz w:val="18"/>
          <w:szCs w:val="18"/>
          <w:color w:val="auto"/>
        </w:rPr>
      </w:pPr>
    </w:p>
    <w:p>
      <w:pPr>
        <w:ind w:left="1620" w:right="439" w:hanging="360"/>
        <w:spacing w:after="0" w:line="267" w:lineRule="auto"/>
        <w:tabs>
          <w:tab w:leader="none" w:pos="1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the Schedule 13D/A filed with the SEC on December 28, 2022 by PIF. According to the Schedule 13D/A, PIF has sole voting power over 8,041,393 shares of common stock held directly by PIF, shared voting power over 1,100,965,202 shares of common stock held by Ayar and sole dispositive power over 1,109,006,595 shares of common stock held either by PIF or Ayar. Ayar is a wholly owned subsidiary of PIF. The Board of Directors of PIF has dispositive power over the shares held by PIF and Ayar. Each of the Board of Directors of PIF, H.E. Al-Rumayyan and Turqi Alnowaiser has shared voting power over the shares held by Ayar. Neither H.E. Al-Rumayyan, who is the Governor of PIF, nor Mr. Alnowaiser, who is Deputy Governor and Head of the International Investments Division of PIF, has a pecuniary interest in the shares held by Ayar, and each of H.E. Al-Rumayyan and Mr. Alnowaiser disclaims beneficial ownership of the shares held by Ayar. Interests shown for Ayar do not include 4,654,595 shares of common stock held by H.E. Al-Rumayyan or 2,091,169 shares of common stock held by Mr. Alnowaiser (which amount includes 7,470 shares issuable pursuant to restricted stock units that will not vest for more than 60 days after the date hereof). Shares offered by Ayar hereby include 1,015,252,523 shares of common stock issued to Ayar upon the Closing (including in connection with the PIPE Investment) and 85,712,679 shares issued to Ayar pursuant to the Subscription Agreement. The business address for PIF and for H.E. Al-Rumayyan is Alr’idah Digital City, Building MU04, Al Nakhil District, P.O. Box 6847, Riyadh 11452, The Kingdom of Saudi Arabia.</w:t>
      </w:r>
    </w:p>
    <w:p>
      <w:pPr>
        <w:spacing w:after="0" w:line="42" w:lineRule="exact"/>
        <w:rPr>
          <w:rFonts w:ascii="Arial" w:cs="Arial" w:eastAsia="Arial" w:hAnsi="Arial"/>
          <w:sz w:val="17"/>
          <w:szCs w:val="17"/>
          <w:color w:val="auto"/>
        </w:rPr>
      </w:pPr>
    </w:p>
    <w:p>
      <w:pPr>
        <w:ind w:left="1620" w:hanging="360"/>
        <w:spacing w:after="0"/>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Jose E. Feliciano is the beneficiary of Citibank NA as Custodian FBO Jose E. Feliciano.</w:t>
      </w:r>
    </w:p>
    <w:p>
      <w:pPr>
        <w:spacing w:after="0" w:line="200" w:lineRule="exact"/>
        <w:rPr>
          <w:sz w:val="20"/>
          <w:szCs w:val="20"/>
          <w:color w:val="auto"/>
        </w:rPr>
      </w:pPr>
    </w:p>
    <w:p>
      <w:pPr>
        <w:spacing w:after="0" w:line="25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7" w:name="page78"/>
    <w:bookmarkEnd w:id="7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162"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The following is a discussion of certain material U.S. federal income and estate tax consequences of the ownership and disposition of our common stock and warrants, which we refer to collectively as our securities. This discussion applies only to securities that are purchased from us or the Selling Securityholders pursuant to this prospectus, and to securities that are held as capital assets.</w:t>
      </w:r>
    </w:p>
    <w:p>
      <w:pPr>
        <w:spacing w:after="0" w:line="99"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7"/>
          <w:szCs w:val="17"/>
          <w:color w:val="auto"/>
        </w:rPr>
        <w:t>This discussion is a summary only and does not describe all of the tax consequences that may be relevant to you in light of your particular circumstances, including but not limited to U.S. federal estate and gift tax, alternative minimum tax or Medicare contribution tax considerations or any tax consequences arising under the laws of any state, local or non-U.S. jurisdiction. Further, this discussion does not apply to you if you are a beneficial owner of securities subject to special rules, such as:</w:t>
      </w:r>
    </w:p>
    <w:p>
      <w:pPr>
        <w:spacing w:after="0" w:line="63" w:lineRule="exact"/>
        <w:rPr>
          <w:sz w:val="20"/>
          <w:szCs w:val="20"/>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sponsor, founders, officers or directors;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dealers or brokers in securities, commodities or foreign currencies;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traders in securities that elect to apply a mark-to-market method of tax accounting;</w:t>
      </w:r>
    </w:p>
    <w:p>
      <w:pPr>
        <w:spacing w:after="0" w:line="117" w:lineRule="exact"/>
        <w:rPr>
          <w:rFonts w:ascii="Arial" w:cs="Arial" w:eastAsia="Arial" w:hAnsi="Arial"/>
          <w:sz w:val="18"/>
          <w:szCs w:val="18"/>
          <w:color w:val="auto"/>
        </w:rPr>
      </w:pPr>
    </w:p>
    <w:p>
      <w:pPr>
        <w:ind w:left="1800" w:right="619" w:hanging="180"/>
        <w:spacing w:after="0" w:line="263"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persons who are required to recognize income or gain no later than such income or gain is required to be reported on an applicable financial statement under Section 451(b) of the Internal Revenue Code of 1986, as amended (the “Code”);</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banks and certain other financial institutions;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17" w:lineRule="exact"/>
        <w:rPr>
          <w:rFonts w:ascii="Arial" w:cs="Arial" w:eastAsia="Arial" w:hAnsi="Arial"/>
          <w:sz w:val="18"/>
          <w:szCs w:val="18"/>
          <w:color w:val="auto"/>
        </w:rPr>
      </w:pPr>
    </w:p>
    <w:p>
      <w:pPr>
        <w:ind w:left="1800" w:right="919" w:hanging="180"/>
        <w:spacing w:after="0" w:line="277"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(5%) or more (by vote or value) of our common stock;</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partnerships, S corporations or other pass-through entities or investors therein;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former citizens or residents of the United States;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117" w:lineRule="exact"/>
        <w:rPr>
          <w:rFonts w:ascii="Arial" w:cs="Arial" w:eastAsia="Arial" w:hAnsi="Arial"/>
          <w:sz w:val="18"/>
          <w:szCs w:val="18"/>
          <w:color w:val="auto"/>
        </w:rPr>
      </w:pPr>
    </w:p>
    <w:p>
      <w:pPr>
        <w:ind w:left="1800" w:right="1179" w:hanging="180"/>
        <w:spacing w:after="0" w:line="277"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persons who hold our securities as part of a hedge, straddle, constructive sale or conversion transaction or other integrated investment; or</w:t>
      </w:r>
    </w:p>
    <w:p>
      <w:pPr>
        <w:spacing w:after="0" w:line="62"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persons who acquired our common stock pursuant to the exercise of employee stock options, through a tax qualified retirement plan or otherwise as compensation.</w:t>
      </w:r>
    </w:p>
    <w:p>
      <w:pPr>
        <w:spacing w:after="0" w:line="103"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If a partnership or other pass-through entity (including an entity or arrangement treated as a partnership or other type of pass-through entity for U.S. federal income tax purposes) owns our securities, the tax treatment of a partner or beneficial owner of the entity may depend upon the status of the partner or beneficial owner, the activities of the entity and certain determinations made at the partner or beneficial owner level. Partners and beneficial owners in partnerships or other pass-through entities that own our securities should consult their own tax advisors as to the particular U.S. federal income and estate tax consequences applicable to them.</w:t>
      </w:r>
    </w:p>
    <w:p>
      <w:pPr>
        <w:spacing w:after="0" w:line="127"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This discussion is based on the Code and administrative pronouncements, judicial decisions and final, temporary and proposed Treasury regulations, changes to any of which subsequent to the date of this prospectus may affect the tax consequences described herein (possibly with retroactive effect). We have not sought, and will not seek, a ruling from the Internal Revenue Service (the “IRS”) as to any U.S. federal income</w:t>
      </w:r>
    </w:p>
    <w:p>
      <w:pPr>
        <w:sectPr>
          <w:pgSz w:w="11900" w:h="16838" w:orient="portrait"/>
          <w:cols w:equalWidth="0" w:num="1">
            <w:col w:w="9879"/>
          </w:cols>
          <w:pgMar w:left="580" w:top="90" w:right="1440" w:bottom="1440" w:gutter="0" w:footer="0" w:header="0"/>
        </w:sectPr>
      </w:pPr>
    </w:p>
    <w:p>
      <w:pPr>
        <w:spacing w:after="0" w:line="36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79"/>
        <w:spacing w:after="0" w:line="246" w:lineRule="auto"/>
        <w:rPr>
          <w:sz w:val="20"/>
          <w:szCs w:val="20"/>
          <w:color w:val="auto"/>
        </w:rPr>
      </w:pPr>
      <w:r>
        <w:rPr>
          <w:rFonts w:ascii="Arial" w:cs="Arial" w:eastAsia="Arial" w:hAnsi="Arial"/>
          <w:sz w:val="18"/>
          <w:szCs w:val="18"/>
          <w:color w:val="auto"/>
        </w:rPr>
        <w:t>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Prospective holders are urged to consult their tax advisors with respect to the particular tax consequences to them of owning and disposing of our securities, including the consequences under the laws of any state, local or non-U.S. jurisdiction.</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Consequences to U.S. Holders</w:t>
      </w:r>
    </w:p>
    <w:p>
      <w:pPr>
        <w:spacing w:after="0" w:line="162"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This section applies to you if you are a U.S. Holder. You are a U.S. Holder if for U.S. federal income tax purposes you are a beneficial owner our securities who or that is:</w:t>
      </w:r>
    </w:p>
    <w:p>
      <w:pPr>
        <w:spacing w:after="0" w:line="63" w:lineRule="exact"/>
        <w:rPr>
          <w:sz w:val="20"/>
          <w:szCs w:val="20"/>
          <w:color w:val="auto"/>
        </w:rPr>
      </w:pPr>
    </w:p>
    <w:p>
      <w:pPr>
        <w:ind w:left="1800" w:hanging="180"/>
        <w:spacing w:after="0"/>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corporation created or organized in or under the laws of the United States, any state thereof or the District of Columbia; or</w:t>
      </w:r>
    </w:p>
    <w:p>
      <w:pPr>
        <w:spacing w:after="0" w:line="62"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Distributions on our Common Stock</w:t>
      </w:r>
    </w:p>
    <w:p>
      <w:pPr>
        <w:spacing w:after="0" w:line="144"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To the extent that we make a distribution of cash or other property (other than certain pro rata distributions of our common stock) in respect of our common stock, the distribution generally will be treated as a dividend for U.S. federal income tax purposes to the extent it is paid out of our current or accumulated earnings and profits (as determined under U.S. federal income tax principles). Any portion of a distribution that exceeds our current and accumulated earnings and profits generally will be treated first as a tax-free return of capital that reduces the adjusted tax basis of a U.S. Holder’s common stock, and to the extent the amount of the distribution exceeds a U.S. Holder’s adjusted tax basis in our common stock, the excess will be treated as gain from the disposition of our common stock (the tax treatment of which is discussed below under “— Tax Consequences to U.S. Holders — Sale, Exchange or Other Taxable Disposition of our Common Stock and Warrants”).</w:t>
      </w:r>
    </w:p>
    <w:p>
      <w:pPr>
        <w:spacing w:after="0" w:line="19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Possible Constructive Distributions</w:t>
      </w:r>
    </w:p>
    <w:p>
      <w:pPr>
        <w:spacing w:after="0" w:line="144"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 xml:space="preserve">The terms of each warrant provide for an adjustment to the number of shares of our common stock for which the warrant may be exercised or to the exercise price of the warrant on the occurrence of certain events. An adjustment which has the effect of preventing dilution generally is not a taxable event. U.S. Holders of the warrants would, however, be treated as receiving a constructive distribution from us if, for example, the adjustment to the number of such shares or to such exercise price increases the warrant holders’ proportionate interest in our assets or earnings and profits </w:t>
      </w:r>
      <w:r>
        <w:rPr>
          <w:rFonts w:ascii="Arial" w:cs="Arial" w:eastAsia="Arial" w:hAnsi="Arial"/>
          <w:sz w:val="17"/>
          <w:szCs w:val="17"/>
          <w:i w:val="1"/>
          <w:iCs w:val="1"/>
          <w:color w:val="auto"/>
        </w:rPr>
        <w:t>(e. g.,</w:t>
      </w:r>
      <w:r>
        <w:rPr>
          <w:rFonts w:ascii="Arial" w:cs="Arial" w:eastAsia="Arial" w:hAnsi="Arial"/>
          <w:sz w:val="17"/>
          <w:szCs w:val="17"/>
          <w:color w:val="auto"/>
        </w:rPr>
        <w:t xml:space="preserve"> through an increase in the number of shares of our common stock that would be obtained upon exercise or through a decrease in the exercise price of the warrants), including as a result of a distribution of cash or other property to the holders of shares of our common stock which is taxable to such holders of such shares as a distribution. Any constructive distribution received by a U.S. Holder would be subject to tax in the same manner as if such U.S. Holder received a cash distribution from us equal to the fair market value of such increased interest resulting from the adjustment. Generally, a U.S. Holder’s adjusted tax basis in its warrants would be increased to the extent any such constructive distribution is treated as a dividend.</w:t>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Sale, Exchange or Other Taxable Disposition of our Common Stock and Warrants</w:t>
      </w:r>
    </w:p>
    <w:p>
      <w:pPr>
        <w:spacing w:after="0" w:line="144"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7"/>
          <w:szCs w:val="17"/>
          <w:color w:val="auto"/>
        </w:rPr>
        <w:t>Upon sales, exchanges or other taxable dispositions of our common stock or warrants (which, in general, would include a redemption of our warrants that is treated as a taxable exchange of such warrants as described below under “— Tax Consequences to U.S. Holders — Exercise, Lapse or Redemption of a Warrant”), a U.S. Holder generally will recognize capital gain or loss equal to the difference between (i) the amount of cash and the fair market value of all other property received upon such disposition and (ii) such U.S. Holder’s adjusted tax basis in its common stock or warrant. Such capital gain or loss will be long-term capital gain or loss if the U.S. Holder’s holding period in the common stock or warrant is more than one year at the time of the taxable disposition. Long-term capital gains recognized by certain non-corporate U.S.</w:t>
      </w:r>
    </w:p>
    <w:p>
      <w:pPr>
        <w:spacing w:after="0" w:line="35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9" w:name="page80"/>
    <w:bookmarkEnd w:id="7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959"/>
        <w:spacing w:after="0" w:line="277" w:lineRule="auto"/>
        <w:rPr>
          <w:sz w:val="20"/>
          <w:szCs w:val="20"/>
          <w:color w:val="auto"/>
        </w:rPr>
      </w:pPr>
      <w:r>
        <w:rPr>
          <w:rFonts w:ascii="Arial" w:cs="Arial" w:eastAsia="Arial" w:hAnsi="Arial"/>
          <w:sz w:val="18"/>
          <w:szCs w:val="18"/>
          <w:color w:val="auto"/>
        </w:rPr>
        <w:t>Holders (including individuals) generally are subject to reduced rates of U.S. federal income tax. The deductibility of capital losses is subject to limitations.</w:t>
      </w:r>
    </w:p>
    <w:p>
      <w:pPr>
        <w:spacing w:after="0" w:line="15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Exercise, Lapse or Redemption of a Warrant</w:t>
      </w:r>
    </w:p>
    <w:p>
      <w:pPr>
        <w:spacing w:after="0" w:line="15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Except as discussed below with respect to the cashless exercise of a warrant, a U.S. Holder generally will not recognize taxable gain or loss as a result of the acquisition of our common stock upon exercise of a warrant for cash. The U.S. Holder’s tax basis in the shares of our common stock received upon exercise of the warrants generally will be an amount equal to the sum of the U.S. Holder’s initial investment in the warrants and the exercise price of such warrants. For U.S. federal income tax purposes, it is unclear whether the U.S. Holder’s holding period for our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w:t>
      </w:r>
    </w:p>
    <w:p>
      <w:pPr>
        <w:spacing w:after="0" w:line="118"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7"/>
          <w:szCs w:val="17"/>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tax-free situation, a U.S. Holder’s tax basis in the common stock received would equal such holder’s basis in the warrants. If the cashless exercise were treated as not being a realization event, it is unclear whether a U.S. Holder’s holding period in the common stock would be treated as commencing on the date following the date of exercise or on the date of exercise of the warrant. If the cashless exercise were treated as a recapitalization, the holding period of our common stock would include the holding period of the warrants exercised therefor.</w:t>
      </w:r>
    </w:p>
    <w:p>
      <w:pPr>
        <w:spacing w:after="0" w:line="10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It is also possible that a cashless exercise could be treated in part as a taxable exchange in which gain or loss would be recognized. In such event, a portion of the warrants to be exercised on a cashless basis could, for U.S. federal income tax purposes, be deemed to have been surrendered in consideration for the exercise price of the remaining warrants, which would be deemed to be exercised. For this purpose, a U.S. Holder would be deemed to have surrendered a number of warrants having an aggregate value equal to the exercise price for the number of warrants deemed exercised. The U.S. Holder would recognize capital gain or loss in an amount equal to the difference between the exercise price of the warrants deemed exercised and such holder’s tax basis in the warrants deemed surrendered. Such gain or loss would be long-term or short-term depending on the U.S. Holder’s holding period in the warrants deemed surrendered. In this case, the U.S. Holder’s tax basis in the common stock received would equal the sum of its initial investment in the warrants deemed exercised and the exercise price of such warrants. It is unclear whether a U.S. Holder’s holding period for the common stock would commence on the date following the date of exercise or on the date of exercise of the warrant; in either case, the holding period would not include the period during which the U.S. Holder held the warrant.</w:t>
      </w:r>
    </w:p>
    <w:p>
      <w:pPr>
        <w:spacing w:after="0" w:line="107" w:lineRule="exact"/>
        <w:rPr>
          <w:sz w:val="20"/>
          <w:szCs w:val="20"/>
          <w:color w:val="auto"/>
        </w:rPr>
      </w:pPr>
    </w:p>
    <w:p>
      <w:pPr>
        <w:ind w:left="1260" w:right="639" w:firstLine="360"/>
        <w:spacing w:after="0" w:line="275" w:lineRule="auto"/>
        <w:rPr>
          <w:sz w:val="20"/>
          <w:szCs w:val="20"/>
          <w:color w:val="auto"/>
        </w:rPr>
      </w:pPr>
      <w:r>
        <w:rPr>
          <w:rFonts w:ascii="Arial" w:cs="Arial" w:eastAsia="Arial" w:hAnsi="Arial"/>
          <w:sz w:val="17"/>
          <w:szCs w:val="17"/>
          <w:color w:val="auto"/>
        </w:rPr>
        <w:t>Due to the absence of authority on the U.S. federal income tax treatment of a cashless exercise, including when a U.S. Holder’s holding period would commence with respect to the common stock received, there can be no assurance as to which, if any, of the alternative tax consequences and holding periods described above would be adopted by the IRS or a court of law. Accordingly, U.S. Holders should consult their own tax advisors regarding the tax consequences of a cashless exercise.</w:t>
      </w:r>
    </w:p>
    <w:p>
      <w:pPr>
        <w:spacing w:after="0" w:line="109" w:lineRule="exact"/>
        <w:rPr>
          <w:sz w:val="20"/>
          <w:szCs w:val="20"/>
          <w:color w:val="auto"/>
        </w:rPr>
      </w:pPr>
    </w:p>
    <w:p>
      <w:pPr>
        <w:ind w:left="1260" w:right="1019" w:firstLine="360"/>
        <w:spacing w:after="0" w:line="259" w:lineRule="auto"/>
        <w:rPr>
          <w:sz w:val="20"/>
          <w:szCs w:val="20"/>
          <w:color w:val="auto"/>
        </w:rPr>
      </w:pPr>
      <w:r>
        <w:rPr>
          <w:rFonts w:ascii="Arial" w:cs="Arial" w:eastAsia="Arial" w:hAnsi="Arial"/>
          <w:sz w:val="18"/>
          <w:szCs w:val="18"/>
          <w:color w:val="auto"/>
        </w:rPr>
        <w:t>If we redeem warrants for cash or if we purchase warrants in an open market transaction, such redemption or purchase generally will be treated as a taxable disposition to the U.S. Holder, taxed as described above under “— Sale, Exchange or Other Taxable Disposition of our Common Stock and Warrants.”</w:t>
      </w:r>
    </w:p>
    <w:p>
      <w:pPr>
        <w:spacing w:after="0" w:line="106" w:lineRule="exact"/>
        <w:rPr>
          <w:sz w:val="20"/>
          <w:szCs w:val="20"/>
          <w:color w:val="auto"/>
        </w:rPr>
      </w:pPr>
    </w:p>
    <w:p>
      <w:pPr>
        <w:ind w:left="1260" w:right="559" w:firstLine="360"/>
        <w:spacing w:after="0" w:line="279" w:lineRule="auto"/>
        <w:rPr>
          <w:sz w:val="20"/>
          <w:szCs w:val="20"/>
          <w:color w:val="auto"/>
        </w:rPr>
      </w:pPr>
      <w:r>
        <w:rPr>
          <w:rFonts w:ascii="Arial" w:cs="Arial" w:eastAsia="Arial" w:hAnsi="Arial"/>
          <w:sz w:val="17"/>
          <w:szCs w:val="17"/>
          <w:color w:val="auto"/>
        </w:rPr>
        <w:t>If we give notice of an intention to redeem warrants and a U.S. Holder exercises its warrants on a cashless basis and receives an amount of common stock in respect thereof, we intend to treat such exercise as a redemption of warrants for the common stock for U.S. federal income tax purposes. Such redemption should be treated as a “recapitalization” within the meaning of Section 368(a)(l)(E) of the Code.</w:t>
      </w:r>
    </w:p>
    <w:p>
      <w:pPr>
        <w:spacing w:after="0" w:line="104"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Accordingly, a U.S. Holder should not recognize any gain or loss on the redemption of warrants for shares of our common stock. A U.S. Holder’s aggregate tax basis in the shares of our common stock received</w:t>
      </w:r>
    </w:p>
    <w:p>
      <w:pPr>
        <w:sectPr>
          <w:pgSz w:w="11900" w:h="16838" w:orient="portrait"/>
          <w:cols w:equalWidth="0" w:num="1">
            <w:col w:w="9879"/>
          </w:cols>
          <w:pgMar w:left="580" w:top="90" w:right="1440" w:bottom="1440" w:gutter="0" w:footer="0" w:header="0"/>
        </w:sectPr>
      </w:pPr>
    </w:p>
    <w:p>
      <w:pPr>
        <w:spacing w:after="0" w:line="35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spacing w:after="0" w:line="288" w:lineRule="auto"/>
        <w:rPr>
          <w:sz w:val="20"/>
          <w:szCs w:val="20"/>
          <w:color w:val="auto"/>
        </w:rPr>
      </w:pPr>
      <w:r>
        <w:rPr>
          <w:rFonts w:ascii="Arial" w:cs="Arial" w:eastAsia="Arial" w:hAnsi="Arial"/>
          <w:sz w:val="16"/>
          <w:szCs w:val="16"/>
          <w:color w:val="auto"/>
        </w:rPr>
        <w:t>in the redemption generally should equal such holder’s aggregate tax basis in the warrants redeemed and the holding period for the shares of our common stock received should include such holder’s holding period for the surrendered warrants. However, there is some uncertainty regarding this tax treatment and it is possible such a redemption could be treated differently, including as, in part, a taxable exchange in which gain or loss would be recognized in a manner similar to that discussed above for a cashless exercise of warrants.</w:t>
      </w:r>
    </w:p>
    <w:p>
      <w:pPr>
        <w:spacing w:after="0" w:line="84"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Accordingly, U.S. Holders are urged to consult their own tax advisors regarding the tax consequences of a redemption of warrants for shares of our common stock.</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58"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Information reporting requirements generally will apply to payments to a U.S. Holder of dividends on shares of common stock (as well as constructive dividends deemed paid with respect to the warrants) and the proceeds of a sale of common stock or warrants, unless the U.S. Holder is an exempt recipient (such as a corporation). Backup withholding (currently at a 24% rate) will apply to those payments if the U.S. Holder fails to provide its correct taxpayer identification number, or certification of exempt status, or if the U.S. Holder is notified by the IRS that it has failed to report in full payments of interest and dividend income.</w:t>
      </w:r>
    </w:p>
    <w:p>
      <w:pPr>
        <w:spacing w:after="0" w:line="110"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refund or a credit against the U.S. Holder’s U.S. federal income tax liability provided the required information is furnished timely to the IRS.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Consequences to Non-U.S. Holders</w:t>
      </w:r>
    </w:p>
    <w:p>
      <w:pPr>
        <w:spacing w:after="0" w:line="148"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This section applies to you if you are a “non-U.S. Holder.” You are a non-U.S. Holder if, for U.S. federal income tax purposes, you are a beneficial owner of our securities who or that is, for U.S. federal income tax purposes:</w:t>
      </w:r>
    </w:p>
    <w:p>
      <w:pPr>
        <w:spacing w:after="0" w:line="76" w:lineRule="exact"/>
        <w:rPr>
          <w:sz w:val="20"/>
          <w:szCs w:val="20"/>
          <w:color w:val="auto"/>
        </w:rPr>
      </w:pPr>
    </w:p>
    <w:p>
      <w:pPr>
        <w:ind w:left="1800" w:right="519" w:hanging="180"/>
        <w:spacing w:after="0" w:line="277"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non-resident alien individual, other than a former citizen or resident of the U.S. subject to U.S. tax as an expatriate;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Taxation of Distributions</w:t>
      </w:r>
    </w:p>
    <w:p>
      <w:pPr>
        <w:spacing w:after="0" w:line="15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Distributions, other than certain pro rata distributions of our common stock made to a non-U.S. Holder,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will be subject to U.S. federal withholding tax at a 30% rate, or a reduced rate specified by an applicable income tax treaty, subject to the discussion of FATCA (as defined below) withholding taxes below. In order to obtain a reduced rate of withholding under an applicable income tax treaty, a non-U.S. holder generally will be required to provide a properly executed IRS Form W-8BEN or IRS Form W-8BEN-E, as applicable, certifying its entitlement to benefits under the treaty. In the case of any constructive dividend to a non-U.S. Holder of warrants (as described above under “— Tax Consequences to U.S. Holders — Possible Constructive Dividends”), it is possible that this tax would be withheld from any amount owed to the non-U.S. Holder by the applicable withholding agent, including cash distributions on other property or sale proceeds from warrants or other property subsequently paid or credit to such non-U.S. Holder.</w:t>
      </w:r>
    </w:p>
    <w:p>
      <w:pPr>
        <w:spacing w:after="0" w:line="130"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Dividends paid to a non-U.S. holder that are effectively connected with the non-U.S. holder’s conduct of a trade or business within the United States (and, if required by an applicable income tax treaty, are attributable to a permanent establishment or fixed base maintained by the non-U.S. holder in the United States) will not be subject to U.S. federal withholding tax if the non-U.S. holder provides a properly executed IRS Form W-8ECI. Instead, the effectively connected dividend income will generally be subject to regular U.S. income tax as if the non-U.S. holder were a U.S. person as defined under the Code. A non-U.S. holder that is treated as a corporation for U.S. federal income tax purposes receiving effectively connected dividend</w:t>
      </w:r>
    </w:p>
    <w:p>
      <w:pPr>
        <w:sectPr>
          <w:pgSz w:w="11900" w:h="16838" w:orient="portrait"/>
          <w:cols w:equalWidth="0" w:num="1">
            <w:col w:w="9879"/>
          </w:cols>
          <w:pgMar w:left="580" w:top="90" w:right="1440" w:bottom="1440" w:gutter="0" w:footer="0" w:header="0"/>
        </w:sectPr>
      </w:pPr>
    </w:p>
    <w:p>
      <w:pPr>
        <w:spacing w:after="0" w:line="36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260" w:right="479"/>
        <w:spacing w:after="0" w:line="277" w:lineRule="auto"/>
        <w:rPr>
          <w:sz w:val="20"/>
          <w:szCs w:val="20"/>
          <w:color w:val="auto"/>
        </w:rPr>
      </w:pPr>
      <w:r>
        <w:rPr>
          <w:rFonts w:ascii="Arial" w:cs="Arial" w:eastAsia="Arial" w:hAnsi="Arial"/>
          <w:sz w:val="18"/>
          <w:szCs w:val="18"/>
          <w:color w:val="auto"/>
        </w:rPr>
        <w:t>income may also be subject to an additional “branch profits tax” imposed at a rate of 30% (or a lower treaty rate) on its effectively connected earnings and profits (subject to certain adjustments).</w:t>
      </w:r>
    </w:p>
    <w:p>
      <w:pPr>
        <w:spacing w:after="0" w:line="89" w:lineRule="exact"/>
        <w:rPr>
          <w:sz w:val="20"/>
          <w:szCs w:val="20"/>
          <w:color w:val="auto"/>
        </w:rPr>
      </w:pPr>
    </w:p>
    <w:p>
      <w:pPr>
        <w:jc w:val="both"/>
        <w:ind w:left="1260" w:right="499" w:firstLine="360"/>
        <w:spacing w:after="0" w:line="248" w:lineRule="auto"/>
        <w:rPr>
          <w:sz w:val="20"/>
          <w:szCs w:val="20"/>
          <w:color w:val="auto"/>
        </w:rPr>
      </w:pPr>
      <w:r>
        <w:rPr>
          <w:rFonts w:ascii="Arial" w:cs="Arial" w:eastAsia="Arial" w:hAnsi="Arial"/>
          <w:sz w:val="18"/>
          <w:szCs w:val="18"/>
          <w:color w:val="auto"/>
        </w:rPr>
        <w:t>A non -U.S. holder eligible for a reduced rate of U.S. federal withholding tax pursuant to an income tax treaty may obtain a refund of any excess amounts withheld by timely filing an appropriate claim for refund with the IRS.</w:t>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Sale, Exchange or Other Taxable Disposition of our Common Stock and Warrants</w:t>
      </w:r>
    </w:p>
    <w:p>
      <w:pPr>
        <w:spacing w:after="0" w:line="144" w:lineRule="exact"/>
        <w:rPr>
          <w:sz w:val="20"/>
          <w:szCs w:val="20"/>
          <w:color w:val="auto"/>
        </w:rPr>
      </w:pPr>
    </w:p>
    <w:p>
      <w:pPr>
        <w:jc w:val="both"/>
        <w:ind w:left="1260" w:right="419" w:firstLine="360"/>
        <w:spacing w:after="0" w:line="256" w:lineRule="auto"/>
        <w:rPr>
          <w:sz w:val="20"/>
          <w:szCs w:val="20"/>
          <w:color w:val="auto"/>
        </w:rPr>
      </w:pPr>
      <w:r>
        <w:rPr>
          <w:rFonts w:ascii="Arial" w:cs="Arial" w:eastAsia="Arial" w:hAnsi="Arial"/>
          <w:sz w:val="18"/>
          <w:szCs w:val="18"/>
          <w:color w:val="auto"/>
        </w:rPr>
        <w:t>Subject to the discussions of backup withholding and FATCA withholding tax below, a non-U.S. Holder generally will not be subject to U.S. federal income tax on gain realized on a sale or other disposition of our securities unless:</w:t>
      </w:r>
    </w:p>
    <w:p>
      <w:pPr>
        <w:spacing w:after="0" w:line="67" w:lineRule="exact"/>
        <w:rPr>
          <w:sz w:val="20"/>
          <w:szCs w:val="20"/>
          <w:color w:val="auto"/>
        </w:rPr>
      </w:pPr>
    </w:p>
    <w:p>
      <w:pPr>
        <w:ind w:left="1800" w:right="539" w:hanging="180"/>
        <w:spacing w:after="0" w:line="257"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in the United States (and, if required by an applicable tax treaty, the gain is attributable to a permanent establishment or fixed base maintained by the non-U.S. Holder in the United States), in which case the gain will be subject to U.S. federal income tax generally in the same manner as effectively connected dividend income as described above;</w:t>
      </w:r>
    </w:p>
    <w:p>
      <w:pPr>
        <w:spacing w:after="0" w:line="79" w:lineRule="exact"/>
        <w:rPr>
          <w:rFonts w:ascii="Arial" w:cs="Arial" w:eastAsia="Arial" w:hAnsi="Arial"/>
          <w:sz w:val="18"/>
          <w:szCs w:val="18"/>
          <w:color w:val="auto"/>
        </w:rPr>
      </w:pPr>
    </w:p>
    <w:p>
      <w:pPr>
        <w:ind w:left="1800" w:right="499" w:hanging="180"/>
        <w:spacing w:after="0" w:line="259"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non-U.S. Holder is an individual present in the United States for 183 days or more in the taxable year of disposition and certain other conditions are met, in which case the gain (net of certain U.S.-source losses) generally will be subject to U.S. federal income tax at a rate of 30% (or a lower treaty rate); or</w:t>
      </w:r>
    </w:p>
    <w:p>
      <w:pPr>
        <w:spacing w:after="0" w:line="78" w:lineRule="exact"/>
        <w:rPr>
          <w:rFonts w:ascii="Arial" w:cs="Arial" w:eastAsia="Arial" w:hAnsi="Arial"/>
          <w:sz w:val="18"/>
          <w:szCs w:val="18"/>
          <w:color w:val="auto"/>
        </w:rPr>
      </w:pPr>
    </w:p>
    <w:p>
      <w:pPr>
        <w:ind w:left="1800" w:right="839" w:hanging="180"/>
        <w:spacing w:after="0" w:line="263"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(as​ described below) at any time within the five-year period preceding the disposition or the non-U.S. Holder’s holding period, whichever period is shorter, and certain exceptions do not apply.</w:t>
      </w:r>
    </w:p>
    <w:p>
      <w:pPr>
        <w:spacing w:after="0" w:line="103" w:lineRule="exact"/>
        <w:rPr>
          <w:sz w:val="20"/>
          <w:szCs w:val="20"/>
          <w:color w:val="auto"/>
        </w:rPr>
      </w:pPr>
    </w:p>
    <w:p>
      <w:pPr>
        <w:ind w:left="1260" w:right="479" w:firstLine="360"/>
        <w:spacing w:after="0" w:line="246" w:lineRule="auto"/>
        <w:rPr>
          <w:sz w:val="20"/>
          <w:szCs w:val="20"/>
          <w:color w:val="auto"/>
        </w:rPr>
      </w:pPr>
      <w:r>
        <w:rPr>
          <w:rFonts w:ascii="Arial" w:cs="Arial" w:eastAsia="Arial" w:hAnsi="Arial"/>
          <w:sz w:val="18"/>
          <w:szCs w:val="18"/>
          <w:color w:val="auto"/>
        </w:rPr>
        <w:t>We will be a U.S. real property holding corporation at any time that the fair market value of our “U.S. real property interests” (as​ defined in the Code and applicable Treasury regulations), equals or exceeds 50% of the aggregate fair market value of our worldwide real property interests and our other assets used or held for use in a trade or business (all as determined for the U.S. federal income tax purposes). We believe that we are not, and do not anticipate becoming in the foreseeable future, a U.S. real property holding corporation.</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Exercise, Lapse or Redemption of a Warrant</w:t>
      </w:r>
    </w:p>
    <w:p>
      <w:pPr>
        <w:spacing w:after="0" w:line="158" w:lineRule="exact"/>
        <w:rPr>
          <w:sz w:val="20"/>
          <w:szCs w:val="20"/>
          <w:color w:val="auto"/>
        </w:rPr>
      </w:pPr>
    </w:p>
    <w:p>
      <w:pPr>
        <w:ind w:left="1260" w:right="479" w:firstLine="360"/>
        <w:spacing w:after="0" w:line="278" w:lineRule="auto"/>
        <w:rPr>
          <w:sz w:val="20"/>
          <w:szCs w:val="20"/>
          <w:color w:val="auto"/>
        </w:rPr>
      </w:pPr>
      <w:r>
        <w:rPr>
          <w:rFonts w:ascii="Arial" w:cs="Arial" w:eastAsia="Arial" w:hAnsi="Arial"/>
          <w:sz w:val="17"/>
          <w:szCs w:val="17"/>
          <w:color w:val="auto"/>
        </w:rPr>
        <w:t>The U.S. federal income tax treatment of a non-U.S. Holder’s exercise of a warrant, or the lapse of a warrant held by a non-U.S. Holder, or the redemption of a warrant held by a non-U.S. Holder generally will correspond to the U.S. federal income tax treatment of the exercise, lapse or redemption of a warrant by a</w:t>
      </w:r>
    </w:p>
    <w:p>
      <w:pPr>
        <w:spacing w:after="0" w:line="90" w:lineRule="exact"/>
        <w:rPr>
          <w:sz w:val="20"/>
          <w:szCs w:val="20"/>
          <w:color w:val="auto"/>
        </w:rPr>
      </w:pPr>
    </w:p>
    <w:p>
      <w:pPr>
        <w:ind w:left="1260" w:right="479" w:firstLine="360"/>
        <w:spacing w:after="0" w:line="276" w:lineRule="auto"/>
        <w:rPr>
          <w:sz w:val="20"/>
          <w:szCs w:val="20"/>
          <w:color w:val="auto"/>
        </w:rPr>
      </w:pPr>
      <w:r>
        <w:rPr>
          <w:rFonts w:ascii="Arial" w:cs="Arial" w:eastAsia="Arial" w:hAnsi="Arial"/>
          <w:sz w:val="16"/>
          <w:szCs w:val="16"/>
          <w:color w:val="auto"/>
        </w:rPr>
        <w:t xml:space="preserve">U.S. Holder, as described above under </w:t>
      </w:r>
      <w:r>
        <w:rPr>
          <w:rFonts w:ascii="Arial" w:cs="Arial" w:eastAsia="Arial" w:hAnsi="Arial"/>
          <w:sz w:val="16"/>
          <w:szCs w:val="16"/>
          <w:i w:val="1"/>
          <w:iCs w:val="1"/>
          <w:color w:val="auto"/>
        </w:rPr>
        <w:t>“Tax Consequences to U.S. Holders — Exercise, Lapse 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Redemption of a Warrant”, </w:t>
      </w:r>
      <w:r>
        <w:rPr>
          <w:rFonts w:ascii="Arial" w:cs="Arial" w:eastAsia="Arial" w:hAnsi="Arial"/>
          <w:sz w:val="16"/>
          <w:szCs w:val="16"/>
          <w:color w:val="auto"/>
        </w:rPr>
        <w:t>although to the extent a cashless exercise or redemption of a warrant results in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taxable exchange, the consequences would be similar to those described above under </w:t>
      </w:r>
      <w:r>
        <w:rPr>
          <w:rFonts w:ascii="Arial" w:cs="Arial" w:eastAsia="Arial" w:hAnsi="Arial"/>
          <w:sz w:val="16"/>
          <w:szCs w:val="16"/>
          <w:i w:val="1"/>
          <w:iCs w:val="1"/>
          <w:color w:val="auto"/>
        </w:rPr>
        <w:t>“Tax Consequences to</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Non-U.S. Holders — Sale, Exchange or Other Taxable Disposition of our Common Stock and Warrants.”</w:t>
      </w:r>
    </w:p>
    <w:p>
      <w:pPr>
        <w:spacing w:after="0" w:line="20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58" w:lineRule="exact"/>
        <w:rPr>
          <w:sz w:val="20"/>
          <w:szCs w:val="20"/>
          <w:color w:val="auto"/>
        </w:rPr>
      </w:pPr>
    </w:p>
    <w:p>
      <w:pPr>
        <w:ind w:left="1260" w:right="539" w:firstLine="360"/>
        <w:spacing w:after="0" w:line="249" w:lineRule="auto"/>
        <w:rPr>
          <w:sz w:val="20"/>
          <w:szCs w:val="20"/>
          <w:color w:val="auto"/>
        </w:rPr>
      </w:pPr>
      <w:r>
        <w:rPr>
          <w:rFonts w:ascii="Arial" w:cs="Arial" w:eastAsia="Arial" w:hAnsi="Arial"/>
          <w:sz w:val="18"/>
          <w:szCs w:val="18"/>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13"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A non-U.S. Holder will not be subject to backup withholding on dividends received if such holder certifies under penalty of perjury that it is a non-U.S. Holder (and the payor does not have actual knowledge or reason to know that such holder is a U.S. person), or such holder otherwise establishes an exemption.</w:t>
      </w:r>
    </w:p>
    <w:p>
      <w:pPr>
        <w:spacing w:after="0" w:line="96"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Information reporting and, depending on the circumstances, backup withholding will apply to the</w:t>
      </w:r>
    </w:p>
    <w:p>
      <w:pPr>
        <w:spacing w:after="0" w:line="23" w:lineRule="exact"/>
        <w:rPr>
          <w:sz w:val="20"/>
          <w:szCs w:val="20"/>
          <w:color w:val="auto"/>
        </w:rPr>
      </w:pPr>
    </w:p>
    <w:p>
      <w:pPr>
        <w:ind w:left="1260" w:right="559"/>
        <w:spacing w:after="0" w:line="273" w:lineRule="auto"/>
        <w:rPr>
          <w:sz w:val="20"/>
          <w:szCs w:val="20"/>
          <w:color w:val="auto"/>
        </w:rPr>
      </w:pPr>
      <w:r>
        <w:rPr>
          <w:rFonts w:ascii="Arial" w:cs="Arial" w:eastAsia="Arial" w:hAnsi="Arial"/>
          <w:sz w:val="17"/>
          <w:szCs w:val="17"/>
          <w:color w:val="auto"/>
        </w:rPr>
        <w:t>proceeds of a sale or other disposition of our common stock and warrants made within the United States or conducted through certain U.S.-related financial intermediaries, unless the non-U.S. Holder complies with</w:t>
      </w:r>
    </w:p>
    <w:p>
      <w:pPr>
        <w:spacing w:after="0" w:line="35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82" w:name="page83"/>
    <w:bookmarkEnd w:id="8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99"/>
        <w:spacing w:after="0" w:line="286" w:lineRule="auto"/>
        <w:rPr>
          <w:sz w:val="20"/>
          <w:szCs w:val="20"/>
          <w:color w:val="auto"/>
        </w:rPr>
      </w:pPr>
      <w:r>
        <w:rPr>
          <w:rFonts w:ascii="Arial" w:cs="Arial" w:eastAsia="Arial" w:hAnsi="Arial"/>
          <w:sz w:val="17"/>
          <w:szCs w:val="17"/>
          <w:color w:val="auto"/>
        </w:rPr>
        <w:t>certification procedures to establish that it is not a U.S. person in order to avoid information reporting and backup withholding. The certification procedures required to claim a reduced rate of withholding under a treaty will generally satisfy the certification requirements necessary to avoid backup withholding as well.</w:t>
      </w:r>
    </w:p>
    <w:p>
      <w:pPr>
        <w:spacing w:after="0" w:line="9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Backup withholding is not an additional tax and the amount of any backup withholding from a payment to a non-U.S. Holder will be allowed as a credit against such non-U.S. Holder’s U.S. federal income tax liability and may entitle such holder to a refund, provided that the required information is furnished to the IRS in a timely manner.</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FATCA Withholding Tax</w:t>
      </w:r>
    </w:p>
    <w:p>
      <w:pPr>
        <w:spacing w:after="0" w:line="162"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Under Sections 1471 through 1474 of the Code (commonly referred to as “FATCA”), payments of dividends on, and the gross proceeds of dispositions of, our securities paid to (i) a “foreign financial institution” (as​ specifically defined in the Code) or (ii) a “non-financial foreign entity” (as​ specifically defined in the Code) will be subject to a withholding tax (separate and apart from, but without duplication of, the withholding tax described above) at a rate of 30%, unless various U.S. information reporting and due diligence requirements (generally relating to ownership by U.S. persons of interests in or accounts with those entities) have been satisfied or an exemption from these rules applies. Under proposed U.S. Treasury regulations promulgated by the Treasury Department on December 13, 2018, which state that taxpayers may rely on the proposed Treasury regulations until final Treasury regulations are issued, this withholding tax will not apply to the gross proceeds from the sale or disposition of our securities. An intergovernmental agreement between the United States and an applicable foreign country may modify these requirements. If a dividend payment is both subject to withholding under FATCA and subject to the withholding tax discussed above under “— Tax Consequences to Non-U.S. Holders — Taxation of Distributions,” the withholding under FATCA may be credited against, and therefore reduce, such other withholding tax. Non-U.S. holders should consult their tax advisors regarding the possible implications of this withholding tax on their investment in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83" w:name="page84"/>
    <w:bookmarkEnd w:id="8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The validity of any securities offered by this prospectus will be passed upon for us by Davis Polk &amp; Wardwell LLP, Menlo Park,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84" w:name="page85"/>
    <w:bookmarkEnd w:id="8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The audited financial statements of Lucid Group, Inc.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85" w:name="page86"/>
    <w:bookmarkEnd w:id="8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400"/>
        <w:spacing w:after="0"/>
        <w:rPr>
          <w:sz w:val="20"/>
          <w:szCs w:val="20"/>
          <w:color w:val="auto"/>
        </w:rPr>
      </w:pPr>
      <w:r>
        <w:rPr>
          <w:rFonts w:ascii="Arial" w:cs="Arial" w:eastAsia="Arial" w:hAnsi="Arial"/>
          <w:sz w:val="25"/>
          <w:szCs w:val="25"/>
          <w:b w:val="1"/>
          <w:bCs w:val="1"/>
          <w:color w:val="auto"/>
        </w:rPr>
        <w:t>173,544,948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663575</wp:posOffset>
            </wp:positionV>
            <wp:extent cx="4817745" cy="3003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481774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300"/>
        <w:spacing w:after="0"/>
        <w:rPr>
          <w:sz w:val="20"/>
          <w:szCs w:val="20"/>
          <w:color w:val="auto"/>
        </w:rPr>
      </w:pPr>
      <w:r>
        <w:rPr>
          <w:rFonts w:ascii="Arial" w:cs="Arial" w:eastAsia="Arial" w:hAnsi="Arial"/>
          <w:sz w:val="29"/>
          <w:szCs w:val="29"/>
          <w:b w:val="1"/>
          <w:bCs w:val="1"/>
          <w:color w:val="auto"/>
        </w:rPr>
        <w:t>Lucid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56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766445</wp:posOffset>
            </wp:positionV>
            <wp:extent cx="12344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2919"/>
        <w:spacing w:after="0"/>
        <w:rPr>
          <w:sz w:val="20"/>
          <w:szCs w:val="20"/>
          <w:color w:val="auto"/>
        </w:rPr>
      </w:pPr>
      <w:r>
        <w:rPr>
          <w:rFonts w:ascii="Arial" w:cs="Arial" w:eastAsia="Arial" w:hAnsi="Arial"/>
          <w:sz w:val="22"/>
          <w:szCs w:val="22"/>
          <w:b w:val="1"/>
          <w:bCs w:val="1"/>
          <w:color w:val="auto"/>
        </w:rPr>
        <w:t>Preliminary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60"/>
        <w:spacing w:after="0"/>
        <w:rPr>
          <w:sz w:val="20"/>
          <w:szCs w:val="20"/>
          <w:color w:val="auto"/>
        </w:rPr>
      </w:pPr>
      <w:r>
        <w:rPr>
          <w:rFonts w:ascii="Arial" w:cs="Arial" w:eastAsia="Arial" w:hAnsi="Arial"/>
          <w:sz w:val="29"/>
          <w:szCs w:val="29"/>
          <w:b w:val="1"/>
          <w:bCs w:val="1"/>
          <w:color w:val="auto"/>
        </w:rPr>
        <w:t>BofA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863600</wp:posOffset>
            </wp:positionV>
            <wp:extent cx="52120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247015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1)"/>
      <w:numFmt w:val="decimal"/>
      <w:start w:val="4"/>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1)"/>
      <w:numFmt w:val="decimal"/>
      <w:start w:val="10"/>
    </w:lvl>
  </w:abstractNum>
  <w:abstractNum w:abstractNumId="13">
    <w:nsid w:val="7724C67E"/>
    <w:multiLevelType w:val="hybridMultilevel"/>
    <w:lvl w:ilvl="0">
      <w:lvlJc w:val="left"/>
      <w:lvlText w:val="(%1)"/>
      <w:numFmt w:val="lowerLetter"/>
      <w:start w:val="1"/>
    </w:lvl>
  </w:abstractNum>
  <w:abstractNum w:abstractNumId="14">
    <w:nsid w:val="5C482A97"/>
    <w:multiLevelType w:val="hybridMultilevel"/>
    <w:lvl w:ilvl="0">
      <w:lvlJc w:val="left"/>
      <w:lvlText w:val="(%1)"/>
      <w:numFmt w:val="lowerRoman"/>
      <w:start w:val="3"/>
    </w:lvl>
  </w:abstractNum>
  <w:abstractNum w:abstractNumId="15">
    <w:nsid w:val="2463B9EA"/>
    <w:multiLevelType w:val="hybridMultilevel"/>
    <w:lvl w:ilvl="0">
      <w:lvlJc w:val="left"/>
      <w:lvlText w:val="(%1)"/>
      <w:numFmt w:val="lowerLetter"/>
      <w:start w:val="1"/>
    </w:lvl>
  </w:abstractNum>
  <w:abstractNum w:abstractNumId="16">
    <w:nsid w:val="5E884ADC"/>
    <w:multiLevelType w:val="hybridMultilevel"/>
    <w:lvl w:ilvl="0">
      <w:lvlJc w:val="left"/>
      <w:lvlText w:val="(%1)"/>
      <w:numFmt w:val="lowerLetter"/>
      <w:start w:val="2"/>
    </w:lvl>
  </w:abstractNum>
  <w:abstractNum w:abstractNumId="17">
    <w:nsid w:val="51EAD36B"/>
    <w:multiLevelType w:val="hybridMultilevel"/>
    <w:lvl w:ilvl="0">
      <w:lvlJc w:val="left"/>
      <w:lvlText w:val="(%1)"/>
      <w:numFmt w:val="lowerLetter"/>
      <w:start w:val="1"/>
    </w:lvl>
  </w:abstractNum>
  <w:abstractNum w:abstractNumId="18">
    <w:nsid w:val="2D517796"/>
    <w:multiLevelType w:val="hybridMultilevel"/>
    <w:lvl w:ilvl="0">
      <w:lvlJc w:val="left"/>
      <w:lvlText w:val="(%1)"/>
      <w:numFmt w:val="lowerRoman"/>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1)"/>
      <w:numFmt w:val="lowerLetter"/>
      <w:start w:val="2"/>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1)"/>
      <w:numFmt w:val="lowerRoman"/>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1)"/>
      <w:numFmt w:val="decimal"/>
      <w:start w:val="1"/>
    </w:lvl>
    <w:lvl w:ilvl="1">
      <w:lvlJc w:val="left"/>
      <w:lvlText w:val="(%2)"/>
      <w:numFmt w:val="lowerRoman"/>
      <w:start w:val="1"/>
    </w:lvl>
  </w:abstractNum>
  <w:abstractNum w:abstractNumId="53">
    <w:nsid w:val="180115BE"/>
    <w:multiLevelType w:val="hybridMultilevel"/>
    <w:lvl w:ilvl="0">
      <w:lvlJc w:val="left"/>
      <w:lvlText w:val="%1"/>
      <w:numFmt w:val="decimal"/>
      <w:start w:val="1"/>
    </w:lvl>
    <w:lvl w:ilvl="1">
      <w:lvlJc w:val="left"/>
      <w:lvlText w:val="(%2)"/>
      <w:numFmt w:val="lowerRoman"/>
      <w:start w:val="2"/>
    </w:lvl>
  </w:abstractNum>
  <w:abstractNum w:abstractNumId="54">
    <w:nsid w:val="235BA861"/>
    <w:multiLevelType w:val="hybridMultilevel"/>
    <w:lvl w:ilvl="0">
      <w:lvlJc w:val="left"/>
      <w:lvlText w:val="(%1)"/>
      <w:numFmt w:val="decimal"/>
      <w:start w:val="4"/>
    </w:lvl>
    <w:lvl w:ilvl="1">
      <w:lvlJc w:val="left"/>
      <w:lvlText w:val="(%2)"/>
      <w:numFmt w:val="lowerRoman"/>
      <w:start w:val="2"/>
    </w:lvl>
  </w:abstractNum>
  <w:abstractNum w:abstractNumId="55">
    <w:nsid w:val="47398C89"/>
    <w:multiLevelType w:val="hybridMultilevel"/>
    <w:lvl w:ilvl="0">
      <w:lvlJc w:val="left"/>
      <w:lvlText w:val="%1"/>
      <w:numFmt w:val="decimal"/>
      <w:start w:val="1"/>
    </w:lvl>
    <w:lvl w:ilvl="1">
      <w:lvlJc w:val="left"/>
      <w:lvlText w:val="(%2)"/>
      <w:numFmt w:val="lowerRoman"/>
      <w:start w:val="1"/>
    </w:lvl>
  </w:abstractNum>
  <w:abstractNum w:abstractNumId="56">
    <w:nsid w:val="354FE9F9"/>
    <w:multiLevelType w:val="hybridMultilevel"/>
    <w:lvl w:ilvl="0">
      <w:lvlJc w:val="left"/>
      <w:lvlText w:val="(%1)"/>
      <w:numFmt w:val="decimal"/>
      <w:start w:val="7"/>
    </w:lvl>
    <w:lvl w:ilvl="1">
      <w:lvlJc w:val="left"/>
      <w:lvlText w:val="%2"/>
      <w:numFmt w:val="lowerRoman"/>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jpe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103" Type="http://schemas.openxmlformats.org/officeDocument/2006/relationships/image" Target="media/image76.png"/><Relationship Id="rId104"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jpe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31" Type="http://schemas.openxmlformats.org/officeDocument/2006/relationships/hyperlink" Target="http://www.sec.gov/ix?doc=/Archives/edgar/data/1811210/000162828023005540/lcid-20221231.htm" TargetMode="External"/><Relationship Id="rId32" Type="http://schemas.openxmlformats.org/officeDocument/2006/relationships/hyperlink" Target="http://www.sec.gov/ix?doc=/Archives/edgar/data/1811210/000162828023016405/lcid-20230331.htm" TargetMode="External"/><Relationship Id="rId33" Type="http://schemas.openxmlformats.org/officeDocument/2006/relationships/hyperlink" Target="http://www.sec.gov/ix?doc=/Archives/edgar/data/1811210/000110465923031532/tm232032d5_def14a.htm" TargetMode="External"/><Relationship Id="rId34" Type="http://schemas.openxmlformats.org/officeDocument/2006/relationships/hyperlink" Target="http://www.sec.gov/ix?doc=/Archives/edgar/data/1811210/000110465923007598/tm234549d1_8k.htm" TargetMode="External"/><Relationship Id="rId35" Type="http://schemas.openxmlformats.org/officeDocument/2006/relationships/hyperlink" Target="http://www.sec.gov/ix?doc=/Archives/edgar/data/1811210/000110465923008803/tm234958d1_8k.htm" TargetMode="External"/><Relationship Id="rId36" Type="http://schemas.openxmlformats.org/officeDocument/2006/relationships/hyperlink" Target="http://www.sec.gov/ix?doc=/Archives/edgar/data/1811210/000110465923010817/tm235543d1_8k.htm" TargetMode="External"/><Relationship Id="rId37" Type="http://schemas.openxmlformats.org/officeDocument/2006/relationships/hyperlink" Target="http://www.sec.gov/ix?doc=/Archives/edgar/data/1811210/000110465923023905/tm237398d1_8k.htm" TargetMode="External"/><Relationship Id="rId38" Type="http://schemas.openxmlformats.org/officeDocument/2006/relationships/hyperlink" Target="http://www.sec.gov/ix?doc=/Archives/edgar/data/1811210/000110465923028423/tm238322d1_8k.htm" TargetMode="External"/><Relationship Id="rId39" Type="http://schemas.openxmlformats.org/officeDocument/2006/relationships/hyperlink" Target="http://www.sec.gov/ix?doc=/Archives/edgar/data/1811210/000110465923037708/tm2310732d1_8k.htm" TargetMode="External"/><Relationship Id="rId40" Type="http://schemas.openxmlformats.org/officeDocument/2006/relationships/hyperlink" Target="http://www.sec.gov/ix?doc=/Archives/edgar/data/1811210/000110465923049685/tm2313633d1_8k.htm" TargetMode="External"/><Relationship Id="rId41" Type="http://schemas.openxmlformats.org/officeDocument/2006/relationships/hyperlink" Target="http://www.sec.gov/ix?doc=/Archives/edgar/data/1811210/000110465923054825/tm2314261d1_8k.htm" TargetMode="External"/><Relationship Id="rId42" Type="http://schemas.openxmlformats.org/officeDocument/2006/relationships/hyperlink" Target="https://www.sec.gov/ix?doc=/Archives/edgar/data/1811210/000110465923066270/tm2317326d2_8k.htm" TargetMode="External"/><Relationship Id="rId43" Type="http://schemas.openxmlformats.org/officeDocument/2006/relationships/hyperlink" Target="http://www.sec.gov/Archives/edgar/data/1811210/000110465921095277/tm2120294d8_8a12b.htm" TargetMode="External"/><Relationship Id="rId96" Type="http://schemas.openxmlformats.org/officeDocument/2006/relationships/hyperlink" Target="https://www.sec.gov/ix?doc=/Archives/edgar/data/1811210/000162828023005540/lcid-20221231.htm" TargetMode="External"/><Relationship Id="rId97" Type="http://schemas.openxmlformats.org/officeDocument/2006/relationships/hyperlink" Target="http://www.sec.gov/ix?doc=/Archives/edgar/data/0001811210/000162828023016405/lcid-20230331.htm" TargetMode="External"/><Relationship Id="rId98" Type="http://schemas.openxmlformats.org/officeDocument/2006/relationships/hyperlink" Target="https://www.sec.gov/ix?doc=/Archives/edgar/data/1811210/000110465923031532/tm232032d5_def14a.htm" TargetMode="External"/><Relationship Id="rId99" Type="http://schemas.openxmlformats.org/officeDocument/2006/relationships/hyperlink" Target="https://www.sec.gov/ix?doc=/Archives/edgar/data/1811210/000110465923007598/tm234549d1_8k.htm" TargetMode="External"/><Relationship Id="rId100" Type="http://schemas.openxmlformats.org/officeDocument/2006/relationships/hyperlink" Target="https://www.sec.gov/ix?doc=/Archives/edgar/data/1811210/000110465923008803/tm234958d1_8k.htm" TargetMode="External"/><Relationship Id="rId101" Type="http://schemas.openxmlformats.org/officeDocument/2006/relationships/hyperlink" Target="https://www.sec.gov/ix?doc=/Archives/edgar/data/1811210/000110465923054825/tm2314261d1_8k.htm" TargetMode="External"/><Relationship Id="rId102" Type="http://schemas.openxmlformats.org/officeDocument/2006/relationships/hyperlink" Target="https://www.sec.gov/Archives/edgar/data/1811210/000110465921095277/tm2120294d8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2023-06-01T05:23:35Z</dcterms:created>
  <dcterms:modified xsi:type="dcterms:W3CDTF">2023-06-01T05:23:35Z</dcterms:modified>
</cp:coreProperties>
</file>