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Boussaid Taoufiq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1"/>
                <w:vertAlign w:val="subscript"/>
              </w:rPr>
              <w:t>4,499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93,146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tax withholding and remittance obligations in connection with the settlement of the vesting of time-based restricted stock units ("RSUs"). The acquisition of such RSUs was previously reported on a Form 4 filed by the reporting person.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 and dollar amounts give effect to the Issuer's 1-for-10 reverse stock split that was effectuated on August 29, 2025 (the "Reverse Stock Split").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beneficially owned by the reporting person has been updated to account for rounding as a result of the Reverse Stock Split.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Wang,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Taoufiq Boussaid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3685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2025-09-09T16:12:44Z</dcterms:created>
  <dcterms:modified xsi:type="dcterms:W3CDTF">2025-09-09T16:12:44Z</dcterms:modified>
</cp:coreProperties>
</file>