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Winitzer Ori</w:t>
              </w:r>
            </w:hyperlink>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Lucid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LCID</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0000EE"/>
            </w:tcBorders>
            <w:vMerge w:val="continue"/>
          </w:tcPr>
          <w:p>
            <w:pPr>
              <w:spacing w:after="0"/>
              <w:rPr>
                <w:sz w:val="4"/>
                <w:szCs w:val="4"/>
                <w:color w:val="auto"/>
              </w:rPr>
            </w:pPr>
          </w:p>
        </w:tc>
        <w:tc>
          <w:tcPr>
            <w:tcW w:w="18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8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64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LUCID GROUP, INC.</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06/05/2025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7373 GATEWAY BOULEVARD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NEWARK</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64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94560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(City)</w:t>
            </w:r>
          </w:p>
        </w:tc>
        <w:tc>
          <w:tcPr>
            <w:tcW w:w="780" w:type="dxa"/>
            <w:vAlign w:val="bottom"/>
          </w:tcPr>
          <w:p>
            <w:pPr>
              <w:ind w:left="200"/>
              <w:spacing w:after="0"/>
              <w:rPr>
                <w:sz w:val="20"/>
                <w:szCs w:val="20"/>
                <w:color w:val="auto"/>
              </w:rPr>
            </w:pPr>
            <w:r>
              <w:rPr>
                <w:rFonts w:ascii="Arial" w:cs="Arial" w:eastAsia="Arial" w:hAnsi="Arial"/>
                <w:sz w:val="10"/>
                <w:szCs w:val="10"/>
                <w:color w:val="auto"/>
              </w:rPr>
              <w:t>(State)</w:t>
            </w:r>
          </w:p>
        </w:tc>
        <w:tc>
          <w:tcPr>
            <w:tcW w:w="6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3"/>
                <w:szCs w:val="13"/>
                <w:color w:val="0000FF"/>
              </w:rPr>
              <w:t>108,713</w:t>
            </w:r>
            <w:r>
              <w:rPr>
                <w:rFonts w:ascii="Times New Roman" w:cs="Times New Roman" w:eastAsia="Times New Roman" w:hAnsi="Times New Roman"/>
                <w:sz w:val="17"/>
                <w:szCs w:val="17"/>
                <w:color w:val="008000"/>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right"/>
              <w:ind w:right="148"/>
              <w:spacing w:after="0" w:line="248"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9"/>
                <w:szCs w:val="9"/>
                <w:color w:val="008000"/>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253,922</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840" w:type="dxa"/>
            <w:vAlign w:val="bottom"/>
            <w:tcBorders>
              <w:top w:val="single" w:sz="8" w:color="2C2C2C"/>
            </w:tcBorders>
          </w:tcPr>
          <w:p>
            <w:pPr>
              <w:spacing w:after="0"/>
              <w:rPr>
                <w:sz w:val="14"/>
                <w:szCs w:val="14"/>
                <w:color w:val="auto"/>
              </w:rPr>
            </w:pPr>
          </w:p>
        </w:tc>
        <w:tc>
          <w:tcPr>
            <w:tcW w:w="180" w:type="dxa"/>
            <w:vAlign w:val="bottom"/>
            <w:tcBorders>
              <w:top w:val="single" w:sz="8" w:color="2C2C2C"/>
            </w:tcBorders>
          </w:tcPr>
          <w:p>
            <w:pPr>
              <w:spacing w:after="0"/>
              <w:rPr>
                <w:sz w:val="14"/>
                <w:szCs w:val="14"/>
                <w:color w:val="auto"/>
              </w:rPr>
            </w:pPr>
          </w:p>
        </w:tc>
        <w:tc>
          <w:tcPr>
            <w:tcW w:w="7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640" w:type="dxa"/>
            <w:vAlign w:val="bottom"/>
          </w:tcPr>
          <w:p>
            <w:pPr>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6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64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2. RSUs are settled in shares of Class A Common Stock on a one-for-one basis.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Ori Winitzer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43116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1165"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74165"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2025-06-09T15:58:23Z</dcterms:created>
  <dcterms:modified xsi:type="dcterms:W3CDTF">2025-06-09T15:58:23Z</dcterms:modified>
</cp:coreProperties>
</file>