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Churchill Capital Corp IV</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001-39408</w:t>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communications were made available by Lucid Motors on Twitter, Facebook and LinkedIn on July 20, 2021:</w:t>
      </w:r>
    </w:p>
    <w:p>
      <w:pPr>
        <w:spacing w:after="0" w:line="200" w:lineRule="exact"/>
        <w:rPr>
          <w:sz w:val="24"/>
          <w:szCs w:val="24"/>
          <w:color w:val="auto"/>
        </w:rPr>
      </w:pPr>
    </w:p>
    <w:p>
      <w:pPr>
        <w:spacing w:after="0" w:line="237"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Twitter</w:t>
      </w:r>
      <w:r>
        <w:rPr>
          <w:rFonts w:ascii="Arial" w:cs="Arial" w:eastAsia="Arial" w:hAnsi="Arial"/>
          <w:sz w:val="18"/>
          <w:szCs w:val="18"/>
          <w:color w:val="auto"/>
        </w:rPr>
        <w:t>: Today, we remind all eligible $CCIV stockholders to vote for the proposed merger with #LucidMotors. Act now to ensure your vote to approve</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is counted as the deadline to vote by internet is July 21, 2021 at 11:59 PM EST.</w:t>
      </w:r>
    </w:p>
    <w:p>
      <w:pPr>
        <w:spacing w:after="0" w:line="166"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u w:val="single" w:color="auto"/>
          <w:color w:val="auto"/>
        </w:rPr>
        <w:t>https://www.prnewswire.com/news-releases/churchill-capital-corp-iv-reminds-stockholders-to-vote-prior-to-the-special-meeting-of-stockholders-on-july-22-2021-in-favor-of-business-combination-with-lucid-motors-301336953.html</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For more information: </w:t>
      </w:r>
      <w:r>
        <w:rPr>
          <w:rFonts w:ascii="Arial" w:cs="Arial" w:eastAsia="Arial" w:hAnsi="Arial"/>
          <w:sz w:val="18"/>
          <w:szCs w:val="18"/>
          <w:u w:val="single" w:color="auto"/>
          <w:color w:val="auto"/>
        </w:rPr>
        <w:t>https://www.sec.gov/Archives/edgar/data/0001811210/000110465921085384/tm219359-12_424b3.htm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4832350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2122170</wp:posOffset>
            </wp:positionH>
            <wp:positionV relativeFrom="paragraph">
              <wp:posOffset>151765</wp:posOffset>
            </wp:positionV>
            <wp:extent cx="2905760" cy="42519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05760" cy="4251960"/>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line="282" w:lineRule="auto"/>
        <w:rPr>
          <w:sz w:val="20"/>
          <w:szCs w:val="20"/>
          <w:color w:val="auto"/>
        </w:rPr>
      </w:pPr>
      <w:r>
        <w:rPr>
          <w:rFonts w:ascii="Arial" w:cs="Arial" w:eastAsia="Arial" w:hAnsi="Arial"/>
          <w:sz w:val="18"/>
          <w:szCs w:val="18"/>
          <w:b w:val="1"/>
          <w:bCs w:val="1"/>
          <w:color w:val="auto"/>
        </w:rPr>
        <w:t>Facebook</w:t>
      </w:r>
      <w:r>
        <w:rPr>
          <w:rFonts w:ascii="Arial" w:cs="Arial" w:eastAsia="Arial" w:hAnsi="Arial"/>
          <w:sz w:val="18"/>
          <w:szCs w:val="18"/>
          <w:color w:val="auto"/>
        </w:rPr>
        <w:t>: Today, we remind all eligible $CCIV stockholders to vote for the proposed merger with #LucidMotors. Act now to ensure your vote to approve</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is counted as the deadline to vote by internet is July 21, 2021 at 11:59 PM 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You can vote instantly by contacting MacKenzie Partners, Churchill IV’s proxy solicitor, for help, toll-free at (800) 322-2885.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Read more here: </w:t>
      </w:r>
      <w:r>
        <w:rPr>
          <w:rFonts w:ascii="Arial" w:cs="Arial" w:eastAsia="Arial" w:hAnsi="Arial"/>
          <w:sz w:val="18"/>
          <w:szCs w:val="18"/>
          <w:u w:val="single" w:color="auto"/>
          <w:color w:val="auto"/>
        </w:rPr>
        <w:t>https://www.sec.gov/Archives/edgar/data/0001811210/000110465921085384/tm219359-12_424b3.htm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6094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6094730"/>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sectPr>
      </w:pPr>
    </w:p>
    <w:bookmarkStart w:id="2" w:name="page3"/>
    <w:bookmarkEnd w:id="2"/>
    <w:p>
      <w:pPr>
        <w:spacing w:after="0" w:line="282" w:lineRule="auto"/>
        <w:rPr>
          <w:sz w:val="20"/>
          <w:szCs w:val="20"/>
          <w:color w:val="auto"/>
        </w:rPr>
      </w:pPr>
      <w:r>
        <w:rPr>
          <w:rFonts w:ascii="Arial" w:cs="Arial" w:eastAsia="Arial" w:hAnsi="Arial"/>
          <w:sz w:val="18"/>
          <w:szCs w:val="18"/>
          <w:b w:val="1"/>
          <w:bCs w:val="1"/>
          <w:color w:val="auto"/>
        </w:rPr>
        <w:t>LinkedIn</w:t>
      </w:r>
      <w:r>
        <w:rPr>
          <w:rFonts w:ascii="Arial" w:cs="Arial" w:eastAsia="Arial" w:hAnsi="Arial"/>
          <w:sz w:val="18"/>
          <w:szCs w:val="18"/>
          <w:color w:val="auto"/>
        </w:rPr>
        <w:t>: Today, we remind all eligible $CCIV stockholders to vote for the proposed merger with #LucidMotors. Act now to ensure your vote to approve</w:t>
      </w:r>
      <w:r>
        <w:rPr>
          <w:rFonts w:ascii="Arial" w:cs="Arial" w:eastAsia="Arial" w:hAnsi="Arial"/>
          <w:sz w:val="18"/>
          <w:szCs w:val="18"/>
          <w:b w:val="1"/>
          <w:bCs w:val="1"/>
          <w:color w:val="auto"/>
        </w:rPr>
        <w:t xml:space="preserve"> </w:t>
      </w:r>
      <w:r>
        <w:rPr>
          <w:rFonts w:ascii="Arial" w:cs="Arial" w:eastAsia="Arial" w:hAnsi="Arial"/>
          <w:sz w:val="18"/>
          <w:szCs w:val="18"/>
          <w:color w:val="auto"/>
        </w:rPr>
        <w:t>the merger is counted as the deadline to vote by internet is July 21, 2021 at 11:59 PM 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You can vote instantly by contacting MacKenzie Partners, Churchill IV’s proxy solicitor, for help, toll-free at (800) 322-2885.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Read more here: </w:t>
      </w:r>
      <w:r>
        <w:rPr>
          <w:rFonts w:ascii="Arial" w:cs="Arial" w:eastAsia="Arial" w:hAnsi="Arial"/>
          <w:sz w:val="18"/>
          <w:szCs w:val="18"/>
          <w:u w:val="single" w:color="auto"/>
          <w:color w:val="auto"/>
        </w:rPr>
        <w:t>https://www.sec.gov/Archives/edgar/data/0001811210/000110465921085384/tm219359-12_424b3.htm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60775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6077585"/>
                    </a:xfrm>
                    <a:prstGeom prst="rect">
                      <a:avLst/>
                    </a:prstGeom>
                    <a:noFill/>
                  </pic:spPr>
                </pic:pic>
              </a:graphicData>
            </a:graphic>
          </wp:anchor>
        </w:drawing>
      </w:r>
    </w:p>
    <w:p>
      <w:pPr>
        <w:sectPr>
          <w:pgSz w:w="11900" w:h="16838" w:orient="portrait"/>
          <w:cols w:equalWidth="0" w:num="1">
            <w:col w:w="11140"/>
          </w:cols>
          <w:pgMar w:left="320" w:top="904" w:right="4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IMPORTANT LEGAL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Proposed Transactions and Where to Find It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This communication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proposed business combination, Churchill Capital Corp IV (“CCIV”) filed a registration statement on Form S-4, as amended (the “Form S-4”), with the U.S. Securities and Exchange Commission (the “SEC”). The Form S-4 was declared effective June 25, 2021. The Form S-4 includes a document that serves as a prospectus and proxy statement of CCIV, referred to as a proxy statement/prospectus, that is both the proxy statement/prospectus which has been distributed to CCIV’s shareholders in connection with CCIV’s solicitation of proxies for the vote by CCIV’s shareholders with respect to the proposed transaction as described in the Form S-4 as well as the prospectus relating to the proposed business combination as described in the Form S-4. CCIV also will file other documents regarding the proposed business combination with the SEC. Before making any voting decision, investors and security holders of CCIV are urged to read the Form S-4 and all other relevant documents filed or that will be filed with the SEC in connection with the proposed business combination as they become available because they will contain important information about the proposed transaction. CCIV has mailed a definitive proxy statement/prospectus and other relevant documents to its shareholders of record as of June 21, 2021, the record date established for the special meeting of stockholders relating to the proposed business combination. Investors and security holders may obtain free copies of the Form S-4 and all other relevant documents filed or that will be filed with the SEC by CCIV through the website maintained by the SEC at </w:t>
      </w:r>
      <w:r>
        <w:rPr>
          <w:rFonts w:ascii="Arial" w:cs="Arial" w:eastAsia="Arial" w:hAnsi="Arial"/>
          <w:sz w:val="16"/>
          <w:szCs w:val="16"/>
          <w:u w:val="single" w:color="auto"/>
          <w:color w:val="auto"/>
        </w:rPr>
        <w:t>www.sec.gov</w:t>
      </w:r>
      <w:r>
        <w:rPr>
          <w:rFonts w:ascii="Arial" w:cs="Arial" w:eastAsia="Arial" w:hAnsi="Arial"/>
          <w:sz w:val="16"/>
          <w:szCs w:val="16"/>
          <w:color w:val="auto"/>
        </w:rPr>
        <w:t xml:space="preserve">. The documents filed by CCIV with the SEC also may be obtained free of charge at CCIV’s website at: </w:t>
      </w:r>
      <w:r>
        <w:rPr>
          <w:rFonts w:ascii="Arial" w:cs="Arial" w:eastAsia="Arial" w:hAnsi="Arial"/>
          <w:sz w:val="16"/>
          <w:szCs w:val="16"/>
          <w:u w:val="single" w:color="auto"/>
          <w:color w:val="auto"/>
        </w:rPr>
        <w:t>https://iv.churchillcapitalcorp.com/#</w:t>
      </w:r>
      <w:r>
        <w:rPr>
          <w:rFonts w:ascii="Arial" w:cs="Arial" w:eastAsia="Arial" w:hAnsi="Arial"/>
          <w:sz w:val="16"/>
          <w:szCs w:val="16"/>
          <w:color w:val="auto"/>
        </w:rPr>
        <w:t xml:space="preserve"> or upon written request to 640 Fifth Avenue, 12th Floor New York, NY 10019.</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is set forth in CCIV’s proxy statement/prospectus included in the Form S-4. Additional information regarding the participants in the proxy solicitation and a description of their direct and indirect interests is included in the proxy statement/prospectus. Shareholders, potential investors and other interested persons should read the proxy statement/prospectus carefully before making any voting or investment decisions. You may obtain free copies of these documents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No Offer or Solicitation</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communication contains trademarks, service marks, trade names and copyrights of Lucid, CCIV and other companies, which are the property of their respective owners.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communication,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the Form S-4, CCIV’s Annual Report on Form 10-K/A for the year ended December 31, 2020 and CCIV’s Quarterly Report on Form 10-Q for the quarter ended March 31, 2021, in each case, under the heading “Risk Factors,” as well as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communication.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549275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2021-07-21T05:12:52Z</dcterms:created>
  <dcterms:modified xsi:type="dcterms:W3CDTF">2021-07-21T05:12:52Z</dcterms:modified>
</cp:coreProperties>
</file>