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ind w:left="7860"/>
        <w:spacing w:after="0"/>
        <w:rPr>
          <w:sz w:val="20"/>
          <w:szCs w:val="20"/>
          <w:color w:val="auto"/>
        </w:rPr>
      </w:pPr>
      <w:r>
        <w:rPr>
          <w:rFonts w:ascii="Arial" w:cs="Arial" w:eastAsia="Arial" w:hAnsi="Arial"/>
          <w:sz w:val="15"/>
          <w:szCs w:val="15"/>
          <w:b w:val="1"/>
          <w:bCs w:val="1"/>
          <w:color w:val="auto"/>
        </w:rPr>
        <w:t>Filed Pursuant to Rule 424(b)(3)</w:t>
      </w:r>
    </w:p>
    <w:p>
      <w:pPr>
        <w:spacing w:after="0" w:line="84" w:lineRule="exact"/>
        <w:rPr>
          <w:sz w:val="24"/>
          <w:szCs w:val="24"/>
          <w:color w:val="auto"/>
        </w:rPr>
      </w:pPr>
    </w:p>
    <w:p>
      <w:pPr>
        <w:ind w:left="500"/>
        <w:spacing w:after="0"/>
        <w:tabs>
          <w:tab w:leader="none" w:pos="8140" w:val="left"/>
        </w:tabs>
        <w:rPr>
          <w:sz w:val="20"/>
          <w:szCs w:val="20"/>
          <w:color w:val="auto"/>
        </w:rPr>
      </w:pPr>
      <w:r>
        <w:rPr>
          <w:rFonts w:ascii="Arial" w:cs="Arial" w:eastAsia="Arial" w:hAnsi="Arial"/>
          <w:sz w:val="15"/>
          <w:szCs w:val="15"/>
          <w:b w:val="1"/>
          <w:bCs w:val="1"/>
          <w:color w:val="auto"/>
        </w:rPr>
        <w:t>Prospectus</w:t>
      </w:r>
      <w:r>
        <w:rPr>
          <w:sz w:val="20"/>
          <w:szCs w:val="20"/>
          <w:color w:val="auto"/>
        </w:rPr>
        <w:tab/>
      </w:r>
      <w:r>
        <w:rPr>
          <w:rFonts w:ascii="Arial" w:cs="Arial" w:eastAsia="Arial" w:hAnsi="Arial"/>
          <w:sz w:val="15"/>
          <w:szCs w:val="15"/>
          <w:b w:val="1"/>
          <w:bCs w:val="1"/>
          <w:color w:val="auto"/>
        </w:rPr>
        <w:t>Registration No. 333-258348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1631315</wp:posOffset>
            </wp:positionH>
            <wp:positionV relativeFrom="paragraph">
              <wp:posOffset>176530</wp:posOffset>
            </wp:positionV>
            <wp:extent cx="3557270" cy="205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57270" cy="205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Up to 85,750,000 Shares of Class A Common Stock</w:t>
      </w:r>
    </w:p>
    <w:p>
      <w:pPr>
        <w:spacing w:after="0" w:line="20"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and</w:t>
      </w:r>
    </w:p>
    <w:p>
      <w:pPr>
        <w:jc w:val="center"/>
        <w:ind w:right="-439"/>
        <w:spacing w:after="0" w:line="236" w:lineRule="auto"/>
        <w:rPr>
          <w:sz w:val="20"/>
          <w:szCs w:val="20"/>
          <w:color w:val="auto"/>
        </w:rPr>
      </w:pPr>
      <w:r>
        <w:rPr>
          <w:rFonts w:ascii="Arial" w:cs="Arial" w:eastAsia="Arial" w:hAnsi="Arial"/>
          <w:sz w:val="25"/>
          <w:szCs w:val="25"/>
          <w:b w:val="1"/>
          <w:bCs w:val="1"/>
          <w:color w:val="auto"/>
        </w:rPr>
        <w:t>Up to 1,336,329,949 Shares of Class A Common Stock</w:t>
      </w:r>
    </w:p>
    <w:p>
      <w:pPr>
        <w:jc w:val="center"/>
        <w:ind w:right="-439"/>
        <w:spacing w:after="0" w:line="237" w:lineRule="auto"/>
        <w:rPr>
          <w:sz w:val="20"/>
          <w:szCs w:val="20"/>
          <w:color w:val="auto"/>
        </w:rPr>
      </w:pPr>
      <w:r>
        <w:rPr>
          <w:rFonts w:ascii="Arial" w:cs="Arial" w:eastAsia="Arial" w:hAnsi="Arial"/>
          <w:sz w:val="25"/>
          <w:szCs w:val="25"/>
          <w:b w:val="1"/>
          <w:bCs w:val="1"/>
          <w:color w:val="auto"/>
        </w:rPr>
        <w:t>Up to 44,350,000 Warrants to Purchase Class A Common Stock</w:t>
      </w:r>
    </w:p>
    <w:p>
      <w:pPr>
        <w:jc w:val="center"/>
        <w:ind w:right="-499"/>
        <w:spacing w:after="0"/>
        <w:rPr>
          <w:sz w:val="20"/>
          <w:szCs w:val="20"/>
          <w:color w:val="auto"/>
        </w:rPr>
      </w:pPr>
      <w:r>
        <w:rPr>
          <w:rFonts w:ascii="Arial" w:cs="Arial" w:eastAsia="Arial" w:hAnsi="Arial"/>
          <w:sz w:val="25"/>
          <w:szCs w:val="25"/>
          <w:b w:val="1"/>
          <w:bCs w:val="1"/>
          <w:color w:val="auto"/>
        </w:rPr>
        <w:t>Offered by the Selling Securityholders</w:t>
      </w:r>
    </w:p>
    <w:p>
      <w:pPr>
        <w:spacing w:after="0" w:line="112" w:lineRule="exact"/>
        <w:rPr>
          <w:sz w:val="24"/>
          <w:szCs w:val="24"/>
          <w:color w:val="auto"/>
        </w:rPr>
      </w:pPr>
    </w:p>
    <w:p>
      <w:pPr>
        <w:ind w:left="500" w:right="100" w:firstLine="360"/>
        <w:spacing w:after="0" w:line="257" w:lineRule="auto"/>
        <w:rPr>
          <w:sz w:val="20"/>
          <w:szCs w:val="20"/>
          <w:color w:val="auto"/>
        </w:rPr>
      </w:pPr>
      <w:r>
        <w:rPr>
          <w:rFonts w:ascii="Arial" w:cs="Arial" w:eastAsia="Arial" w:hAnsi="Arial"/>
          <w:sz w:val="18"/>
          <w:szCs w:val="18"/>
          <w:color w:val="auto"/>
        </w:rPr>
        <w:t>This prospectus relates to the issuance by us of an aggregate of up to 85,750,000 shares of our common stock, par value $0.0001 per share (“</w:t>
      </w:r>
      <w:r>
        <w:rPr>
          <w:rFonts w:ascii="Arial" w:cs="Arial" w:eastAsia="Arial" w:hAnsi="Arial"/>
          <w:sz w:val="18"/>
          <w:szCs w:val="18"/>
          <w:i w:val="1"/>
          <w:iCs w:val="1"/>
          <w:color w:val="auto"/>
        </w:rPr>
        <w:t>Class A common stock</w:t>
      </w:r>
      <w:r>
        <w:rPr>
          <w:rFonts w:ascii="Arial" w:cs="Arial" w:eastAsia="Arial" w:hAnsi="Arial"/>
          <w:sz w:val="18"/>
          <w:szCs w:val="18"/>
          <w:color w:val="auto"/>
        </w:rPr>
        <w:t>”), consisting of (a) 41,400,000 shares of Class A common stock issuable upon exercise of the Public Warrants (as defined below), (b) 42,850,000 shares of Class A common stock issuable upon exercise of the Private Placement Warrants (as defined below) and (c) 1,500,000 shares of Class A common stock issuable upon exercise of the Working Capital Warrants (as defined below).</w:t>
      </w:r>
    </w:p>
    <w:p>
      <w:pPr>
        <w:spacing w:after="0" w:line="120" w:lineRule="exact"/>
        <w:rPr>
          <w:sz w:val="24"/>
          <w:szCs w:val="24"/>
          <w:color w:val="auto"/>
        </w:rPr>
      </w:pPr>
    </w:p>
    <w:p>
      <w:pPr>
        <w:ind w:left="500" w:right="40" w:firstLine="360"/>
        <w:spacing w:after="0" w:line="269" w:lineRule="auto"/>
        <w:rPr>
          <w:sz w:val="20"/>
          <w:szCs w:val="20"/>
          <w:color w:val="auto"/>
        </w:rPr>
      </w:pPr>
      <w:r>
        <w:rPr>
          <w:rFonts w:ascii="Arial" w:cs="Arial" w:eastAsia="Arial" w:hAnsi="Arial"/>
          <w:sz w:val="17"/>
          <w:szCs w:val="17"/>
          <w:color w:val="auto"/>
        </w:rPr>
        <w:t>The prospectus also relates to the offer and sale from time to time by the selling securityholders named in this prospectus (the “</w:t>
      </w:r>
      <w:r>
        <w:rPr>
          <w:rFonts w:ascii="Arial" w:cs="Arial" w:eastAsia="Arial" w:hAnsi="Arial"/>
          <w:sz w:val="17"/>
          <w:szCs w:val="17"/>
          <w:i w:val="1"/>
          <w:iCs w:val="1"/>
          <w:color w:val="auto"/>
        </w:rPr>
        <w:t>Selling Securityholders</w:t>
      </w:r>
      <w:r>
        <w:rPr>
          <w:rFonts w:ascii="Arial" w:cs="Arial" w:eastAsia="Arial" w:hAnsi="Arial"/>
          <w:sz w:val="17"/>
          <w:szCs w:val="17"/>
          <w:color w:val="auto"/>
        </w:rPr>
        <w:t>”), or their permitted transferees, of (a) up to 1,336,329,949 shares of Class A common stock, consisting of (i) 1,244,157,121 issued and outstanding shares of Class A common stock, (ii) 47,822,828 shares of Class A common stock subject to vesting and/or exercise of the assumed Lucid Equity Awards (as defined below) and (iii) 44,350,000 shares of Class A common stock issuable upon exercise of the Private Placement Warrants and the Working Capital Warrants, and (b) 44,350,000 warrants representing the Private Placement Warrants and the Working Capital Warrants. We will not receive any proceeds from the sale of shares of Class A common stock or warrants by the Selling Securityholders pursuant to this prospectus, except with respect to amounts received by us upon exercise of the warrants to the extent such warrants are exercised for cash.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14" w:lineRule="exact"/>
        <w:rPr>
          <w:sz w:val="24"/>
          <w:szCs w:val="24"/>
          <w:color w:val="auto"/>
        </w:rPr>
      </w:pPr>
    </w:p>
    <w:p>
      <w:pPr>
        <w:ind w:left="500" w:right="20" w:firstLine="360"/>
        <w:spacing w:after="0" w:line="254" w:lineRule="auto"/>
        <w:rPr>
          <w:sz w:val="20"/>
          <w:szCs w:val="20"/>
          <w:color w:val="auto"/>
        </w:rPr>
      </w:pPr>
      <w:r>
        <w:rPr>
          <w:rFonts w:ascii="Arial" w:cs="Arial" w:eastAsia="Arial" w:hAnsi="Arial"/>
          <w:sz w:val="18"/>
          <w:szCs w:val="18"/>
          <w:color w:val="auto"/>
        </w:rPr>
        <w:t>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in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In addition, certain of the securities being registered hereby are subject to vesting and/or transfer restrictions that may prevent the Selling Securityholders from offering or selling such securities upon the effectiveness of the registration statement of which this prospectus is a part. See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for more information.</w:t>
      </w:r>
    </w:p>
    <w:p>
      <w:pPr>
        <w:spacing w:after="0" w:line="114" w:lineRule="exact"/>
        <w:rPr>
          <w:sz w:val="24"/>
          <w:szCs w:val="24"/>
          <w:color w:val="auto"/>
        </w:rPr>
      </w:pPr>
    </w:p>
    <w:p>
      <w:pPr>
        <w:ind w:left="500" w:right="200" w:firstLine="360"/>
        <w:spacing w:after="0" w:line="263" w:lineRule="auto"/>
        <w:rPr>
          <w:sz w:val="20"/>
          <w:szCs w:val="20"/>
          <w:color w:val="auto"/>
        </w:rPr>
      </w:pPr>
      <w:r>
        <w:rPr>
          <w:rFonts w:ascii="Arial" w:cs="Arial" w:eastAsia="Arial" w:hAnsi="Arial"/>
          <w:sz w:val="18"/>
          <w:szCs w:val="18"/>
          <w:color w:val="auto"/>
        </w:rPr>
        <w:t>We are an “emerging growth company” as defined in Section 2(a) of the Securities Act (as defined below) and are subject to reduced public company reporting requirements. We expect that we will cease to be an emerging growth company as of December 31, 2021.</w:t>
      </w:r>
    </w:p>
    <w:p>
      <w:pPr>
        <w:spacing w:after="0" w:line="116" w:lineRule="exact"/>
        <w:rPr>
          <w:sz w:val="24"/>
          <w:szCs w:val="24"/>
          <w:color w:val="auto"/>
        </w:rPr>
      </w:pPr>
    </w:p>
    <w:p>
      <w:pPr>
        <w:ind w:left="500" w:right="460" w:firstLine="360"/>
        <w:spacing w:after="0" w:line="259" w:lineRule="auto"/>
        <w:rPr>
          <w:sz w:val="20"/>
          <w:szCs w:val="20"/>
          <w:color w:val="auto"/>
        </w:rPr>
      </w:pPr>
      <w:r>
        <w:rPr>
          <w:rFonts w:ascii="Arial" w:cs="Arial" w:eastAsia="Arial" w:hAnsi="Arial"/>
          <w:sz w:val="18"/>
          <w:szCs w:val="18"/>
          <w:color w:val="auto"/>
        </w:rPr>
        <w:t>Our majority stockholder, Ayar, owns approximately 62.7% of our outstanding common stock. As a result, we are a “controlled company” within the meaning of Nasdaq rules and, as a result, qualify for exemptions from certain corporate governance requirements. Ayar also currently has the ability to nominate five of the nine directors to our Board (as defined below).</w:t>
      </w:r>
    </w:p>
    <w:p>
      <w:pPr>
        <w:spacing w:after="0" w:line="119" w:lineRule="exact"/>
        <w:rPr>
          <w:sz w:val="24"/>
          <w:szCs w:val="24"/>
          <w:color w:val="auto"/>
        </w:rPr>
      </w:pPr>
    </w:p>
    <w:p>
      <w:pPr>
        <w:ind w:left="500" w:right="60" w:firstLine="360"/>
        <w:spacing w:after="0" w:line="259" w:lineRule="auto"/>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 Our Class A common stock and Public Warrants are listed on The Nasdaq Stock Market LLC under the symbols “LCID” and “LCIDW,” respectively. On August 23, the closing price of our Class A common stock was $21.65 per share and the closing price for our Public Warrants was $9.01.</w:t>
      </w:r>
    </w:p>
    <w:p>
      <w:pPr>
        <w:spacing w:after="0" w:line="102" w:lineRule="exact"/>
        <w:rPr>
          <w:sz w:val="24"/>
          <w:szCs w:val="24"/>
          <w:color w:val="auto"/>
        </w:rPr>
      </w:pPr>
    </w:p>
    <w:p>
      <w:pPr>
        <w:ind w:left="500" w:right="640"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Class A common stock and warrants involves a high degree of risk. See the section 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beginning on page </w:t>
      </w:r>
      <w:hyperlink w:anchor="page16">
        <w:r>
          <w:rPr>
            <w:rFonts w:ascii="Arial" w:cs="Arial" w:eastAsia="Arial" w:hAnsi="Arial"/>
            <w:sz w:val="18"/>
            <w:szCs w:val="18"/>
            <w:b w:val="1"/>
            <w:bCs w:val="1"/>
            <w:u w:val="single" w:color="auto"/>
            <w:color w:val="0000EE"/>
          </w:rPr>
          <w:t>8</w:t>
        </w:r>
      </w:hyperlink>
      <w:r>
        <w:rPr>
          <w:rFonts w:ascii="Arial" w:cs="Arial" w:eastAsia="Arial" w:hAnsi="Arial"/>
          <w:sz w:val="18"/>
          <w:szCs w:val="18"/>
          <w:b w:val="1"/>
          <w:bCs w:val="1"/>
          <w:color w:val="auto"/>
        </w:rPr>
        <w:t>.</w:t>
      </w:r>
    </w:p>
    <w:p>
      <w:pPr>
        <w:spacing w:after="0" w:line="94" w:lineRule="exact"/>
        <w:rPr>
          <w:sz w:val="24"/>
          <w:szCs w:val="24"/>
          <w:color w:val="auto"/>
        </w:rPr>
      </w:pPr>
    </w:p>
    <w:p>
      <w:pPr>
        <w:ind w:left="500" w:right="280" w:firstLine="360"/>
        <w:spacing w:after="0" w:line="386" w:lineRule="auto"/>
        <w:rPr>
          <w:sz w:val="20"/>
          <w:szCs w:val="20"/>
          <w:color w:val="auto"/>
        </w:rPr>
      </w:pPr>
      <w:r>
        <w:rPr>
          <w:rFonts w:ascii="Arial" w:cs="Arial" w:eastAsia="Arial" w:hAnsi="Arial"/>
          <w:sz w:val="15"/>
          <w:szCs w:val="15"/>
          <w:b w:val="1"/>
          <w:bCs w:val="1"/>
          <w:color w:val="auto"/>
        </w:rPr>
        <w:t>Neither the Securities and Exchange Commission nor any other state securities commission has approved or disapproved of these securities or passed on the adequacy or accuracy of this prospectus. Any representation to the contrary is a criminal offense.</w:t>
      </w:r>
    </w:p>
    <w:p>
      <w:pPr>
        <w:spacing w:after="0" w:line="30"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August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239" w:right="1079" w:bottom="1440" w:gutter="0" w:footer="0" w:header="0"/>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231775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P</w:t>
            </w:r>
            <w:r>
              <w:rPr>
                <w:rFonts w:ascii="Arial" w:cs="Arial" w:eastAsia="Arial" w:hAnsi="Arial"/>
                <w:sz w:val="10"/>
                <w:szCs w:val="10"/>
                <w:b w:val="1"/>
                <w:bCs w:val="1"/>
                <w:color w:val="auto"/>
                <w:w w:val="96"/>
              </w:rPr>
              <w:t>AGE</w:t>
            </w:r>
          </w:p>
        </w:tc>
      </w:tr>
      <w:tr>
        <w:trPr>
          <w:trHeight w:val="39"/>
        </w:trPr>
        <w:tc>
          <w:tcPr>
            <w:tcW w:w="5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17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30"/>
        </w:trPr>
        <w:tc>
          <w:tcPr>
            <w:tcW w:w="172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3"/>
              </w:rPr>
            </w:pPr>
            <w:hyperlink w:anchor="page2">
              <w:r>
                <w:rPr>
                  <w:rFonts w:ascii="Arial" w:cs="Arial" w:eastAsia="Arial" w:hAnsi="Arial"/>
                  <w:sz w:val="18"/>
                  <w:szCs w:val="18"/>
                  <w:color w:val="0000EE"/>
                  <w:w w:val="93"/>
                </w:rPr>
                <w:t>About This Prospectus</w:t>
              </w:r>
            </w:hyperlink>
          </w:p>
        </w:tc>
        <w:tc>
          <w:tcPr>
            <w:tcW w:w="6180" w:type="dxa"/>
            <w:vAlign w:val="bottom"/>
            <w:tcBorders>
              <w:bottom w:val="single" w:sz="8" w:color="CCEEFF"/>
            </w:tcBorders>
            <w:gridSpan w:val="13"/>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left w:val="single" w:sz="8" w:color="CCEEFF"/>
              <w:bottom w:val="single" w:sz="8" w:color="0000EE"/>
            </w:tcBorders>
            <w:gridSpan w:val="2"/>
            <w:shd w:val="clear" w:color="auto" w:fill="CCEEFF"/>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ii</w:t>
              </w:r>
            </w:hyperlink>
          </w:p>
        </w:tc>
        <w:tc>
          <w:tcPr>
            <w:tcW w:w="20" w:type="dxa"/>
            <w:vAlign w:val="bottom"/>
          </w:tcPr>
          <w:p>
            <w:pPr>
              <w:spacing w:after="0"/>
              <w:rPr>
                <w:sz w:val="20"/>
                <w:szCs w:val="20"/>
                <w:color w:val="auto"/>
              </w:rPr>
            </w:pPr>
          </w:p>
        </w:tc>
      </w:tr>
      <w:tr>
        <w:trPr>
          <w:trHeight w:val="216"/>
        </w:trPr>
        <w:tc>
          <w:tcPr>
            <w:tcW w:w="790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Frequently Used Terms</w:t>
              </w:r>
            </w:hyperlink>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3"/>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iii</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340" w:type="dxa"/>
            <w:vAlign w:val="bottom"/>
            <w:tcBorders>
              <w:bottom w:val="single" w:sz="8" w:color="0000EE"/>
            </w:tcBorders>
            <w:gridSpan w:val="18"/>
            <w:shd w:val="clear" w:color="auto" w:fill="CCEEFF"/>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Cautionary Note Regarding Forward-Looking Statements</w:t>
              </w:r>
            </w:hyperlink>
          </w:p>
        </w:tc>
        <w:tc>
          <w:tcPr>
            <w:tcW w:w="3560" w:type="dxa"/>
            <w:vAlign w:val="bottom"/>
            <w:tcBorders>
              <w:bottom w:val="single" w:sz="8" w:color="CCEEFF"/>
            </w:tcBorders>
            <w:gridSpan w:val="5"/>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left w:val="single" w:sz="8" w:color="CCEEFF"/>
              <w:bottom w:val="single" w:sz="8" w:color="0000EE"/>
            </w:tcBorders>
            <w:gridSpan w:val="2"/>
            <w:shd w:val="clear" w:color="auto" w:fill="CCEEFF"/>
          </w:tcPr>
          <w:p>
            <w:pPr>
              <w:jc w:val="right"/>
              <w:spacing w:after="0"/>
              <w:rPr>
                <w:rFonts w:ascii="Arial" w:cs="Arial" w:eastAsia="Arial" w:hAnsi="Arial"/>
                <w:sz w:val="18"/>
                <w:szCs w:val="18"/>
                <w:color w:val="0000EE"/>
                <w:w w:val="82"/>
              </w:rPr>
            </w:pPr>
            <w:hyperlink w:anchor="page7">
              <w:r>
                <w:rPr>
                  <w:rFonts w:ascii="Arial" w:cs="Arial" w:eastAsia="Arial" w:hAnsi="Arial"/>
                  <w:sz w:val="18"/>
                  <w:szCs w:val="18"/>
                  <w:color w:val="0000EE"/>
                  <w:w w:val="82"/>
                </w:rPr>
                <w:t>vii</w:t>
              </w:r>
            </w:hyperlink>
          </w:p>
        </w:tc>
        <w:tc>
          <w:tcPr>
            <w:tcW w:w="20" w:type="dxa"/>
            <w:vAlign w:val="bottom"/>
          </w:tcPr>
          <w:p>
            <w:pPr>
              <w:spacing w:after="0"/>
              <w:rPr>
                <w:sz w:val="20"/>
                <w:szCs w:val="20"/>
                <w:color w:val="auto"/>
              </w:rPr>
            </w:pPr>
          </w:p>
        </w:tc>
      </w:tr>
      <w:tr>
        <w:trPr>
          <w:trHeight w:val="216"/>
        </w:trPr>
        <w:tc>
          <w:tcPr>
            <w:tcW w:w="7900" w:type="dxa"/>
            <w:vAlign w:val="bottom"/>
            <w:gridSpan w:val="2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Prospectus Summary</w:t>
              </w:r>
            </w:hyperlink>
          </w:p>
        </w:tc>
        <w:tc>
          <w:tcPr>
            <w:tcW w:w="30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1</w:t>
              </w:r>
            </w:hyperlink>
          </w:p>
        </w:tc>
        <w:tc>
          <w:tcPr>
            <w:tcW w:w="20" w:type="dxa"/>
            <w:vAlign w:val="bottom"/>
          </w:tcPr>
          <w:p>
            <w:pPr>
              <w:spacing w:after="0"/>
              <w:rPr>
                <w:sz w:val="18"/>
                <w:szCs w:val="18"/>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900" w:type="dxa"/>
            <w:vAlign w:val="bottom"/>
            <w:gridSpan w:val="23"/>
            <w:shd w:val="clear" w:color="auto" w:fill="CCEEFF"/>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300" w:type="dxa"/>
            <w:vAlign w:val="bottom"/>
            <w:gridSpan w:val="4"/>
            <w:shd w:val="clear" w:color="auto" w:fill="CCEEFF"/>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8</w:t>
              </w:r>
            </w:hyperlink>
          </w:p>
        </w:tc>
        <w:tc>
          <w:tcPr>
            <w:tcW w:w="20" w:type="dxa"/>
            <w:vAlign w:val="bottom"/>
          </w:tcPr>
          <w:p>
            <w:pPr>
              <w:spacing w:after="0"/>
              <w:rPr>
                <w:sz w:val="19"/>
                <w:szCs w:val="19"/>
                <w:color w:val="auto"/>
              </w:rPr>
            </w:pPr>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900" w:type="dxa"/>
            <w:vAlign w:val="bottom"/>
            <w:gridSpan w:val="2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Use of Proceeds</w:t>
              </w:r>
            </w:hyperlink>
          </w:p>
        </w:tc>
        <w:tc>
          <w:tcPr>
            <w:tcW w:w="300" w:type="dxa"/>
            <w:vAlign w:val="bottom"/>
            <w:gridSpan w:val="4"/>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56</w:t>
              </w:r>
            </w:hyperlink>
          </w:p>
        </w:tc>
        <w:tc>
          <w:tcPr>
            <w:tcW w:w="2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tcBorders>
              <w:bottom w:val="single" w:sz="8" w:color="0000EE"/>
            </w:tcBorders>
            <w:gridSpan w:val="14"/>
            <w:shd w:val="clear" w:color="auto" w:fill="CCEEFF"/>
          </w:tcPr>
          <w:p>
            <w:pPr>
              <w:spacing w:after="0"/>
              <w:rPr>
                <w:rFonts w:ascii="Arial" w:cs="Arial" w:eastAsia="Arial" w:hAnsi="Arial"/>
                <w:sz w:val="18"/>
                <w:szCs w:val="18"/>
                <w:color w:val="0000EE"/>
                <w:w w:val="97"/>
              </w:rPr>
            </w:pPr>
            <w:hyperlink w:anchor="page65">
              <w:r>
                <w:rPr>
                  <w:rFonts w:ascii="Arial" w:cs="Arial" w:eastAsia="Arial" w:hAnsi="Arial"/>
                  <w:sz w:val="18"/>
                  <w:szCs w:val="18"/>
                  <w:color w:val="0000EE"/>
                  <w:w w:val="97"/>
                </w:rPr>
                <w:t>Determination of Offering Price</w:t>
              </w:r>
            </w:hyperlink>
          </w:p>
        </w:tc>
        <w:tc>
          <w:tcPr>
            <w:tcW w:w="5480" w:type="dxa"/>
            <w:vAlign w:val="bottom"/>
            <w:tcBorders>
              <w:bottom w:val="single" w:sz="8" w:color="CCEEFF"/>
            </w:tcBorders>
            <w:gridSpan w:val="9"/>
            <w:shd w:val="clear" w:color="auto" w:fill="CCEEFF"/>
          </w:tcPr>
          <w:p>
            <w:pPr>
              <w:spacing w:after="0"/>
              <w:rPr>
                <w:sz w:val="21"/>
                <w:szCs w:val="21"/>
                <w:color w:val="auto"/>
              </w:rPr>
            </w:pPr>
          </w:p>
        </w:tc>
        <w:tc>
          <w:tcPr>
            <w:tcW w:w="14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60" w:type="dxa"/>
            <w:vAlign w:val="bottom"/>
            <w:tcBorders>
              <w:left w:val="single" w:sz="8" w:color="CCEEFF"/>
              <w:bottom w:val="single" w:sz="8" w:color="0000EE"/>
            </w:tcBorders>
            <w:gridSpan w:val="2"/>
            <w:shd w:val="clear" w:color="auto" w:fill="CCEEFF"/>
          </w:tcPr>
          <w:p>
            <w:pPr>
              <w:jc w:val="right"/>
              <w:spacing w:after="0"/>
              <w:rPr>
                <w:rFonts w:ascii="Arial" w:cs="Arial" w:eastAsia="Arial" w:hAnsi="Arial"/>
                <w:sz w:val="17"/>
                <w:szCs w:val="17"/>
                <w:color w:val="0000EE"/>
                <w:w w:val="73"/>
              </w:rPr>
            </w:pPr>
            <w:hyperlink w:anchor="page65">
              <w:r>
                <w:rPr>
                  <w:rFonts w:ascii="Arial" w:cs="Arial" w:eastAsia="Arial" w:hAnsi="Arial"/>
                  <w:sz w:val="17"/>
                  <w:szCs w:val="17"/>
                  <w:color w:val="0000EE"/>
                  <w:w w:val="73"/>
                </w:rPr>
                <w:t>57</w:t>
              </w:r>
            </w:hyperlink>
          </w:p>
        </w:tc>
        <w:tc>
          <w:tcPr>
            <w:tcW w:w="20" w:type="dxa"/>
            <w:vAlign w:val="bottom"/>
          </w:tcPr>
          <w:p>
            <w:pPr>
              <w:spacing w:after="0"/>
              <w:rPr>
                <w:sz w:val="21"/>
                <w:szCs w:val="21"/>
                <w:color w:val="auto"/>
              </w:rPr>
            </w:pPr>
          </w:p>
        </w:tc>
      </w:tr>
      <w:tr>
        <w:trPr>
          <w:trHeight w:val="229"/>
        </w:trPr>
        <w:tc>
          <w:tcPr>
            <w:tcW w:w="7900" w:type="dxa"/>
            <w:vAlign w:val="bottom"/>
            <w:gridSpan w:val="2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Market Information for Common Stock and Dividend Policy</w:t>
              </w:r>
            </w:hyperlink>
          </w:p>
        </w:tc>
        <w:tc>
          <w:tcPr>
            <w:tcW w:w="300" w:type="dxa"/>
            <w:vAlign w:val="bottom"/>
            <w:gridSpan w:val="4"/>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58</w:t>
              </w:r>
            </w:hyperlink>
          </w:p>
        </w:tc>
        <w:tc>
          <w:tcPr>
            <w:tcW w:w="2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40" w:type="dxa"/>
            <w:vAlign w:val="bottom"/>
            <w:tcBorders>
              <w:bottom w:val="single" w:sz="8" w:color="0000EE"/>
            </w:tcBorders>
            <w:gridSpan w:val="20"/>
            <w:shd w:val="clear" w:color="auto" w:fill="CCEEFF"/>
          </w:tcPr>
          <w:p>
            <w:pPr>
              <w:spacing w:after="0"/>
              <w:rPr>
                <w:rFonts w:ascii="Arial" w:cs="Arial" w:eastAsia="Arial" w:hAnsi="Arial"/>
                <w:sz w:val="18"/>
                <w:szCs w:val="18"/>
                <w:color w:val="0000EE"/>
                <w:w w:val="95"/>
              </w:rPr>
            </w:pPr>
            <w:hyperlink w:anchor="page67">
              <w:r>
                <w:rPr>
                  <w:rFonts w:ascii="Arial" w:cs="Arial" w:eastAsia="Arial" w:hAnsi="Arial"/>
                  <w:sz w:val="18"/>
                  <w:szCs w:val="18"/>
                  <w:color w:val="0000EE"/>
                  <w:w w:val="95"/>
                </w:rPr>
                <w:t>Unaudited Pro Forma Condensed Combined Financial Information</w:t>
              </w:r>
            </w:hyperlink>
          </w:p>
        </w:tc>
        <w:tc>
          <w:tcPr>
            <w:tcW w:w="2860" w:type="dxa"/>
            <w:vAlign w:val="bottom"/>
            <w:tcBorders>
              <w:bottom w:val="single" w:sz="8" w:color="CCEEFF"/>
            </w:tcBorders>
            <w:gridSpan w:val="3"/>
            <w:shd w:val="clear" w:color="auto" w:fill="CCEEFF"/>
          </w:tcPr>
          <w:p>
            <w:pPr>
              <w:spacing w:after="0"/>
              <w:rPr>
                <w:sz w:val="21"/>
                <w:szCs w:val="21"/>
                <w:color w:val="auto"/>
              </w:rPr>
            </w:pPr>
          </w:p>
        </w:tc>
        <w:tc>
          <w:tcPr>
            <w:tcW w:w="14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60" w:type="dxa"/>
            <w:vAlign w:val="bottom"/>
            <w:tcBorders>
              <w:left w:val="single" w:sz="8" w:color="CCEEFF"/>
              <w:bottom w:val="single" w:sz="8" w:color="0000EE"/>
            </w:tcBorders>
            <w:gridSpan w:val="2"/>
            <w:shd w:val="clear" w:color="auto" w:fill="CCEEFF"/>
          </w:tcPr>
          <w:p>
            <w:pPr>
              <w:jc w:val="right"/>
              <w:spacing w:after="0"/>
              <w:rPr>
                <w:rFonts w:ascii="Arial" w:cs="Arial" w:eastAsia="Arial" w:hAnsi="Arial"/>
                <w:sz w:val="17"/>
                <w:szCs w:val="17"/>
                <w:color w:val="0000EE"/>
                <w:w w:val="73"/>
              </w:rPr>
            </w:pPr>
            <w:hyperlink w:anchor="page67">
              <w:r>
                <w:rPr>
                  <w:rFonts w:ascii="Arial" w:cs="Arial" w:eastAsia="Arial" w:hAnsi="Arial"/>
                  <w:sz w:val="17"/>
                  <w:szCs w:val="17"/>
                  <w:color w:val="0000EE"/>
                  <w:w w:val="73"/>
                </w:rPr>
                <w:t>59</w:t>
              </w:r>
            </w:hyperlink>
          </w:p>
        </w:tc>
        <w:tc>
          <w:tcPr>
            <w:tcW w:w="20" w:type="dxa"/>
            <w:vAlign w:val="bottom"/>
          </w:tcPr>
          <w:p>
            <w:pPr>
              <w:spacing w:after="0"/>
              <w:rPr>
                <w:sz w:val="21"/>
                <w:szCs w:val="21"/>
                <w:color w:val="auto"/>
              </w:rPr>
            </w:pPr>
          </w:p>
        </w:tc>
      </w:tr>
      <w:tr>
        <w:trPr>
          <w:trHeight w:val="229"/>
        </w:trPr>
        <w:tc>
          <w:tcPr>
            <w:tcW w:w="7900" w:type="dxa"/>
            <w:vAlign w:val="bottom"/>
            <w:gridSpan w:val="23"/>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Management’s Discussion and Analysis of Financial Condition and Results of Operations</w:t>
              </w:r>
            </w:hyperlink>
          </w:p>
        </w:tc>
        <w:tc>
          <w:tcPr>
            <w:tcW w:w="300" w:type="dxa"/>
            <w:vAlign w:val="bottom"/>
            <w:gridSpan w:val="4"/>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73</w:t>
              </w:r>
            </w:hyperlink>
          </w:p>
        </w:tc>
        <w:tc>
          <w:tcPr>
            <w:tcW w:w="2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900" w:type="dxa"/>
            <w:vAlign w:val="bottom"/>
            <w:gridSpan w:val="23"/>
            <w:shd w:val="clear" w:color="auto" w:fill="CCEEFF"/>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Business</w:t>
              </w:r>
            </w:hyperlink>
          </w:p>
        </w:tc>
        <w:tc>
          <w:tcPr>
            <w:tcW w:w="300" w:type="dxa"/>
            <w:vAlign w:val="bottom"/>
            <w:gridSpan w:val="4"/>
            <w:shd w:val="clear" w:color="auto" w:fill="CCEEFF"/>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96</w:t>
              </w:r>
            </w:hyperlink>
          </w:p>
        </w:tc>
        <w:tc>
          <w:tcPr>
            <w:tcW w:w="20" w:type="dxa"/>
            <w:vAlign w:val="bottom"/>
          </w:tcPr>
          <w:p>
            <w:pPr>
              <w:spacing w:after="0"/>
              <w:rPr>
                <w:sz w:val="19"/>
                <w:szCs w:val="19"/>
                <w:color w:val="auto"/>
              </w:rPr>
            </w:pPr>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900" w:type="dxa"/>
            <w:vAlign w:val="bottom"/>
            <w:gridSpan w:val="23"/>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Management</w:t>
              </w:r>
            </w:hyperlink>
          </w:p>
        </w:tc>
        <w:tc>
          <w:tcPr>
            <w:tcW w:w="300" w:type="dxa"/>
            <w:vAlign w:val="bottom"/>
            <w:gridSpan w:val="4"/>
          </w:tcPr>
          <w:p>
            <w:pPr>
              <w:jc w:val="right"/>
              <w:spacing w:after="0"/>
              <w:rPr>
                <w:rFonts w:ascii="Arial" w:cs="Arial" w:eastAsia="Arial" w:hAnsi="Arial"/>
                <w:sz w:val="18"/>
                <w:szCs w:val="18"/>
                <w:color w:val="0000EE"/>
                <w:w w:val="93"/>
              </w:rPr>
            </w:pPr>
            <w:hyperlink w:anchor="page122">
              <w:r>
                <w:rPr>
                  <w:rFonts w:ascii="Arial" w:cs="Arial" w:eastAsia="Arial" w:hAnsi="Arial"/>
                  <w:sz w:val="18"/>
                  <w:szCs w:val="18"/>
                  <w:color w:val="0000EE"/>
                  <w:w w:val="93"/>
                </w:rPr>
                <w:t>114</w:t>
              </w:r>
            </w:hyperlink>
          </w:p>
        </w:tc>
        <w:tc>
          <w:tcPr>
            <w:tcW w:w="2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8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3"/>
              </w:rPr>
            </w:pPr>
            <w:hyperlink w:anchor="page129">
              <w:r>
                <w:rPr>
                  <w:rFonts w:ascii="Arial" w:cs="Arial" w:eastAsia="Arial" w:hAnsi="Arial"/>
                  <w:sz w:val="18"/>
                  <w:szCs w:val="18"/>
                  <w:color w:val="0000EE"/>
                  <w:w w:val="93"/>
                </w:rPr>
                <w:t>Executive Compensation</w:t>
              </w:r>
            </w:hyperlink>
          </w:p>
        </w:tc>
        <w:tc>
          <w:tcPr>
            <w:tcW w:w="6020" w:type="dxa"/>
            <w:vAlign w:val="bottom"/>
            <w:tcBorders>
              <w:bottom w:val="single" w:sz="8" w:color="CCEEFF"/>
            </w:tcBorders>
            <w:gridSpan w:val="11"/>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121</w:t>
              </w:r>
            </w:hyperlink>
          </w:p>
        </w:tc>
        <w:tc>
          <w:tcPr>
            <w:tcW w:w="20" w:type="dxa"/>
            <w:vAlign w:val="bottom"/>
          </w:tcPr>
          <w:p>
            <w:pPr>
              <w:spacing w:after="0"/>
              <w:rPr>
                <w:sz w:val="21"/>
                <w:szCs w:val="21"/>
                <w:color w:val="auto"/>
              </w:rPr>
            </w:pPr>
          </w:p>
        </w:tc>
      </w:tr>
      <w:tr>
        <w:trPr>
          <w:trHeight w:val="230"/>
        </w:trPr>
        <w:tc>
          <w:tcPr>
            <w:tcW w:w="7900" w:type="dxa"/>
            <w:vAlign w:val="bottom"/>
            <w:gridSpan w:val="23"/>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Certain Relationships and Related Party Transactions</w:t>
              </w:r>
            </w:hyperlink>
          </w:p>
        </w:tc>
        <w:tc>
          <w:tcPr>
            <w:tcW w:w="300" w:type="dxa"/>
            <w:vAlign w:val="bottom"/>
            <w:gridSpan w:val="4"/>
          </w:tcPr>
          <w:p>
            <w:pPr>
              <w:jc w:val="right"/>
              <w:spacing w:after="0"/>
              <w:rPr>
                <w:rFonts w:ascii="Arial" w:cs="Arial" w:eastAsia="Arial" w:hAnsi="Arial"/>
                <w:sz w:val="18"/>
                <w:szCs w:val="18"/>
                <w:color w:val="0000EE"/>
                <w:w w:val="93"/>
              </w:rPr>
            </w:pPr>
            <w:hyperlink w:anchor="page136">
              <w:r>
                <w:rPr>
                  <w:rFonts w:ascii="Arial" w:cs="Arial" w:eastAsia="Arial" w:hAnsi="Arial"/>
                  <w:sz w:val="18"/>
                  <w:szCs w:val="18"/>
                  <w:color w:val="0000EE"/>
                  <w:w w:val="93"/>
                </w:rPr>
                <w:t>128</w:t>
              </w:r>
            </w:hyperlink>
          </w:p>
        </w:tc>
        <w:tc>
          <w:tcPr>
            <w:tcW w:w="20" w:type="dxa"/>
            <w:vAlign w:val="bottom"/>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00" w:type="dxa"/>
            <w:vAlign w:val="bottom"/>
            <w:gridSpan w:val="23"/>
            <w:shd w:val="clear" w:color="auto" w:fill="CCEEFF"/>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Beneficial Ownership of Securities</w:t>
              </w:r>
            </w:hyperlink>
          </w:p>
        </w:tc>
        <w:tc>
          <w:tcPr>
            <w:tcW w:w="300" w:type="dxa"/>
            <w:vAlign w:val="bottom"/>
            <w:gridSpan w:val="4"/>
            <w:shd w:val="clear" w:color="auto" w:fill="CCEEFF"/>
          </w:tcPr>
          <w:p>
            <w:pPr>
              <w:jc w:val="right"/>
              <w:spacing w:after="0"/>
              <w:rPr>
                <w:rFonts w:ascii="Arial" w:cs="Arial" w:eastAsia="Arial" w:hAnsi="Arial"/>
                <w:sz w:val="18"/>
                <w:szCs w:val="18"/>
                <w:color w:val="0000EE"/>
                <w:w w:val="93"/>
              </w:rPr>
            </w:pPr>
            <w:hyperlink w:anchor="page142">
              <w:r>
                <w:rPr>
                  <w:rFonts w:ascii="Arial" w:cs="Arial" w:eastAsia="Arial" w:hAnsi="Arial"/>
                  <w:sz w:val="18"/>
                  <w:szCs w:val="18"/>
                  <w:color w:val="0000EE"/>
                  <w:w w:val="93"/>
                </w:rPr>
                <w:t>134</w:t>
              </w:r>
            </w:hyperlink>
          </w:p>
        </w:tc>
        <w:tc>
          <w:tcPr>
            <w:tcW w:w="20" w:type="dxa"/>
            <w:vAlign w:val="bottom"/>
          </w:tcPr>
          <w:p>
            <w:pPr>
              <w:spacing w:after="0"/>
              <w:rPr>
                <w:sz w:val="21"/>
                <w:szCs w:val="21"/>
                <w:color w:val="auto"/>
              </w:rPr>
            </w:pPr>
          </w:p>
        </w:tc>
      </w:tr>
      <w:tr>
        <w:trPr>
          <w:trHeight w:val="230"/>
        </w:trPr>
        <w:tc>
          <w:tcPr>
            <w:tcW w:w="2640" w:type="dxa"/>
            <w:vAlign w:val="bottom"/>
            <w:tcBorders>
              <w:top w:val="single" w:sz="8" w:color="0000EE"/>
            </w:tcBorders>
            <w:gridSpan w:val="15"/>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Selling Securityholders</w:t>
              </w:r>
            </w:hyperlink>
          </w:p>
        </w:tc>
        <w:tc>
          <w:tcPr>
            <w:tcW w:w="5260" w:type="dxa"/>
            <w:vAlign w:val="bottom"/>
            <w:tcBorders>
              <w:top w:val="single" w:sz="8" w:color="CCEEFF"/>
            </w:tcBorders>
            <w:gridSpan w:val="8"/>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44">
              <w:r>
                <w:rPr>
                  <w:rFonts w:ascii="Arial" w:cs="Arial" w:eastAsia="Arial" w:hAnsi="Arial"/>
                  <w:sz w:val="18"/>
                  <w:szCs w:val="18"/>
                  <w:color w:val="0000EE"/>
                  <w:w w:val="86"/>
                </w:rPr>
                <w:t>136</w:t>
              </w:r>
            </w:hyperlink>
          </w:p>
        </w:tc>
        <w:tc>
          <w:tcPr>
            <w:tcW w:w="20" w:type="dxa"/>
            <w:vAlign w:val="bottom"/>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8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5"/>
              </w:rPr>
            </w:pPr>
            <w:hyperlink w:anchor="page161">
              <w:r>
                <w:rPr>
                  <w:rFonts w:ascii="Arial" w:cs="Arial" w:eastAsia="Arial" w:hAnsi="Arial"/>
                  <w:sz w:val="18"/>
                  <w:szCs w:val="18"/>
                  <w:color w:val="0000EE"/>
                  <w:w w:val="95"/>
                </w:rPr>
                <w:t>Description of Securities</w:t>
              </w:r>
            </w:hyperlink>
          </w:p>
        </w:tc>
        <w:tc>
          <w:tcPr>
            <w:tcW w:w="6020" w:type="dxa"/>
            <w:vAlign w:val="bottom"/>
            <w:tcBorders>
              <w:bottom w:val="single" w:sz="8" w:color="CCEEFF"/>
            </w:tcBorders>
            <w:gridSpan w:val="11"/>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6"/>
              </w:rPr>
            </w:pPr>
            <w:hyperlink w:anchor="page161">
              <w:r>
                <w:rPr>
                  <w:rFonts w:ascii="Arial" w:cs="Arial" w:eastAsia="Arial" w:hAnsi="Arial"/>
                  <w:sz w:val="18"/>
                  <w:szCs w:val="18"/>
                  <w:color w:val="0000EE"/>
                  <w:w w:val="86"/>
                </w:rPr>
                <w:t>153</w:t>
              </w:r>
            </w:hyperlink>
          </w:p>
        </w:tc>
        <w:tc>
          <w:tcPr>
            <w:tcW w:w="20" w:type="dxa"/>
            <w:vAlign w:val="bottom"/>
          </w:tcPr>
          <w:p>
            <w:pPr>
              <w:spacing w:after="0"/>
              <w:rPr>
                <w:sz w:val="21"/>
                <w:szCs w:val="21"/>
                <w:color w:val="auto"/>
              </w:rPr>
            </w:pPr>
          </w:p>
        </w:tc>
      </w:tr>
      <w:tr>
        <w:trPr>
          <w:trHeight w:val="230"/>
        </w:trPr>
        <w:tc>
          <w:tcPr>
            <w:tcW w:w="7900" w:type="dxa"/>
            <w:vAlign w:val="bottom"/>
            <w:gridSpan w:val="23"/>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Material United States Federal Income and Estate Tax Consequences to Non-U.S. Holders</w:t>
              </w:r>
            </w:hyperlink>
          </w:p>
        </w:tc>
        <w:tc>
          <w:tcPr>
            <w:tcW w:w="300" w:type="dxa"/>
            <w:vAlign w:val="bottom"/>
            <w:gridSpan w:val="4"/>
          </w:tcPr>
          <w:p>
            <w:pPr>
              <w:jc w:val="right"/>
              <w:spacing w:after="0"/>
              <w:rPr>
                <w:rFonts w:ascii="Arial" w:cs="Arial" w:eastAsia="Arial" w:hAnsi="Arial"/>
                <w:sz w:val="18"/>
                <w:szCs w:val="18"/>
                <w:color w:val="0000EE"/>
                <w:w w:val="93"/>
              </w:rPr>
            </w:pPr>
            <w:hyperlink w:anchor="page171">
              <w:r>
                <w:rPr>
                  <w:rFonts w:ascii="Arial" w:cs="Arial" w:eastAsia="Arial" w:hAnsi="Arial"/>
                  <w:sz w:val="18"/>
                  <w:szCs w:val="18"/>
                  <w:color w:val="0000EE"/>
                  <w:w w:val="93"/>
                </w:rPr>
                <w:t>163</w:t>
              </w:r>
            </w:hyperlink>
          </w:p>
        </w:tc>
        <w:tc>
          <w:tcPr>
            <w:tcW w:w="20" w:type="dxa"/>
            <w:vAlign w:val="bottom"/>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7"/>
              </w:rPr>
            </w:pPr>
            <w:hyperlink w:anchor="page174">
              <w:r>
                <w:rPr>
                  <w:rFonts w:ascii="Arial" w:cs="Arial" w:eastAsia="Arial" w:hAnsi="Arial"/>
                  <w:sz w:val="18"/>
                  <w:szCs w:val="18"/>
                  <w:color w:val="0000EE"/>
                  <w:w w:val="97"/>
                </w:rPr>
                <w:t>Plan of Distribution</w:t>
              </w:r>
            </w:hyperlink>
          </w:p>
        </w:tc>
        <w:tc>
          <w:tcPr>
            <w:tcW w:w="6400" w:type="dxa"/>
            <w:vAlign w:val="bottom"/>
            <w:tcBorders>
              <w:bottom w:val="single" w:sz="8" w:color="CCEEFF"/>
            </w:tcBorders>
            <w:gridSpan w:val="15"/>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6"/>
              </w:rPr>
            </w:pPr>
            <w:hyperlink w:anchor="page174">
              <w:r>
                <w:rPr>
                  <w:rFonts w:ascii="Arial" w:cs="Arial" w:eastAsia="Arial" w:hAnsi="Arial"/>
                  <w:sz w:val="18"/>
                  <w:szCs w:val="18"/>
                  <w:color w:val="0000EE"/>
                  <w:w w:val="86"/>
                </w:rPr>
                <w:t>166</w:t>
              </w:r>
            </w:hyperlink>
          </w:p>
        </w:tc>
        <w:tc>
          <w:tcPr>
            <w:tcW w:w="20" w:type="dxa"/>
            <w:vAlign w:val="bottom"/>
          </w:tcPr>
          <w:p>
            <w:pPr>
              <w:spacing w:after="0"/>
              <w:rPr>
                <w:sz w:val="21"/>
                <w:szCs w:val="21"/>
                <w:color w:val="auto"/>
              </w:rPr>
            </w:pPr>
          </w:p>
        </w:tc>
      </w:tr>
      <w:tr>
        <w:trPr>
          <w:trHeight w:val="229"/>
        </w:trPr>
        <w:tc>
          <w:tcPr>
            <w:tcW w:w="7900" w:type="dxa"/>
            <w:vAlign w:val="bottom"/>
            <w:gridSpan w:val="23"/>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Legal Matters</w:t>
              </w:r>
            </w:hyperlink>
          </w:p>
        </w:tc>
        <w:tc>
          <w:tcPr>
            <w:tcW w:w="300" w:type="dxa"/>
            <w:vAlign w:val="bottom"/>
            <w:gridSpan w:val="4"/>
          </w:tcPr>
          <w:p>
            <w:pPr>
              <w:jc w:val="right"/>
              <w:spacing w:after="0"/>
              <w:rPr>
                <w:rFonts w:ascii="Arial" w:cs="Arial" w:eastAsia="Arial" w:hAnsi="Arial"/>
                <w:sz w:val="18"/>
                <w:szCs w:val="18"/>
                <w:color w:val="0000EE"/>
                <w:w w:val="93"/>
              </w:rPr>
            </w:pPr>
            <w:hyperlink w:anchor="page179">
              <w:r>
                <w:rPr>
                  <w:rFonts w:ascii="Arial" w:cs="Arial" w:eastAsia="Arial" w:hAnsi="Arial"/>
                  <w:sz w:val="18"/>
                  <w:szCs w:val="18"/>
                  <w:color w:val="0000EE"/>
                  <w:w w:val="93"/>
                </w:rPr>
                <w:t>171</w:t>
              </w:r>
            </w:hyperlink>
          </w:p>
        </w:tc>
        <w:tc>
          <w:tcPr>
            <w:tcW w:w="2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Borders>
              <w:bottom w:val="single" w:sz="8" w:color="0000EE"/>
            </w:tcBorders>
            <w:shd w:val="clear" w:color="auto" w:fill="CCEEFF"/>
          </w:tcPr>
          <w:p>
            <w:pPr>
              <w:spacing w:after="0"/>
              <w:rPr>
                <w:rFonts w:ascii="Arial" w:cs="Arial" w:eastAsia="Arial" w:hAnsi="Arial"/>
                <w:sz w:val="18"/>
                <w:szCs w:val="18"/>
                <w:color w:val="0000EE"/>
                <w:w w:val="91"/>
              </w:rPr>
            </w:pPr>
            <w:hyperlink w:anchor="page180">
              <w:r>
                <w:rPr>
                  <w:rFonts w:ascii="Arial" w:cs="Arial" w:eastAsia="Arial" w:hAnsi="Arial"/>
                  <w:sz w:val="18"/>
                  <w:szCs w:val="18"/>
                  <w:color w:val="0000EE"/>
                  <w:w w:val="91"/>
                </w:rPr>
                <w:t>Experts</w:t>
              </w:r>
            </w:hyperlink>
          </w:p>
        </w:tc>
        <w:tc>
          <w:tcPr>
            <w:tcW w:w="7320" w:type="dxa"/>
            <w:vAlign w:val="bottom"/>
            <w:tcBorders>
              <w:bottom w:val="single" w:sz="8" w:color="CCEEFF"/>
            </w:tcBorders>
            <w:gridSpan w:val="2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6"/>
              </w:rPr>
            </w:pPr>
            <w:hyperlink w:anchor="page180">
              <w:r>
                <w:rPr>
                  <w:rFonts w:ascii="Arial" w:cs="Arial" w:eastAsia="Arial" w:hAnsi="Arial"/>
                  <w:sz w:val="18"/>
                  <w:szCs w:val="18"/>
                  <w:color w:val="0000EE"/>
                  <w:w w:val="86"/>
                </w:rPr>
                <w:t>172</w:t>
              </w:r>
            </w:hyperlink>
          </w:p>
        </w:tc>
        <w:tc>
          <w:tcPr>
            <w:tcW w:w="20" w:type="dxa"/>
            <w:vAlign w:val="bottom"/>
          </w:tcPr>
          <w:p>
            <w:pPr>
              <w:spacing w:after="0"/>
              <w:rPr>
                <w:sz w:val="21"/>
                <w:szCs w:val="21"/>
                <w:color w:val="auto"/>
              </w:rPr>
            </w:pPr>
          </w:p>
        </w:tc>
      </w:tr>
      <w:tr>
        <w:trPr>
          <w:trHeight w:val="229"/>
        </w:trPr>
        <w:tc>
          <w:tcPr>
            <w:tcW w:w="7900" w:type="dxa"/>
            <w:vAlign w:val="bottom"/>
            <w:gridSpan w:val="23"/>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Change in Auditor</w:t>
              </w:r>
            </w:hyperlink>
          </w:p>
        </w:tc>
        <w:tc>
          <w:tcPr>
            <w:tcW w:w="300" w:type="dxa"/>
            <w:vAlign w:val="bottom"/>
            <w:gridSpan w:val="4"/>
          </w:tcPr>
          <w:p>
            <w:pPr>
              <w:jc w:val="right"/>
              <w:spacing w:after="0"/>
              <w:rPr>
                <w:rFonts w:ascii="Arial" w:cs="Arial" w:eastAsia="Arial" w:hAnsi="Arial"/>
                <w:sz w:val="18"/>
                <w:szCs w:val="18"/>
                <w:color w:val="0000EE"/>
                <w:w w:val="93"/>
              </w:rPr>
            </w:pPr>
            <w:hyperlink w:anchor="page181">
              <w:r>
                <w:rPr>
                  <w:rFonts w:ascii="Arial" w:cs="Arial" w:eastAsia="Arial" w:hAnsi="Arial"/>
                  <w:sz w:val="18"/>
                  <w:szCs w:val="18"/>
                  <w:color w:val="0000EE"/>
                  <w:w w:val="93"/>
                </w:rPr>
                <w:t>173</w:t>
              </w:r>
            </w:hyperlink>
          </w:p>
        </w:tc>
        <w:tc>
          <w:tcPr>
            <w:tcW w:w="2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6"/>
              </w:rPr>
            </w:pPr>
            <w:hyperlink w:anchor="page182">
              <w:r>
                <w:rPr>
                  <w:rFonts w:ascii="Arial" w:cs="Arial" w:eastAsia="Arial" w:hAnsi="Arial"/>
                  <w:sz w:val="18"/>
                  <w:szCs w:val="18"/>
                  <w:color w:val="0000EE"/>
                  <w:w w:val="96"/>
                </w:rPr>
                <w:t>Where You Can Find More Information</w:t>
              </w:r>
            </w:hyperlink>
          </w:p>
        </w:tc>
        <w:tc>
          <w:tcPr>
            <w:tcW w:w="4900" w:type="dxa"/>
            <w:vAlign w:val="bottom"/>
            <w:tcBorders>
              <w:bottom w:val="single" w:sz="8" w:color="CCEEFF"/>
            </w:tcBorders>
            <w:gridSpan w:val="7"/>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6"/>
              </w:rPr>
            </w:pPr>
            <w:hyperlink w:anchor="page182">
              <w:r>
                <w:rPr>
                  <w:rFonts w:ascii="Arial" w:cs="Arial" w:eastAsia="Arial" w:hAnsi="Arial"/>
                  <w:sz w:val="18"/>
                  <w:szCs w:val="18"/>
                  <w:color w:val="0000EE"/>
                  <w:w w:val="86"/>
                </w:rPr>
                <w:t>174</w:t>
              </w:r>
            </w:hyperlink>
          </w:p>
        </w:tc>
        <w:tc>
          <w:tcPr>
            <w:tcW w:w="20" w:type="dxa"/>
            <w:vAlign w:val="bottom"/>
          </w:tcPr>
          <w:p>
            <w:pPr>
              <w:spacing w:after="0"/>
              <w:rPr>
                <w:sz w:val="21"/>
                <w:szCs w:val="21"/>
                <w:color w:val="auto"/>
              </w:rPr>
            </w:pPr>
          </w:p>
        </w:tc>
      </w:tr>
      <w:tr>
        <w:trPr>
          <w:trHeight w:val="230"/>
        </w:trPr>
        <w:tc>
          <w:tcPr>
            <w:tcW w:w="7900" w:type="dxa"/>
            <w:vAlign w:val="bottom"/>
            <w:gridSpan w:val="23"/>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Index to Financial Statements</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3"/>
          </w:tcPr>
          <w:p>
            <w:pPr>
              <w:jc w:val="right"/>
              <w:ind w:right="20"/>
              <w:spacing w:after="0"/>
              <w:rPr>
                <w:rFonts w:ascii="Arial" w:cs="Arial" w:eastAsia="Arial" w:hAnsi="Arial"/>
                <w:sz w:val="13"/>
                <w:szCs w:val="13"/>
                <w:color w:val="0000EE"/>
                <w:w w:val="71"/>
              </w:rPr>
            </w:pPr>
            <w:hyperlink w:anchor="page183">
              <w:r>
                <w:rPr>
                  <w:rFonts w:ascii="Arial" w:cs="Arial" w:eastAsia="Arial" w:hAnsi="Arial"/>
                  <w:sz w:val="13"/>
                  <w:szCs w:val="13"/>
                  <w:color w:val="0000EE"/>
                  <w:w w:val="71"/>
                </w:rPr>
                <w:t>F-1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-4071620</wp:posOffset>
            </wp:positionV>
            <wp:extent cx="5014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This prospectus is part of a registration statement on Form S-1 that we filed with the SEC using a “shelf” registration process. Under this shelf registration process, we and the Selling Securityholders may, from time to time, issue, offer and sell, as applicable, any combination of the securities described in this prospectus in one or more offerings. We may use the shelf registration statement to issue up to an aggregate of 85,750,000 shares of Class A common stock upon exercise of our warrants. The Selling Securityholders may use the shelf registration statement to sell up to an aggregate of 1,336,329,949 shares of Class A common stock (which includes up to 1,244,157,121 issued and outstanding shares of Class A common stock, 47,822,828 shares of Class A common stock subject to vesting and/or exercise of the assumed Lucid Equity Awards and 44,350,000 shares of Class A common stock issuable upon the exercise of our outstanding warrants) and up to 44,350,000 warrants from time to time through any means described in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More specific terms of any securities that the Selling Securityholders offer and sell may be provided in a prospectus supplement that describes, among other things, the specific amounts and prices of the Class A common stock and/or warrants being offered and the terms of the offering.</w:t>
      </w:r>
    </w:p>
    <w:p>
      <w:pPr>
        <w:spacing w:after="0" w:line="130"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109"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05"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25"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On July 23, 2021, or the Closing Date, Churchill consummated the Transactions, including the previously announced Merger pursuant to the terms of the Merger Agreement, which, among other things, provided for the merger of Merger Sub with and into Atieva, Inc., d/b/a Lucid Motors, with Atieva, Inc. surviving such merger as a wholly owned subsidiary of Churchill (each defined term as defined below). In connection with the Transactions, Churchill changed its name to Lucid Group, Inc. and listed shares of Class A common stock and the Public Warrants on the Nasdaq Global Select Market under the ticker symbols “LCID” and “LCIDW,”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FREQUENTLY USED TERMS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2009 Plan</w:t>
      </w:r>
      <w:r>
        <w:rPr>
          <w:rFonts w:ascii="Arial" w:cs="Arial" w:eastAsia="Arial" w:hAnsi="Arial"/>
          <w:sz w:val="17"/>
          <w:szCs w:val="17"/>
          <w:color w:val="auto"/>
        </w:rPr>
        <w:t>” are to the Atieva, Inc. 2009 Share Plan duly adopted by the board of directors of Atieva,</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w:t>
      </w:r>
    </w:p>
    <w:p>
      <w:pPr>
        <w:spacing w:after="0" w:line="143"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Plan</w:t>
      </w:r>
      <w:r>
        <w:rPr>
          <w:rFonts w:ascii="Arial" w:cs="Arial" w:eastAsia="Arial" w:hAnsi="Arial"/>
          <w:sz w:val="18"/>
          <w:szCs w:val="18"/>
          <w:color w:val="auto"/>
        </w:rPr>
        <w:t>” are to the Atieva, Inc. 2014 Share Plan duly adopted by the board of directors of Atieva, Inc. on May 14, 2014;</w:t>
      </w:r>
    </w:p>
    <w:p>
      <w:pPr>
        <w:spacing w:after="0" w:line="89" w:lineRule="exact"/>
        <w:rPr>
          <w:sz w:val="20"/>
          <w:szCs w:val="20"/>
          <w:color w:val="auto"/>
        </w:rPr>
      </w:pPr>
    </w:p>
    <w:p>
      <w:pPr>
        <w:ind w:left="1260" w:right="9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Plan</w:t>
      </w:r>
      <w:r>
        <w:rPr>
          <w:rFonts w:ascii="Arial" w:cs="Arial" w:eastAsia="Arial" w:hAnsi="Arial"/>
          <w:sz w:val="18"/>
          <w:szCs w:val="18"/>
          <w:color w:val="auto"/>
        </w:rPr>
        <w:t>” are to the Atieva, Inc. 2021 Stock Incentive Plan duly adopted by the compensation committee of the board of directors of Atieva, Inc. on January 13, 2021 and approved by Lucid’s shareholders on January 21, 2021;</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Ayar</w:t>
      </w:r>
      <w:r>
        <w:rPr>
          <w:rFonts w:ascii="Arial" w:cs="Arial" w:eastAsia="Arial" w:hAnsi="Arial"/>
          <w:sz w:val="18"/>
          <w:szCs w:val="18"/>
          <w:color w:val="auto"/>
        </w:rPr>
        <w:t>” are to Ayar Third Investment Company, an affiliate of PIF;</w:t>
      </w:r>
    </w:p>
    <w:p>
      <w:pPr>
        <w:spacing w:after="0" w:line="158"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Board</w:t>
      </w:r>
      <w:r>
        <w:rPr>
          <w:rFonts w:ascii="Arial" w:cs="Arial" w:eastAsia="Arial" w:hAnsi="Arial"/>
          <w:sz w:val="17"/>
          <w:szCs w:val="17"/>
          <w:color w:val="auto"/>
        </w:rPr>
        <w:t>” are, prior to consummation of the Transactions, to the board of directors of Atieva, Inc., d/b/a Lucid Motors, an exempted company incorporated with limited liability under the laws of the Cayman Islands, and, following consummation of the Transactions, to Lucid Group Inc., a Delaware corporation;</w:t>
      </w:r>
    </w:p>
    <w:p>
      <w:pPr>
        <w:spacing w:after="0" w:line="84"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w:t>
      </w:r>
      <w:r>
        <w:rPr>
          <w:rFonts w:ascii="Arial" w:cs="Arial" w:eastAsia="Arial" w:hAnsi="Arial"/>
          <w:sz w:val="18"/>
          <w:szCs w:val="18"/>
          <w:color w:val="auto"/>
        </w:rPr>
        <w:t>”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 IPO</w:t>
      </w:r>
      <w:r>
        <w:rPr>
          <w:rFonts w:ascii="Arial" w:cs="Arial" w:eastAsia="Arial" w:hAnsi="Arial"/>
          <w:sz w:val="18"/>
          <w:szCs w:val="18"/>
          <w:color w:val="auto"/>
        </w:rPr>
        <w:t>” are to the initial public offering by Churchill which closed on August 3, 2020;</w:t>
      </w:r>
    </w:p>
    <w:p>
      <w:pPr>
        <w:spacing w:after="0" w:line="158"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Churchill’s Class A common stock”</w:t>
      </w:r>
      <w:r>
        <w:rPr>
          <w:rFonts w:ascii="Arial" w:cs="Arial" w:eastAsia="Arial" w:hAnsi="Arial"/>
          <w:sz w:val="18"/>
          <w:szCs w:val="18"/>
          <w:color w:val="auto"/>
        </w:rPr>
        <w:t xml:space="preserve"> are, prior to consummation of the Transactions, to Churchill’s Class A common stock, par value $0.0001 per share and, following consummation of the Transactions, to our Class A common stock;</w:t>
      </w:r>
    </w:p>
    <w:p>
      <w:pPr>
        <w:spacing w:after="0" w:line="103" w:lineRule="exact"/>
        <w:rPr>
          <w:sz w:val="20"/>
          <w:szCs w:val="20"/>
          <w:color w:val="auto"/>
        </w:rPr>
      </w:pPr>
    </w:p>
    <w:p>
      <w:pPr>
        <w:jc w:val="both"/>
        <w:ind w:left="1260" w:right="6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Churchill’s Class B common stock</w:t>
      </w:r>
      <w:r>
        <w:rPr>
          <w:rFonts w:ascii="Arial" w:cs="Arial" w:eastAsia="Arial" w:hAnsi="Arial"/>
          <w:sz w:val="18"/>
          <w:szCs w:val="18"/>
          <w:color w:val="auto"/>
        </w:rPr>
        <w:t>” are to Churchill’s Class B common stock, par value $0.0001 per share;</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are to Lucid Group, Inc.’s common stock, par value $.0001 per share;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are to the consummation of the Transactions on the Closing Date;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are to July 23, 2021, the date on which the Transactions were consummated;</w:t>
      </w:r>
    </w:p>
    <w:p>
      <w:pPr>
        <w:spacing w:after="0" w:line="158" w:lineRule="exact"/>
        <w:rPr>
          <w:sz w:val="20"/>
          <w:szCs w:val="20"/>
          <w:color w:val="auto"/>
        </w:rPr>
      </w:pPr>
    </w:p>
    <w:p>
      <w:pPr>
        <w:jc w:val="both"/>
        <w:ind w:left="1260" w:right="6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are, prior to the consummation of the Transactions, to Churchill’s Class A common stock and Churchill’s Class B common stock and, following the consummation of the Transactions, to the Class A common stock;</w:t>
      </w:r>
    </w:p>
    <w:p>
      <w:pPr>
        <w:spacing w:after="0" w:line="116"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are, prior to the consummation of the Transactions, to Churchill and its consolidated subsidiaries and, following consummation of the Transactions, to Lucid Group, Inc. and its consolidated subsidiaries;</w:t>
      </w:r>
    </w:p>
    <w:p>
      <w:pPr>
        <w:spacing w:after="0" w:line="103"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bylaws</w:t>
      </w:r>
      <w:r>
        <w:rPr>
          <w:rFonts w:ascii="Arial" w:cs="Arial" w:eastAsia="Arial" w:hAnsi="Arial"/>
          <w:sz w:val="18"/>
          <w:szCs w:val="18"/>
          <w:color w:val="auto"/>
        </w:rPr>
        <w:t>” are to the Company’s Amended and Restated Bylaws in effect as of the date of this prospectus;</w:t>
      </w:r>
    </w:p>
    <w:p>
      <w:pPr>
        <w:spacing w:after="0" w:line="103"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certificate of incorporation</w:t>
      </w:r>
      <w:r>
        <w:rPr>
          <w:rFonts w:ascii="Arial" w:cs="Arial" w:eastAsia="Arial" w:hAnsi="Arial"/>
          <w:sz w:val="18"/>
          <w:szCs w:val="18"/>
          <w:color w:val="auto"/>
        </w:rPr>
        <w:t>” are to the Company’s Second Amended and Restated Certificate of Incorporation in effect as of the date of this prospectus;</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are to the Delaware General Corporation Law, as amended;</w:t>
      </w:r>
    </w:p>
    <w:p>
      <w:pPr>
        <w:spacing w:after="0" w:line="158"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Earnback Period</w:t>
      </w:r>
      <w:r>
        <w:rPr>
          <w:rFonts w:ascii="Arial" w:cs="Arial" w:eastAsia="Arial" w:hAnsi="Arial"/>
          <w:sz w:val="18"/>
          <w:szCs w:val="18"/>
          <w:color w:val="auto"/>
        </w:rPr>
        <w:t>” are to the time period between the Closing and the five-year anniversary of the Closing;</w:t>
      </w:r>
    </w:p>
    <w:p>
      <w:pPr>
        <w:spacing w:after="0" w:line="103"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Earnback Triggering Event I</w:t>
      </w:r>
      <w:r>
        <w:rPr>
          <w:rFonts w:ascii="Arial" w:cs="Arial" w:eastAsia="Arial" w:hAnsi="Arial"/>
          <w:sz w:val="17"/>
          <w:szCs w:val="17"/>
          <w:color w:val="auto"/>
        </w:rPr>
        <w:t>” are to the earliest of the following during the Earnback Period: (i) the date on which the volume-weighted average trading sale price of one share of Class A common stock quoted on Nasdaq is greater than or equal to $20.00 for any 40 trading days within any 60 consecutive trading day</w:t>
      </w:r>
    </w:p>
    <w:p>
      <w:pPr>
        <w:spacing w:after="0" w:line="34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77" w:lineRule="auto"/>
        <w:rPr>
          <w:sz w:val="20"/>
          <w:szCs w:val="20"/>
          <w:color w:val="auto"/>
        </w:rPr>
      </w:pPr>
      <w:r>
        <w:rPr>
          <w:rFonts w:ascii="Arial" w:cs="Arial" w:eastAsia="Arial" w:hAnsi="Arial"/>
          <w:sz w:val="18"/>
          <w:szCs w:val="18"/>
          <w:color w:val="auto"/>
        </w:rPr>
        <w:t>period or (ii) a change in control of Lucid Group pursuant to which stockholders of Lucid Group have the right to receive consideration implying a value per share greater than or equal to $20.00;</w:t>
      </w:r>
    </w:p>
    <w:p>
      <w:pPr>
        <w:spacing w:after="0" w:line="89"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Earnback Triggering Event II</w:t>
      </w:r>
      <w:r>
        <w:rPr>
          <w:rFonts w:ascii="Arial" w:cs="Arial" w:eastAsia="Arial" w:hAnsi="Arial"/>
          <w:sz w:val="17"/>
          <w:szCs w:val="17"/>
          <w:color w:val="auto"/>
        </w:rPr>
        <w:t>” are to the earliest of the following during the Earnback Period: (i) the date on which the volume-weighted average trading sale price of one share of Class A common stock quoted on Nasdaq is greater than or equal to $25.00 for any 40 trading days within any 60 consecutive trading day period or (ii) a change in control of Lucid Group pursuant to which stockholders of Lucid Group have the right to receive consideration implying a value per share greater than or equal to $25.00;</w:t>
      </w:r>
    </w:p>
    <w:p>
      <w:pPr>
        <w:spacing w:after="0" w:line="109"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Earnback Triggering Event III</w:t>
      </w:r>
      <w:r>
        <w:rPr>
          <w:rFonts w:ascii="Arial" w:cs="Arial" w:eastAsia="Arial" w:hAnsi="Arial"/>
          <w:sz w:val="17"/>
          <w:szCs w:val="17"/>
          <w:color w:val="auto"/>
        </w:rPr>
        <w:t>” are to the earliest of the following during the Earnback Period: (i) the date on which the volume-weighted average trading sale price of one share of Class A common stock quoted on Nasdaq is greater than or equal to $30.00 for any 40 trading days within any 60 consecutive trading day period or (ii) a change in control of Lucid Group pursuant to which stockholders of Lucid Group have the right to receive consideration implying a value per share greater than or equal to $30.00;</w:t>
      </w:r>
    </w:p>
    <w:p>
      <w:pPr>
        <w:spacing w:after="0" w:line="109"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Earnback Triggering Events</w:t>
      </w:r>
      <w:r>
        <w:rPr>
          <w:rFonts w:ascii="Arial" w:cs="Arial" w:eastAsia="Arial" w:hAnsi="Arial"/>
          <w:sz w:val="18"/>
          <w:szCs w:val="18"/>
          <w:color w:val="auto"/>
        </w:rPr>
        <w:t>” are to Earnback Trigger Event I, Earnback Trigger Event II, and Earnback Trigger Event III;</w:t>
      </w:r>
    </w:p>
    <w:p>
      <w:pPr>
        <w:spacing w:after="0" w:line="89" w:lineRule="exact"/>
        <w:rPr>
          <w:sz w:val="20"/>
          <w:szCs w:val="20"/>
          <w:color w:val="auto"/>
        </w:rPr>
      </w:pPr>
    </w:p>
    <w:p>
      <w:pPr>
        <w:ind w:left="1620" w:right="2499"/>
        <w:spacing w:after="0" w:line="44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Effective Time</w:t>
      </w:r>
      <w:r>
        <w:rPr>
          <w:rFonts w:ascii="Arial" w:cs="Arial" w:eastAsia="Arial" w:hAnsi="Arial"/>
          <w:sz w:val="17"/>
          <w:szCs w:val="17"/>
          <w:color w:val="auto"/>
        </w:rPr>
        <w:t>” are to the date and time when the Merger became effective; “</w:t>
      </w:r>
      <w:r>
        <w:rPr>
          <w:rFonts w:ascii="Arial" w:cs="Arial" w:eastAsia="Arial" w:hAnsi="Arial"/>
          <w:sz w:val="17"/>
          <w:szCs w:val="17"/>
          <w:i w:val="1"/>
          <w:iCs w:val="1"/>
          <w:color w:val="auto"/>
        </w:rPr>
        <w:t>Exchange Act</w:t>
      </w:r>
      <w:r>
        <w:rPr>
          <w:rFonts w:ascii="Arial" w:cs="Arial" w:eastAsia="Arial" w:hAnsi="Arial"/>
          <w:sz w:val="17"/>
          <w:szCs w:val="17"/>
          <w:color w:val="auto"/>
        </w:rPr>
        <w:t>” are to the Securities Exchange Act of 1934, as amended;</w:t>
      </w:r>
    </w:p>
    <w:p>
      <w:pPr>
        <w:spacing w:after="0" w:line="1"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Ratio</w:t>
      </w:r>
      <w:r>
        <w:rPr>
          <w:rFonts w:ascii="Arial" w:cs="Arial" w:eastAsia="Arial" w:hAnsi="Arial"/>
          <w:sz w:val="18"/>
          <w:szCs w:val="18"/>
          <w:color w:val="auto"/>
        </w:rPr>
        <w:t>” are to the quotient as defined in, and calculated in accordance with, the Merger Agreement, which is 2.644;</w:t>
      </w:r>
    </w:p>
    <w:p>
      <w:pPr>
        <w:spacing w:after="0" w:line="89"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are to shares of Churchill’s Class B common stock and Churchill’s Class A common stock issued upon the automatic conversion thereof in connection with the Closing;</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are to accounting principles generally accepted in the United States of America;</w:t>
      </w:r>
    </w:p>
    <w:p>
      <w:pPr>
        <w:spacing w:after="0" w:line="158"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Plan</w:t>
      </w:r>
      <w:r>
        <w:rPr>
          <w:rFonts w:ascii="Arial" w:cs="Arial" w:eastAsia="Arial" w:hAnsi="Arial"/>
          <w:sz w:val="18"/>
          <w:szCs w:val="18"/>
          <w:color w:val="auto"/>
        </w:rPr>
        <w:t>” are to the Lucid Group, Inc. 2021 Stock Incentive Plan, including the Lucid Group, Inc. 2021 Employee Stock Purchase Plan (the “</w:t>
      </w:r>
      <w:r>
        <w:rPr>
          <w:rFonts w:ascii="Arial" w:cs="Arial" w:eastAsia="Arial" w:hAnsi="Arial"/>
          <w:sz w:val="18"/>
          <w:szCs w:val="18"/>
          <w:i w:val="1"/>
          <w:iCs w:val="1"/>
          <w:color w:val="auto"/>
        </w:rPr>
        <w:t>ESPP Addendum</w:t>
      </w:r>
      <w:r>
        <w:rPr>
          <w:rFonts w:ascii="Arial" w:cs="Arial" w:eastAsia="Arial" w:hAnsi="Arial"/>
          <w:sz w:val="18"/>
          <w:szCs w:val="18"/>
          <w:color w:val="auto"/>
        </w:rPr>
        <w:t>”) attached thereto;</w:t>
      </w:r>
    </w:p>
    <w:p>
      <w:pPr>
        <w:spacing w:after="0" w:line="89"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Insiders</w:t>
      </w:r>
      <w:r>
        <w:rPr>
          <w:rFonts w:ascii="Arial" w:cs="Arial" w:eastAsia="Arial" w:hAnsi="Arial"/>
          <w:sz w:val="18"/>
          <w:szCs w:val="18"/>
          <w:color w:val="auto"/>
        </w:rPr>
        <w:t>” are to Michael Klein, Jay Taragin, Glenn R. August, William J. Bynum, Bonnie Jonas, Mark Klein, Malcolm S. McDermid and Karen G. Mills;</w:t>
      </w:r>
    </w:p>
    <w:p>
      <w:pPr>
        <w:spacing w:after="0" w:line="103"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 Rights Agreement</w:t>
      </w:r>
      <w:r>
        <w:rPr>
          <w:rFonts w:ascii="Arial" w:cs="Arial" w:eastAsia="Arial" w:hAnsi="Arial"/>
          <w:sz w:val="18"/>
          <w:szCs w:val="18"/>
          <w:color w:val="auto"/>
        </w:rPr>
        <w:t>” are to the Investor Rights Agreement, dated as of February 22, 2021, by and among the Company, the Sponsor, Ayar and certain other parties thereto;</w:t>
      </w:r>
    </w:p>
    <w:p>
      <w:pPr>
        <w:spacing w:after="0" w:line="103"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w:t>
      </w:r>
      <w:r>
        <w:rPr>
          <w:rFonts w:ascii="Arial" w:cs="Arial" w:eastAsia="Arial" w:hAnsi="Arial"/>
          <w:sz w:val="18"/>
          <w:szCs w:val="18"/>
          <w:color w:val="auto"/>
        </w:rPr>
        <w:t>” are to Atieva, Inc., d/b/a Lucid Motors, an exempted company incorporated with limited liability under the laws of the Cayman Islands, and its consolidated subsidiaries;</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Common Shares</w:t>
      </w:r>
      <w:r>
        <w:rPr>
          <w:rFonts w:ascii="Arial" w:cs="Arial" w:eastAsia="Arial" w:hAnsi="Arial"/>
          <w:sz w:val="18"/>
          <w:szCs w:val="18"/>
          <w:color w:val="auto"/>
        </w:rPr>
        <w:t>” are to the common shares, par value $0.0001 per share, of Lucid;</w:t>
      </w:r>
    </w:p>
    <w:p>
      <w:pPr>
        <w:spacing w:after="0" w:line="158"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Equity Awards</w:t>
      </w:r>
      <w:r>
        <w:rPr>
          <w:rFonts w:ascii="Arial" w:cs="Arial" w:eastAsia="Arial" w:hAnsi="Arial"/>
          <w:sz w:val="18"/>
          <w:szCs w:val="18"/>
          <w:color w:val="auto"/>
        </w:rPr>
        <w:t>” are to all issued and outstanding stock options, restricted stock units or other compensatory equity securities in respect of shares of Lucid outstanding as of immediately prior to the closing of the Merger, including, without limitation, any Lucid Options and Lucid RSUs;</w:t>
      </w:r>
    </w:p>
    <w:p>
      <w:pPr>
        <w:spacing w:after="0" w:line="116" w:lineRule="exact"/>
        <w:rPr>
          <w:sz w:val="20"/>
          <w:szCs w:val="20"/>
          <w:color w:val="auto"/>
        </w:rPr>
      </w:pPr>
    </w:p>
    <w:p>
      <w:pPr>
        <w:ind w:left="1620" w:right="799"/>
        <w:spacing w:after="0" w:line="41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Group</w:t>
      </w:r>
      <w:r>
        <w:rPr>
          <w:rFonts w:ascii="Arial" w:cs="Arial" w:eastAsia="Arial" w:hAnsi="Arial"/>
          <w:sz w:val="18"/>
          <w:szCs w:val="18"/>
          <w:color w:val="auto"/>
        </w:rPr>
        <w:t>” are to Lucid Group, Inc., a Delaware corporation, and its consolidated subsidiaries; “</w:t>
      </w:r>
      <w:r>
        <w:rPr>
          <w:rFonts w:ascii="Arial" w:cs="Arial" w:eastAsia="Arial" w:hAnsi="Arial"/>
          <w:sz w:val="18"/>
          <w:szCs w:val="18"/>
          <w:i w:val="1"/>
          <w:iCs w:val="1"/>
          <w:color w:val="auto"/>
        </w:rPr>
        <w:t>Lucid Group Awards</w:t>
      </w:r>
      <w:r>
        <w:rPr>
          <w:rFonts w:ascii="Arial" w:cs="Arial" w:eastAsia="Arial" w:hAnsi="Arial"/>
          <w:sz w:val="18"/>
          <w:szCs w:val="18"/>
          <w:color w:val="auto"/>
        </w:rPr>
        <w:t>” are to Lucid Group Options and Lucid Group RSUs;</w:t>
      </w:r>
    </w:p>
    <w:p>
      <w:pPr>
        <w:spacing w:after="0" w:line="1"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Group Options</w:t>
      </w:r>
      <w:r>
        <w:rPr>
          <w:rFonts w:ascii="Arial" w:cs="Arial" w:eastAsia="Arial" w:hAnsi="Arial"/>
          <w:sz w:val="18"/>
          <w:szCs w:val="18"/>
          <w:color w:val="auto"/>
        </w:rPr>
        <w:t>” are to all issued and outstanding options to purchase shares of Class A common stock immediately following the closing of the Merger;</w:t>
      </w:r>
    </w:p>
    <w:p>
      <w:pPr>
        <w:spacing w:after="0" w:line="89"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Lucid Share Plans</w:t>
      </w:r>
      <w:r>
        <w:rPr>
          <w:rFonts w:ascii="Arial" w:cs="Arial" w:eastAsia="Arial" w:hAnsi="Arial"/>
          <w:sz w:val="17"/>
          <w:szCs w:val="17"/>
          <w:color w:val="auto"/>
        </w:rPr>
        <w:t>” are to the 2009 Plan, the 2014 Plan, the 2021 Plan, in each case as amended from time to time in accordance with their terms, and any other share incentive plan or similar equity-based compensation plan maintained for employees of Lucid that may be adopted from time to time;</w:t>
      </w:r>
    </w:p>
    <w:p>
      <w:pPr>
        <w:spacing w:after="0" w:line="98"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Group RSUs</w:t>
      </w:r>
      <w:r>
        <w:rPr>
          <w:rFonts w:ascii="Arial" w:cs="Arial" w:eastAsia="Arial" w:hAnsi="Arial"/>
          <w:sz w:val="18"/>
          <w:szCs w:val="18"/>
          <w:color w:val="auto"/>
        </w:rPr>
        <w:t>” are to all issued and outstanding restricted stock unit awards with respect to shares of Class A common stock immediately following the closing of the Merger;</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5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Group Warrants</w:t>
      </w:r>
      <w:r>
        <w:rPr>
          <w:rFonts w:ascii="Arial" w:cs="Arial" w:eastAsia="Arial" w:hAnsi="Arial"/>
          <w:sz w:val="18"/>
          <w:szCs w:val="18"/>
          <w:color w:val="auto"/>
        </w:rPr>
        <w:t>” are to all issued and outstanding warrants to purchase shares of Class A common stock immediately following the closing of the Merger;</w:t>
      </w:r>
    </w:p>
    <w:p>
      <w:pPr>
        <w:spacing w:after="0" w:line="90" w:lineRule="exact"/>
        <w:rPr>
          <w:sz w:val="20"/>
          <w:szCs w:val="20"/>
          <w:color w:val="auto"/>
        </w:rPr>
      </w:pPr>
    </w:p>
    <w:p>
      <w:pPr>
        <w:ind w:left="1260" w:right="659" w:firstLine="36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Options</w:t>
      </w:r>
      <w:r>
        <w:rPr>
          <w:rFonts w:ascii="Arial" w:cs="Arial" w:eastAsia="Arial" w:hAnsi="Arial"/>
          <w:sz w:val="18"/>
          <w:szCs w:val="18"/>
          <w:color w:val="auto"/>
        </w:rPr>
        <w:t>” are to all issued and outstanding options to purchase or otherwise acquire Lucid Common Shares (whether or not vested) held by any person, including Lucid share options granted under any Lucid Share Plan;</w:t>
      </w:r>
    </w:p>
    <w:p>
      <w:pPr>
        <w:spacing w:after="0" w:line="114"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Preferred Shares</w:t>
      </w:r>
      <w:r>
        <w:rPr>
          <w:rFonts w:ascii="Arial" w:cs="Arial" w:eastAsia="Arial" w:hAnsi="Arial"/>
          <w:sz w:val="18"/>
          <w:szCs w:val="18"/>
          <w:color w:val="auto"/>
        </w:rPr>
        <w:t>” are to, collectively, Lucid Series A Preferred Shares, Lucid Series B Preferred Shares, Lucid Series C Preferred Shares, Lucid Series D Preferred Shares and Lucid Series E Preferred Shares;</w:t>
      </w:r>
    </w:p>
    <w:p>
      <w:pPr>
        <w:spacing w:after="0" w:line="114"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Series A Preferred Shares</w:t>
      </w:r>
      <w:r>
        <w:rPr>
          <w:rFonts w:ascii="Arial" w:cs="Arial" w:eastAsia="Arial" w:hAnsi="Arial"/>
          <w:sz w:val="18"/>
          <w:szCs w:val="18"/>
          <w:color w:val="auto"/>
        </w:rPr>
        <w:t>” are to the Series A preferred shares, par value $0.0001 per share, of Lucid;</w:t>
      </w:r>
    </w:p>
    <w:p>
      <w:pPr>
        <w:spacing w:after="0" w:line="90"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Series B Preferred Shares</w:t>
      </w:r>
      <w:r>
        <w:rPr>
          <w:rFonts w:ascii="Arial" w:cs="Arial" w:eastAsia="Arial" w:hAnsi="Arial"/>
          <w:sz w:val="18"/>
          <w:szCs w:val="18"/>
          <w:color w:val="auto"/>
        </w:rPr>
        <w:t>” are to the Series B preferred shares, par value $0.0001 per share, of Lucid;</w:t>
      </w:r>
    </w:p>
    <w:p>
      <w:pPr>
        <w:spacing w:after="0" w:line="103"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Series C Preferred Shares</w:t>
      </w:r>
      <w:r>
        <w:rPr>
          <w:rFonts w:ascii="Arial" w:cs="Arial" w:eastAsia="Arial" w:hAnsi="Arial"/>
          <w:sz w:val="18"/>
          <w:szCs w:val="18"/>
          <w:color w:val="auto"/>
        </w:rPr>
        <w:t>” are to the Series C preferred shares, par value $0.0001 per share, of Lucid;</w:t>
      </w:r>
    </w:p>
    <w:p>
      <w:pPr>
        <w:spacing w:after="0" w:line="103"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Series D Preferred Shares</w:t>
      </w:r>
      <w:r>
        <w:rPr>
          <w:rFonts w:ascii="Arial" w:cs="Arial" w:eastAsia="Arial" w:hAnsi="Arial"/>
          <w:sz w:val="18"/>
          <w:szCs w:val="18"/>
          <w:color w:val="auto"/>
        </w:rPr>
        <w:t>” are to the Series D preferred shares, par value $0.0001 per share, of Lucid;</w:t>
      </w:r>
    </w:p>
    <w:p>
      <w:pPr>
        <w:spacing w:after="0" w:line="90"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Series E Preferred Shares</w:t>
      </w:r>
      <w:r>
        <w:rPr>
          <w:rFonts w:ascii="Arial" w:cs="Arial" w:eastAsia="Arial" w:hAnsi="Arial"/>
          <w:sz w:val="18"/>
          <w:szCs w:val="18"/>
          <w:color w:val="auto"/>
        </w:rPr>
        <w:t>” are to the Series E preferred shares, par value $0.0001 per share, of Lucid;</w:t>
      </w:r>
    </w:p>
    <w:p>
      <w:pPr>
        <w:spacing w:after="0" w:line="103" w:lineRule="exact"/>
        <w:rPr>
          <w:sz w:val="20"/>
          <w:szCs w:val="20"/>
          <w:color w:val="auto"/>
        </w:rPr>
      </w:pPr>
    </w:p>
    <w:p>
      <w:pPr>
        <w:ind w:left="1260" w:right="95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RSUs</w:t>
      </w:r>
      <w:r>
        <w:rPr>
          <w:rFonts w:ascii="Arial" w:cs="Arial" w:eastAsia="Arial" w:hAnsi="Arial"/>
          <w:sz w:val="18"/>
          <w:szCs w:val="18"/>
          <w:color w:val="auto"/>
        </w:rPr>
        <w:t>” are to all issued and outstanding restricted stock unit awards with respect to Lucid Common Shares outstanding under any Lucid Share Plan;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Shares</w:t>
      </w:r>
      <w:r>
        <w:rPr>
          <w:rFonts w:ascii="Arial" w:cs="Arial" w:eastAsia="Arial" w:hAnsi="Arial"/>
          <w:sz w:val="18"/>
          <w:szCs w:val="18"/>
          <w:color w:val="auto"/>
        </w:rPr>
        <w:t>” are to the Lucid Common Shares and Lucid Preferred Shares;</w:t>
      </w:r>
    </w:p>
    <w:p>
      <w:pPr>
        <w:spacing w:after="0" w:line="144" w:lineRule="exact"/>
        <w:rPr>
          <w:sz w:val="20"/>
          <w:szCs w:val="20"/>
          <w:color w:val="auto"/>
        </w:rPr>
      </w:pPr>
    </w:p>
    <w:p>
      <w:pPr>
        <w:ind w:left="1260" w:right="85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Warrants</w:t>
      </w:r>
      <w:r>
        <w:rPr>
          <w:rFonts w:ascii="Arial" w:cs="Arial" w:eastAsia="Arial" w:hAnsi="Arial"/>
          <w:sz w:val="18"/>
          <w:szCs w:val="18"/>
          <w:color w:val="auto"/>
        </w:rPr>
        <w:t>” are to all issued and outstanding warrants entitling the holder to purchase Lucid Common Shares;</w:t>
      </w:r>
    </w:p>
    <w:p>
      <w:pPr>
        <w:spacing w:after="0" w:line="103"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 Klein and Company</w:t>
      </w:r>
      <w:r>
        <w:rPr>
          <w:rFonts w:ascii="Arial" w:cs="Arial" w:eastAsia="Arial" w:hAnsi="Arial"/>
          <w:sz w:val="18"/>
          <w:szCs w:val="18"/>
          <w:color w:val="auto"/>
        </w:rPr>
        <w:t>” are to M. Klein and Company, LLC, a Delaware limited liability company, and its affiliates;</w:t>
      </w:r>
    </w:p>
    <w:p>
      <w:pPr>
        <w:spacing w:after="0" w:line="103"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are to the merger of Merger Sub and Lucid, with Lucid surviving such merger as a wholly owned subsidiary of Churchill;</w:t>
      </w:r>
    </w:p>
    <w:p>
      <w:pPr>
        <w:spacing w:after="0" w:line="90"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are to that certain Agreement and Plan of Merger, dated as of February 22, 2021, by and among Churchill, Lucid and Merger Sub, as the same has been or may be amended, modified, supplemented or waived from time to time;</w:t>
      </w:r>
    </w:p>
    <w:p>
      <w:pPr>
        <w:spacing w:after="0" w:line="114"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Merger Consideration</w:t>
      </w:r>
      <w:r>
        <w:rPr>
          <w:rFonts w:ascii="Arial" w:cs="Arial" w:eastAsia="Arial" w:hAnsi="Arial"/>
          <w:sz w:val="18"/>
          <w:szCs w:val="18"/>
          <w:color w:val="auto"/>
        </w:rPr>
        <w:t>” are to the aggregate consideration paid to the shareholders of Lucid pursuant to the Merger Agreement;</w:t>
      </w:r>
    </w:p>
    <w:p>
      <w:pPr>
        <w:spacing w:after="0" w:line="103"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are to Air Merger Sub, Inc., a Delaware corporation and a direct, wholly-owned subsidiary of Churchill;</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are to The Nasdaq Stock Market LLC;</w:t>
      </w:r>
    </w:p>
    <w:p>
      <w:pPr>
        <w:spacing w:after="0" w:line="158" w:lineRule="exact"/>
        <w:rPr>
          <w:sz w:val="20"/>
          <w:szCs w:val="20"/>
          <w:color w:val="auto"/>
        </w:rPr>
      </w:pPr>
    </w:p>
    <w:p>
      <w:pPr>
        <w:jc w:val="both"/>
        <w:ind w:left="1260" w:right="10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w:t>
      </w:r>
      <w:r>
        <w:rPr>
          <w:rFonts w:ascii="Arial" w:cs="Arial" w:eastAsia="Arial" w:hAnsi="Arial"/>
          <w:sz w:val="18"/>
          <w:szCs w:val="18"/>
          <w:color w:val="auto"/>
        </w:rPr>
        <w:t>” are to the unsecured promissory note issued by Churchill to the Sponsor in an aggregate principal amount of $1,500,000. The Sponsor has elected to exercise its option to convert the unpaid balance of the Note of $1,500,000 into Working Capital Warrants;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PIF</w:t>
      </w:r>
      <w:r>
        <w:rPr>
          <w:rFonts w:ascii="Arial" w:cs="Arial" w:eastAsia="Arial" w:hAnsi="Arial"/>
          <w:sz w:val="17"/>
          <w:szCs w:val="17"/>
          <w:color w:val="auto"/>
        </w:rPr>
        <w:t>” are to the Public Investment Fund, the sovereign wealth fund of the Kingdom of Saudi Arabia;</w:t>
      </w:r>
    </w:p>
    <w:p>
      <w:pPr>
        <w:spacing w:after="0" w:line="169"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are to the private placement pursuant to which Churchill entered into PIPE Subscription Agreements (containing commitments to funding that are subject only to conditions that generally align with the conditions set forth in the Merger Agreement) with certain investors whereby Churchill has agreed to issue and sell to the PIPE Investors $2.5 billion of Churchill’s Class A common stock at a purchase price of $15.00 per share;</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are to the investors participating in the PIPE Investment;</w:t>
      </w:r>
    </w:p>
    <w:p>
      <w:pPr>
        <w:spacing w:after="0" w:line="117"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Subscription Agreements</w:t>
      </w:r>
      <w:r>
        <w:rPr>
          <w:rFonts w:ascii="Arial" w:cs="Arial" w:eastAsia="Arial" w:hAnsi="Arial"/>
          <w:sz w:val="18"/>
          <w:szCs w:val="18"/>
          <w:color w:val="auto"/>
        </w:rPr>
        <w:t>” are to the common stock subscription agreements entered into by and among Churchill, and the investors party thereto, in each case, dated as of February 22, 2021 and entered into in connection with the PIPE Investment;</w:t>
      </w:r>
    </w:p>
    <w:p>
      <w:pPr>
        <w:spacing w:after="0" w:line="76"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are to Churchill’s warrants issued to the Sponsor in a private placement simultaneously with the closing of the Churchill IPO;</w:t>
      </w:r>
    </w:p>
    <w:p>
      <w:pPr>
        <w:spacing w:after="0" w:line="62" w:lineRule="exact"/>
        <w:rPr>
          <w:sz w:val="20"/>
          <w:szCs w:val="20"/>
          <w:color w:val="auto"/>
        </w:rPr>
      </w:pPr>
    </w:p>
    <w:p>
      <w:pPr>
        <w:ind w:left="1260" w:right="14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forma</w:t>
      </w:r>
      <w:r>
        <w:rPr>
          <w:rFonts w:ascii="Arial" w:cs="Arial" w:eastAsia="Arial" w:hAnsi="Arial"/>
          <w:sz w:val="18"/>
          <w:szCs w:val="18"/>
          <w:color w:val="auto"/>
        </w:rPr>
        <w:t>” are to giving pro forma effect to the Transactions and the other related events contemplated by the Merger Agreement;</w:t>
      </w:r>
    </w:p>
    <w:p>
      <w:pPr>
        <w:spacing w:after="0" w:line="62" w:lineRule="exact"/>
        <w:rPr>
          <w:sz w:val="20"/>
          <w:szCs w:val="20"/>
          <w:color w:val="auto"/>
        </w:rPr>
      </w:pPr>
    </w:p>
    <w:p>
      <w:pPr>
        <w:ind w:left="1260" w:right="93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public shares</w:t>
      </w:r>
      <w:r>
        <w:rPr>
          <w:rFonts w:ascii="Arial" w:cs="Arial" w:eastAsia="Arial" w:hAnsi="Arial"/>
          <w:sz w:val="17"/>
          <w:szCs w:val="17"/>
          <w:color w:val="auto"/>
        </w:rPr>
        <w:t>” are to shares of Churchill’s Class A common stock sold as part of the units in the Churchill IPO (whether they were purchased in the Churchill IPO or thereafter in the open market);</w:t>
      </w:r>
    </w:p>
    <w:p>
      <w:pPr>
        <w:spacing w:after="0" w:line="3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stockholders</w:t>
      </w:r>
      <w:r>
        <w:rPr>
          <w:rFonts w:ascii="Arial" w:cs="Arial" w:eastAsia="Arial" w:hAnsi="Arial"/>
          <w:sz w:val="18"/>
          <w:szCs w:val="18"/>
          <w:color w:val="auto"/>
        </w:rPr>
        <w:t>” are to the holders of Churchill’s public shares, including the Sponsor and Churchill’s officers and directors to the extent the Sponsor and Churchill’s officers or directors purchase public shares, provided that each of their status as a “public stockholder” shall only exist with respect to such public shares;</w:t>
      </w:r>
    </w:p>
    <w:p>
      <w:pPr>
        <w:spacing w:after="0" w:line="79"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are to Churchill’s warrants sold as part of the units in the Churchill IPO (whether they were purchased in the Churchill IPO or thereafter in the open market);</w:t>
      </w:r>
    </w:p>
    <w:p>
      <w:pPr>
        <w:spacing w:after="0" w:line="62" w:lineRule="exact"/>
        <w:rPr>
          <w:sz w:val="20"/>
          <w:szCs w:val="20"/>
          <w:color w:val="auto"/>
        </w:rPr>
      </w:pPr>
    </w:p>
    <w:p>
      <w:pPr>
        <w:ind w:left="1620" w:right="2999"/>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w:t>
      </w:r>
      <w:r>
        <w:rPr>
          <w:rFonts w:ascii="Arial" w:cs="Arial" w:eastAsia="Arial" w:hAnsi="Arial"/>
          <w:sz w:val="17"/>
          <w:szCs w:val="17"/>
          <w:color w:val="auto"/>
        </w:rPr>
        <w:t>” are to the United States Securities and Exchange Commission; “</w:t>
      </w:r>
      <w:r>
        <w:rPr>
          <w:rFonts w:ascii="Arial" w:cs="Arial" w:eastAsia="Arial" w:hAnsi="Arial"/>
          <w:sz w:val="17"/>
          <w:szCs w:val="17"/>
          <w:i w:val="1"/>
          <w:iCs w:val="1"/>
          <w:color w:val="auto"/>
        </w:rPr>
        <w:t>Securities Act</w:t>
      </w:r>
      <w:r>
        <w:rPr>
          <w:rFonts w:ascii="Arial" w:cs="Arial" w:eastAsia="Arial" w:hAnsi="Arial"/>
          <w:sz w:val="17"/>
          <w:szCs w:val="17"/>
          <w:color w:val="auto"/>
        </w:rPr>
        <w:t>” are to the Securities Act of 1933, as amended;</w:t>
      </w:r>
    </w:p>
    <w:p>
      <w:pPr>
        <w:spacing w:after="0" w:line="1" w:lineRule="exact"/>
        <w:rPr>
          <w:sz w:val="20"/>
          <w:szCs w:val="20"/>
          <w:color w:val="auto"/>
        </w:rPr>
      </w:pPr>
    </w:p>
    <w:p>
      <w:pPr>
        <w:ind w:left="1260" w:right="63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Sponsor</w:t>
      </w:r>
      <w:r>
        <w:rPr>
          <w:rFonts w:ascii="Arial" w:cs="Arial" w:eastAsia="Arial" w:hAnsi="Arial"/>
          <w:sz w:val="17"/>
          <w:szCs w:val="17"/>
          <w:color w:val="auto"/>
        </w:rPr>
        <w:t>” are to Churchill Sponsor IV LLC, a Delaware limited liability company and an affiliate of M. Klein and Company in which certain of Churchill’s directors and officers hold membership interests;</w:t>
      </w:r>
    </w:p>
    <w:p>
      <w:pPr>
        <w:spacing w:after="0" w:line="38"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Agreement</w:t>
      </w:r>
      <w:r>
        <w:rPr>
          <w:rFonts w:ascii="Arial" w:cs="Arial" w:eastAsia="Arial" w:hAnsi="Arial"/>
          <w:sz w:val="18"/>
          <w:szCs w:val="18"/>
          <w:color w:val="auto"/>
        </w:rPr>
        <w:t>” are to the Amended and Restated Sponsor Agreement, dated as of February 22, 2021, by and among the Company, the Sponsor and the Insiders;</w:t>
      </w:r>
    </w:p>
    <w:p>
      <w:pPr>
        <w:spacing w:after="0" w:line="62"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Earnback Shares</w:t>
      </w:r>
      <w:r>
        <w:rPr>
          <w:rFonts w:ascii="Arial" w:cs="Arial" w:eastAsia="Arial" w:hAnsi="Arial"/>
          <w:sz w:val="18"/>
          <w:szCs w:val="18"/>
          <w:color w:val="auto"/>
        </w:rPr>
        <w:t>” are to are to those 17,250,000 issued and outstanding shares of Class A common stock, comprised of three separate tranches of 5,750,000 shares per tranche, held by the Sponsor that will remain restricted from transfer and subject to potential forfeiture to Lucid Group for no consideration, subject to the occurrence of the applicable Earnback Triggering Events during the Earnback Period;</w:t>
      </w:r>
    </w:p>
    <w:p>
      <w:pPr>
        <w:spacing w:after="0" w:line="80"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Earnback Warrants</w:t>
      </w:r>
      <w:r>
        <w:rPr>
          <w:rFonts w:ascii="Arial" w:cs="Arial" w:eastAsia="Arial" w:hAnsi="Arial"/>
          <w:sz w:val="18"/>
          <w:szCs w:val="18"/>
          <w:color w:val="auto"/>
        </w:rPr>
        <w:t>” are to those 14,283,333 issued and outstanding warrants to purchase shares of Class A common stock, comprised of three separate tranches of 4,761,111 warrants per tranche, held by the Sponsor that will remain restricted from transfer and subject to potential forfeiture to Lucid Group for no consideration, subject to the occurrence of the applicable Earnback Triggering Events during the Earnback Period;</w:t>
      </w:r>
    </w:p>
    <w:p>
      <w:pPr>
        <w:spacing w:after="0" w:line="80"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are to the Merger, together with the other transactions contemplated by the Merger Agreement and the related agreements;</w:t>
      </w:r>
    </w:p>
    <w:p>
      <w:pPr>
        <w:spacing w:after="0" w:line="62"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are to the trust account of Churchill that held the proceeds from the Churchill IPO prior to the consummation of the Transactions;</w:t>
      </w:r>
    </w:p>
    <w:p>
      <w:pPr>
        <w:spacing w:after="0" w:line="62"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and Support Agreement</w:t>
      </w:r>
      <w:r>
        <w:rPr>
          <w:rFonts w:ascii="Arial" w:cs="Arial" w:eastAsia="Arial" w:hAnsi="Arial"/>
          <w:sz w:val="18"/>
          <w:szCs w:val="18"/>
          <w:color w:val="auto"/>
        </w:rPr>
        <w:t>” are to Voting and Support Agreement, dated as of February 22, 2021, by and among Churchill, Lucid and Ayar;</w:t>
      </w:r>
    </w:p>
    <w:p>
      <w:pPr>
        <w:spacing w:after="0" w:line="62"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warrants</w:t>
      </w:r>
      <w:r>
        <w:rPr>
          <w:rFonts w:ascii="Arial" w:cs="Arial" w:eastAsia="Arial" w:hAnsi="Arial"/>
          <w:sz w:val="18"/>
          <w:szCs w:val="18"/>
          <w:color w:val="auto"/>
        </w:rPr>
        <w:t>” are to the Public Warrants, the Private Placement Warrants and the Working Capital Warrants;</w:t>
      </w:r>
    </w:p>
    <w:p>
      <w:pPr>
        <w:spacing w:after="0" w:line="62" w:lineRule="exact"/>
        <w:rPr>
          <w:sz w:val="20"/>
          <w:szCs w:val="20"/>
          <w:color w:val="auto"/>
        </w:rPr>
      </w:pPr>
    </w:p>
    <w:p>
      <w:pPr>
        <w:ind w:left="1260" w:right="69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Warrant Agreement</w:t>
      </w:r>
      <w:r>
        <w:rPr>
          <w:rFonts w:ascii="Arial" w:cs="Arial" w:eastAsia="Arial" w:hAnsi="Arial"/>
          <w:sz w:val="17"/>
          <w:szCs w:val="17"/>
          <w:color w:val="auto"/>
        </w:rPr>
        <w:t>” are to the Warrant Agreement, dated July 29, 2020, entered into in connection with the Churchill IPO by and between Continental Stock Transfer &amp; Trust Company and Churchill;</w:t>
      </w:r>
    </w:p>
    <w:p>
      <w:pPr>
        <w:spacing w:after="0" w:line="38" w:lineRule="exact"/>
        <w:rPr>
          <w:sz w:val="20"/>
          <w:szCs w:val="20"/>
          <w:color w:val="auto"/>
        </w:rPr>
      </w:pPr>
    </w:p>
    <w:p>
      <w:pPr>
        <w:ind w:left="1260" w:right="1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or</w:t>
      </w:r>
      <w:r>
        <w:rPr>
          <w:rFonts w:ascii="Arial" w:cs="Arial" w:eastAsia="Arial" w:hAnsi="Arial"/>
          <w:sz w:val="18"/>
          <w:szCs w:val="18"/>
          <w:color w:val="auto"/>
        </w:rPr>
        <w:t xml:space="preserve"> “</w:t>
      </w:r>
      <w:r>
        <w:rPr>
          <w:rFonts w:ascii="Arial" w:cs="Arial" w:eastAsia="Arial" w:hAnsi="Arial"/>
          <w:sz w:val="18"/>
          <w:szCs w:val="18"/>
          <w:i w:val="1"/>
          <w:iCs w:val="1"/>
          <w:color w:val="auto"/>
        </w:rPr>
        <w:t>us</w:t>
      </w:r>
      <w:r>
        <w:rPr>
          <w:rFonts w:ascii="Arial" w:cs="Arial" w:eastAsia="Arial" w:hAnsi="Arial"/>
          <w:sz w:val="18"/>
          <w:szCs w:val="18"/>
          <w:color w:val="auto"/>
        </w:rPr>
        <w:t>” are, prior to consummation of the Transactions, to Lucid and, following consummation of the Transactions, to Lucid Group; and</w:t>
      </w:r>
    </w:p>
    <w:p>
      <w:pPr>
        <w:spacing w:after="0" w:line="89" w:lineRule="exact"/>
        <w:rPr>
          <w:sz w:val="20"/>
          <w:szCs w:val="20"/>
          <w:color w:val="auto"/>
        </w:rPr>
      </w:pPr>
    </w:p>
    <w:p>
      <w:pPr>
        <w:jc w:val="both"/>
        <w:ind w:left="1260" w:right="107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Working Capital Warrants</w:t>
      </w:r>
      <w:r>
        <w:rPr>
          <w:rFonts w:ascii="Arial" w:cs="Arial" w:eastAsia="Arial" w:hAnsi="Arial"/>
          <w:sz w:val="16"/>
          <w:szCs w:val="16"/>
          <w:color w:val="auto"/>
        </w:rPr>
        <w:t>” are to the warrants to purchase Churchill’s Class A common stock pursuant to the terms of the Note, on terms identical to the terms of the Private Placement Warrants.</w:t>
      </w:r>
    </w:p>
    <w:p>
      <w:pPr>
        <w:sectPr>
          <w:pgSz w:w="11900" w:h="16838" w:orient="portrait"/>
          <w:cols w:equalWidth="0" w:num="1">
            <w:col w:w="9879"/>
          </w:cols>
          <w:pgMar w:left="580" w:top="131" w:right="1440" w:bottom="1440" w:gutter="0" w:footer="0" w:header="0"/>
        </w:sectPr>
      </w:pPr>
    </w:p>
    <w:p>
      <w:pPr>
        <w:spacing w:after="0" w:line="31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This prospectus contains statements express our opinions, expectations, beliefs, plans, objectives, assumptions or projections regarding future events or future results and therefore are, or may be deemed to be, “forward-looking statements” within the meaning of Section 27A of the Securities Act, and Section 21E of the Exchange Act.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our intentions, beliefs or current expectations concerning, among other things our ability to recognize the anticipated benefits of the Transactions, results of operations, financial condition, liquidity, prospects, growth, strategies and the markets in which we operate, including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and the potential success of our go-to- market strategy. Such forward-looking statements are based on available current market material and our current expectations, beliefs and forecasts concerning future developments. Factors that may impact such forward-looking statements include:</w:t>
      </w:r>
    </w:p>
    <w:p>
      <w:pPr>
        <w:spacing w:after="0" w:line="94" w:lineRule="exact"/>
        <w:rPr>
          <w:sz w:val="20"/>
          <w:szCs w:val="20"/>
          <w:color w:val="auto"/>
        </w:rPr>
      </w:pPr>
    </w:p>
    <w:p>
      <w:pPr>
        <w:ind w:left="1800" w:hanging="180"/>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117"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relating to the uncertainty of our projected financial information, including conversion of reservations into binding orders;</w:t>
      </w:r>
    </w:p>
    <w:p>
      <w:pPr>
        <w:spacing w:after="0" w:line="62" w:lineRule="exact"/>
        <w:rPr>
          <w:rFonts w:ascii="Arial" w:cs="Arial" w:eastAsia="Arial" w:hAnsi="Arial"/>
          <w:sz w:val="18"/>
          <w:szCs w:val="18"/>
          <w:color w:val="auto"/>
        </w:rPr>
      </w:pPr>
    </w:p>
    <w:p>
      <w:pPr>
        <w:ind w:left="1800" w:right="779" w:hanging="180"/>
        <w:spacing w:after="0" w:line="308" w:lineRule="auto"/>
        <w:tabs>
          <w:tab w:leader="none" w:pos="18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risks related to the timing of expected business milestones and commercial launch, including our ability to mass produce the Lucid Air and complete the tooling of our manufacturing facility;</w:t>
      </w:r>
    </w:p>
    <w:p>
      <w:pPr>
        <w:spacing w:after="0" w:line="38" w:lineRule="exact"/>
        <w:rPr>
          <w:rFonts w:ascii="Arial" w:cs="Arial" w:eastAsia="Arial" w:hAnsi="Arial"/>
          <w:sz w:val="17"/>
          <w:szCs w:val="17"/>
          <w:color w:val="auto"/>
        </w:rPr>
      </w:pPr>
    </w:p>
    <w:p>
      <w:pPr>
        <w:ind w:left="1800" w:right="99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and the increase of our production capacity;</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130"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deliver Environmental Protection Agency (“</w:t>
      </w:r>
      <w:r>
        <w:rPr>
          <w:rFonts w:ascii="Arial" w:cs="Arial" w:eastAsia="Arial" w:hAnsi="Arial"/>
          <w:sz w:val="18"/>
          <w:szCs w:val="18"/>
          <w:i w:val="1"/>
          <w:iCs w:val="1"/>
          <w:color w:val="auto"/>
        </w:rPr>
        <w:t>EPA</w:t>
      </w:r>
      <w:r>
        <w:rPr>
          <w:rFonts w:ascii="Arial" w:cs="Arial" w:eastAsia="Arial" w:hAnsi="Arial"/>
          <w:sz w:val="18"/>
          <w:szCs w:val="18"/>
          <w:color w:val="auto"/>
        </w:rPr>
        <w:t>”) estimated driving ranges that match or exceed our pre-production projected driving ranges;</w:t>
      </w:r>
    </w:p>
    <w:p>
      <w:pPr>
        <w:spacing w:after="0" w:line="62" w:lineRule="exact"/>
        <w:rPr>
          <w:rFonts w:ascii="Arial" w:cs="Arial" w:eastAsia="Arial" w:hAnsi="Arial"/>
          <w:sz w:val="18"/>
          <w:szCs w:val="18"/>
          <w:color w:val="auto"/>
        </w:rPr>
      </w:pPr>
    </w:p>
    <w:p>
      <w:pPr>
        <w:ind w:left="1800" w:right="123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62"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enter into or maintain partnerships with original equipment manufacturers, vendors and technology providers;</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effectively manage our growth and recruit and retain key employees, including our chief executive officer and executive team;</w:t>
      </w:r>
    </w:p>
    <w:p>
      <w:pPr>
        <w:spacing w:after="0" w:line="75"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establish our brand and capture additional market share, and the risks associated with negative press or reputational harm;</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expenses;</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in the future;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3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62"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global COVID-19 pandemic on our projected results of operations, financial performance or other financial metrics, or on any of the foregoing risks;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disclosed in this prospectus; and</w:t>
      </w:r>
    </w:p>
    <w:p>
      <w:pPr>
        <w:spacing w:after="0" w:line="117" w:lineRule="exact"/>
        <w:rPr>
          <w:rFonts w:ascii="Arial" w:cs="Arial" w:eastAsia="Arial" w:hAnsi="Arial"/>
          <w:sz w:val="18"/>
          <w:szCs w:val="18"/>
          <w:color w:val="auto"/>
        </w:rPr>
      </w:pPr>
    </w:p>
    <w:p>
      <w:pPr>
        <w:ind w:left="1800" w:right="459" w:hanging="180"/>
        <w:spacing w:after="0" w:line="286" w:lineRule="auto"/>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those factors discussed in our Annual Report on Form 10-K/A and our Quarterly Report on Form 10-Q for the quarter ended June 30, 2021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and our other documents filed, or to be filed, with the SEC, including any accompanying prospectus supplement.</w:t>
      </w:r>
    </w:p>
    <w:p>
      <w:pPr>
        <w:spacing w:after="0" w:line="8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The forward-looking statements contained in this prospectus or any accompanying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Should one or more of these risks or uncertainties materialize, or should any of the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prove incorrect, actual results may vary in material respects from those projected in these forward-looking statements. We do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1280" w:right="459" w:firstLine="360"/>
        <w:spacing w:after="0" w:line="272"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that you should consider before investing in our Class A common stock or warrants. You should read this entire prospectus carefully, including the matters discussed under the sections titled “Risk Factors,” “Management’s Discussion and Analysis of Financial Condition and Results of Operations,” “Unaudited Pro Forma Condensed Combined Financial Information,” “Business” and the consolidated financial statements and related notes included elsewhere in this prospectus, and any accompanying prospectus supplement before making an investment decision.</w:t>
      </w:r>
    </w:p>
    <w:p>
      <w:pPr>
        <w:spacing w:after="0" w:line="1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Mission</w:t>
      </w:r>
    </w:p>
    <w:p>
      <w:pPr>
        <w:spacing w:after="0" w:line="162" w:lineRule="exact"/>
        <w:rPr>
          <w:sz w:val="20"/>
          <w:szCs w:val="20"/>
          <w:color w:val="auto"/>
        </w:rPr>
      </w:pPr>
    </w:p>
    <w:p>
      <w:pPr>
        <w:ind w:left="1280" w:right="459" w:firstLine="360"/>
        <w:spacing w:after="0" w:line="277" w:lineRule="auto"/>
        <w:rPr>
          <w:sz w:val="20"/>
          <w:szCs w:val="20"/>
          <w:color w:val="auto"/>
        </w:rPr>
      </w:pPr>
      <w:r>
        <w:rPr>
          <w:rFonts w:ascii="Arial" w:cs="Arial" w:eastAsia="Arial" w:hAnsi="Arial"/>
          <w:sz w:val="18"/>
          <w:szCs w:val="18"/>
          <w:color w:val="auto"/>
        </w:rPr>
        <w:t>Lucid’s mission is to inspire the adoption of sustainable transportation by creating the most captivating luxury electric vehicles centered around the human experience.</w:t>
      </w:r>
    </w:p>
    <w:p>
      <w:pPr>
        <w:spacing w:after="0" w:line="166"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About Lucid</w:t>
      </w:r>
    </w:p>
    <w:p>
      <w:pPr>
        <w:spacing w:after="0" w:line="148" w:lineRule="exact"/>
        <w:rPr>
          <w:sz w:val="20"/>
          <w:szCs w:val="20"/>
          <w:color w:val="auto"/>
        </w:rPr>
      </w:pPr>
    </w:p>
    <w:p>
      <w:pPr>
        <w:ind w:left="1280" w:right="419" w:firstLine="360"/>
        <w:spacing w:after="0" w:line="253" w:lineRule="auto"/>
        <w:rPr>
          <w:sz w:val="20"/>
          <w:szCs w:val="20"/>
          <w:color w:val="auto"/>
        </w:rPr>
      </w:pPr>
      <w:r>
        <w:rPr>
          <w:rFonts w:ascii="Arial" w:cs="Arial" w:eastAsia="Arial" w:hAnsi="Arial"/>
          <w:sz w:val="18"/>
          <w:szCs w:val="18"/>
          <w:color w:val="auto"/>
        </w:rPr>
        <w:t>We are a technology and automotive company. We were founded in Silicon Valley in 2007 to develop the next generation of electric vehicle (“</w:t>
      </w:r>
      <w:r>
        <w:rPr>
          <w:rFonts w:ascii="Arial" w:cs="Arial" w:eastAsia="Arial" w:hAnsi="Arial"/>
          <w:sz w:val="18"/>
          <w:szCs w:val="18"/>
          <w:i w:val="1"/>
          <w:iCs w:val="1"/>
          <w:color w:val="auto"/>
        </w:rPr>
        <w:t>EV</w:t>
      </w:r>
      <w:r>
        <w:rPr>
          <w:rFonts w:ascii="Arial" w:cs="Arial" w:eastAsia="Arial" w:hAnsi="Arial"/>
          <w:sz w:val="18"/>
          <w:szCs w:val="18"/>
          <w:color w:val="auto"/>
        </w:rPr>
        <w:t>”) technologies. Today, we are a vertically-integrated company which (i) designs, engineers and builds electric vehicles, EV powertrains and battery systems in-house using our own equipment and factory, (ii) plans to offer a refined customer experience at our own geographically-distributed retail and service locations and through direct-to-consumer and retail sales and (iii) boasts a strong product roadmap of future vehicle programs and technologies. Our focus on in-house technological innovation and a “clean-sheet” approach to engineering and design have led to the development of our groundbreaking electric vehicle, the Lucid Air, which we expect to go into production in the second half of 2021.</w:t>
      </w:r>
    </w:p>
    <w:p>
      <w:pPr>
        <w:spacing w:after="0" w:line="129" w:lineRule="exact"/>
        <w:rPr>
          <w:sz w:val="20"/>
          <w:szCs w:val="20"/>
          <w:color w:val="auto"/>
        </w:rPr>
      </w:pPr>
    </w:p>
    <w:p>
      <w:pPr>
        <w:ind w:left="1280" w:right="559" w:firstLine="360"/>
        <w:spacing w:after="0" w:line="259" w:lineRule="auto"/>
        <w:rPr>
          <w:sz w:val="20"/>
          <w:szCs w:val="20"/>
          <w:color w:val="auto"/>
        </w:rPr>
      </w:pPr>
      <w:r>
        <w:rPr>
          <w:rFonts w:ascii="Arial" w:cs="Arial" w:eastAsia="Arial" w:hAnsi="Arial"/>
          <w:sz w:val="18"/>
          <w:szCs w:val="18"/>
          <w:color w:val="auto"/>
        </w:rPr>
        <w:t>The Lucid Air is a luxury electric sedan that redefines both the luxury car segment and the electric vehicle space. Our Space Concept underpins its design, merging a spacious interior with a smaller exterior profile that is reminiscent of a high-performance sports car. This achievement is enabled by our miniaturized drive-train components, which also result in increased storage capacity.</w:t>
      </w:r>
    </w:p>
    <w:p>
      <w:pPr>
        <w:spacing w:after="0" w:line="119" w:lineRule="exact"/>
        <w:rPr>
          <w:sz w:val="20"/>
          <w:szCs w:val="20"/>
          <w:color w:val="auto"/>
        </w:rPr>
      </w:pPr>
    </w:p>
    <w:p>
      <w:pPr>
        <w:ind w:left="1280" w:right="599" w:firstLine="360"/>
        <w:spacing w:after="0" w:line="279" w:lineRule="auto"/>
        <w:rPr>
          <w:sz w:val="20"/>
          <w:szCs w:val="20"/>
          <w:color w:val="auto"/>
        </w:rPr>
      </w:pPr>
      <w:r>
        <w:rPr>
          <w:rFonts w:ascii="Arial" w:cs="Arial" w:eastAsia="Arial" w:hAnsi="Arial"/>
          <w:sz w:val="17"/>
          <w:szCs w:val="17"/>
          <w:color w:val="auto"/>
        </w:rPr>
        <w:t>The Lucid Air will be manufactured at our greenfield electric vehicle manufacturing facility in Casa Grande, Arizona. We plan to sell vehicles directly to consumers through both its retail sales network and through direct online sales. We are also establishing an in-house vehicle service footprint, with brick-and-mortar service centers in various geographies and a planned mobile service fleet.</w:t>
      </w:r>
    </w:p>
    <w:p>
      <w:pPr>
        <w:spacing w:after="0" w:line="90" w:lineRule="exact"/>
        <w:rPr>
          <w:sz w:val="20"/>
          <w:szCs w:val="20"/>
          <w:color w:val="auto"/>
        </w:rPr>
      </w:pPr>
    </w:p>
    <w:p>
      <w:pPr>
        <w:ind w:left="1280" w:right="539" w:firstLine="360"/>
        <w:spacing w:after="0" w:line="255" w:lineRule="auto"/>
        <w:rPr>
          <w:sz w:val="20"/>
          <w:szCs w:val="20"/>
          <w:color w:val="auto"/>
        </w:rPr>
      </w:pPr>
      <w:r>
        <w:rPr>
          <w:rFonts w:ascii="Arial" w:cs="Arial" w:eastAsia="Arial" w:hAnsi="Arial"/>
          <w:sz w:val="18"/>
          <w:szCs w:val="18"/>
          <w:color w:val="auto"/>
        </w:rPr>
        <w:t>We expect to launch additional vehicles over the coming decade. We have already commenced engineering and design work for Project Gravity, a luxury sports utility vehicle that is expected to leverage the same platform as the Lucid Air and many of the technological advancements developed for the Lucid Air. We expect to begin production of Project Gravity at the end of 2023. After the Lucid Air and Project Gravity, we plan to leverage our technological and manufacturing advancements to develop and manufacture progressively more affordable vehicles in higher volumes.</w:t>
      </w:r>
    </w:p>
    <w:p>
      <w:pPr>
        <w:spacing w:after="0" w:line="125" w:lineRule="exact"/>
        <w:rPr>
          <w:sz w:val="20"/>
          <w:szCs w:val="20"/>
          <w:color w:val="auto"/>
        </w:rPr>
      </w:pPr>
    </w:p>
    <w:p>
      <w:pPr>
        <w:ind w:left="1280" w:right="479" w:firstLine="360"/>
        <w:spacing w:after="0" w:line="279" w:lineRule="auto"/>
        <w:rPr>
          <w:sz w:val="20"/>
          <w:szCs w:val="20"/>
          <w:color w:val="auto"/>
        </w:rPr>
      </w:pPr>
      <w:r>
        <w:rPr>
          <w:rFonts w:ascii="Arial" w:cs="Arial" w:eastAsia="Arial" w:hAnsi="Arial"/>
          <w:sz w:val="17"/>
          <w:szCs w:val="17"/>
          <w:color w:val="auto"/>
        </w:rPr>
        <w:t>We further believe that our battery systems expertise positions us to produce compelling stationary energy storage system products. Beyond the sale of Lucid branded vehicles, we believe that our technological prowess and manufacturing capabilities present a further opportunity to generate revenue and combat climate change through the sale or licensing of electric vehicle powertrain and battery technology.</w:t>
      </w:r>
    </w:p>
    <w:p>
      <w:pPr>
        <w:spacing w:after="0" w:line="167"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Background</w:t>
      </w:r>
    </w:p>
    <w:p>
      <w:pPr>
        <w:spacing w:after="0" w:line="162" w:lineRule="exact"/>
        <w:rPr>
          <w:sz w:val="20"/>
          <w:szCs w:val="20"/>
          <w:color w:val="auto"/>
        </w:rPr>
      </w:pPr>
    </w:p>
    <w:p>
      <w:pPr>
        <w:ind w:left="1280" w:right="499" w:firstLine="360"/>
        <w:spacing w:after="0" w:line="273" w:lineRule="auto"/>
        <w:rPr>
          <w:sz w:val="20"/>
          <w:szCs w:val="20"/>
          <w:color w:val="auto"/>
        </w:rPr>
      </w:pPr>
      <w:r>
        <w:rPr>
          <w:rFonts w:ascii="Arial" w:cs="Arial" w:eastAsia="Arial" w:hAnsi="Arial"/>
          <w:sz w:val="17"/>
          <w:szCs w:val="17"/>
          <w:color w:val="auto"/>
        </w:rPr>
        <w:t>We were originally known as Churchill Capital Corp IV. On July 23, 2021, Churchill, our predecessor company, consummated the Merger pursuant to the Merger Agreement, by and among Churchill, Lucid and Merger Sub. Pursuant to the Merger Agreement, Merger Sub merged with and into Lucid, with Lucid being the surviving company in the Merger. In connection with the Closing, each share of Churchill’s Class B common stock was converted on a one-to-one basis into a share of Class A common stock. On the Closing Date, and in connection with the Closing, Churchill changed its name to Lucid Group, Inc.</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19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399" w:firstLine="360"/>
        <w:spacing w:after="0" w:line="272" w:lineRule="auto"/>
        <w:rPr>
          <w:sz w:val="20"/>
          <w:szCs w:val="20"/>
          <w:color w:val="auto"/>
        </w:rPr>
      </w:pPr>
      <w:r>
        <w:rPr>
          <w:rFonts w:ascii="Arial" w:cs="Arial" w:eastAsia="Arial" w:hAnsi="Arial"/>
          <w:sz w:val="17"/>
          <w:szCs w:val="17"/>
          <w:color w:val="auto"/>
        </w:rPr>
        <w:t>We expect the Transactions to be accounted for as a reverse recapitalization in accordance with GAAP. Under this method of accounting, Churchill is expected to be treated as the “acquired” company for financial reporting purposes. Accordingly, for accounting purposes, the financial statements of Lucid Group will represent a continuation of the financial statements of Lucid with the Transactions treated as the equivalent of Lucid issuing shares for the net assets of Churchill, accompanied by a recapitalization. The net assets of Churchill will be stated at historical cost, with no goodwill or other intangible assets recorded. Operations prior to the Transactions will be those of Lucid in future reports of Lucid Group.</w:t>
      </w:r>
    </w:p>
    <w:p>
      <w:pPr>
        <w:spacing w:after="0" w:line="96" w:lineRule="exact"/>
        <w:rPr>
          <w:sz w:val="20"/>
          <w:szCs w:val="20"/>
          <w:color w:val="auto"/>
        </w:rPr>
      </w:pPr>
    </w:p>
    <w:p>
      <w:pPr>
        <w:ind w:left="1280" w:right="419" w:firstLine="360"/>
        <w:spacing w:after="0" w:line="254" w:lineRule="auto"/>
        <w:rPr>
          <w:sz w:val="20"/>
          <w:szCs w:val="20"/>
          <w:color w:val="auto"/>
        </w:rPr>
      </w:pPr>
      <w:r>
        <w:rPr>
          <w:rFonts w:ascii="Arial" w:cs="Arial" w:eastAsia="Arial" w:hAnsi="Arial"/>
          <w:sz w:val="18"/>
          <w:szCs w:val="18"/>
          <w:color w:val="auto"/>
        </w:rPr>
        <w:t>Immediately prior to the Closing, all of Lucid Preferred Shares then issued and outstanding were converted into Lucid Common Shares, in accordance with the terms of Lucid’s Memorandum and Articles of Association, such that each converted Lucid Preferred Share was no longer outstanding and ceased to exist, and each holder thereof thereafter ceased to have any rights with respect to such securities. At the Effective Time, each Lucid Common Share then issued and outstanding was automatically cancelled and the holders of Lucid Common Shares received 2.644 shares of Class A common stock in exchange for each Lucid Common Share they held at such time. The holders of the Lucid Common Shares were issued 1,193,226,511 shares of Class A common stock at the Closing.</w:t>
      </w:r>
    </w:p>
    <w:p>
      <w:pPr>
        <w:spacing w:after="0" w:line="124" w:lineRule="exact"/>
        <w:rPr>
          <w:sz w:val="20"/>
          <w:szCs w:val="20"/>
          <w:color w:val="auto"/>
        </w:rPr>
      </w:pPr>
    </w:p>
    <w:p>
      <w:pPr>
        <w:ind w:left="1280" w:right="419" w:firstLine="360"/>
        <w:spacing w:after="0" w:line="257" w:lineRule="auto"/>
        <w:rPr>
          <w:sz w:val="20"/>
          <w:szCs w:val="20"/>
          <w:color w:val="auto"/>
        </w:rPr>
      </w:pPr>
      <w:r>
        <w:rPr>
          <w:rFonts w:ascii="Arial" w:cs="Arial" w:eastAsia="Arial" w:hAnsi="Arial"/>
          <w:sz w:val="18"/>
          <w:szCs w:val="18"/>
          <w:color w:val="auto"/>
        </w:rPr>
        <w:t>In February 2021, Churchill entered into PIPE Subscription Agreements pursuant to which certain investors agreed to subscribe for 166,666,667 shares of Class A common stock at a purchase price of $15.00 per share for an aggregate commitment of $2,500,000,005 as part of the PIPE Investment. Ayar, Lucid’s majority shareholder, agreed to purchase 13,333,333 of such shares. At the Closing, we consummated such PIPE Investment.</w:t>
      </w:r>
    </w:p>
    <w:p>
      <w:pPr>
        <w:spacing w:after="0" w:line="120" w:lineRule="exact"/>
        <w:rPr>
          <w:sz w:val="20"/>
          <w:szCs w:val="20"/>
          <w:color w:val="auto"/>
        </w:rPr>
      </w:pPr>
    </w:p>
    <w:p>
      <w:pPr>
        <w:ind w:left="1280" w:right="419" w:firstLine="360"/>
        <w:spacing w:after="0" w:line="253" w:lineRule="auto"/>
        <w:rPr>
          <w:sz w:val="20"/>
          <w:szCs w:val="20"/>
          <w:color w:val="auto"/>
        </w:rPr>
      </w:pPr>
      <w:r>
        <w:rPr>
          <w:rFonts w:ascii="Arial" w:cs="Arial" w:eastAsia="Arial" w:hAnsi="Arial"/>
          <w:sz w:val="18"/>
          <w:szCs w:val="18"/>
          <w:color w:val="auto"/>
        </w:rPr>
        <w:t>After giving effect to the Transactions, there were 1,618,621,534 shares of our Class A common stock and 85,750,000 of our warrants issued and outstanding. Class A common stock and our Public Warrants are listed on the Nasdaq Global Select Market under the ticker symbols “LCID” and “LCIDW,” respectively. As of the Closing, former Churchill’s public stockholders owned approximately 12.8% of the outstanding shares of Class A common stock, former Lucid’s shareholders owned approximately 73.7% of the outstanding shares of Class A common stock (with Ayar owning approximately 62.7% of the outstanding shares of Class A common stock), the Sponsor owned approximately 3.2% of the outstanding shares of Class A common stock, and the investors in the PIPE Investment owned approximately 10.3% of the outstanding shares of Class A common stock.</w:t>
      </w:r>
    </w:p>
    <w:p>
      <w:pPr>
        <w:spacing w:after="0" w:line="115" w:lineRule="exact"/>
        <w:rPr>
          <w:sz w:val="20"/>
          <w:szCs w:val="20"/>
          <w:color w:val="auto"/>
        </w:rPr>
      </w:pPr>
    </w:p>
    <w:p>
      <w:pPr>
        <w:ind w:left="1280" w:right="419" w:firstLine="360"/>
        <w:spacing w:after="0" w:line="259" w:lineRule="auto"/>
        <w:rPr>
          <w:sz w:val="20"/>
          <w:szCs w:val="20"/>
          <w:color w:val="auto"/>
        </w:rPr>
      </w:pPr>
      <w:r>
        <w:rPr>
          <w:rFonts w:ascii="Arial" w:cs="Arial" w:eastAsia="Arial" w:hAnsi="Arial"/>
          <w:sz w:val="18"/>
          <w:szCs w:val="18"/>
          <w:color w:val="auto"/>
        </w:rPr>
        <w:t>The rights of holders of our Class A common stock and warrants are governed by our current certificate of incorporation, our current bylaws and the DGCL, and, in the case of the warrants, the Warrant Agreement. See the sections entitled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 and “</w:t>
      </w:r>
      <w:r>
        <w:rPr>
          <w:rFonts w:ascii="Arial" w:cs="Arial" w:eastAsia="Arial" w:hAnsi="Arial"/>
          <w:sz w:val="18"/>
          <w:szCs w:val="18"/>
          <w:i w:val="1"/>
          <w:iCs w:val="1"/>
          <w:color w:val="auto"/>
        </w:rPr>
        <w:t>Certain Relationships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Party Transactions</w:t>
      </w:r>
      <w:r>
        <w:rPr>
          <w:rFonts w:ascii="Arial" w:cs="Arial" w:eastAsia="Arial" w:hAnsi="Arial"/>
          <w:sz w:val="18"/>
          <w:szCs w:val="18"/>
          <w:color w:val="auto"/>
        </w:rPr>
        <w:t>.”</w:t>
      </w:r>
    </w:p>
    <w:p>
      <w:pPr>
        <w:spacing w:after="0" w:line="183"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280" w:right="399" w:firstLine="360"/>
        <w:spacing w:after="0" w:line="255" w:lineRule="auto"/>
        <w:rPr>
          <w:sz w:val="20"/>
          <w:szCs w:val="20"/>
          <w:color w:val="auto"/>
        </w:rPr>
      </w:pPr>
      <w:r>
        <w:rPr>
          <w:rFonts w:ascii="Arial" w:cs="Arial" w:eastAsia="Arial" w:hAnsi="Arial"/>
          <w:sz w:val="18"/>
          <w:szCs w:val="18"/>
          <w:color w:val="auto"/>
        </w:rPr>
        <w:t>Lucid Group, Inc. is a Delaware corporation. Our principal executive offices are located at 7373 Gateway Blvd. Newark, CA 94560 and our telephone number at that address is (510) 648-3553. Our website is located at https://www.lucidmotors.com. We do not incorporate the information contained on, or accessible through, our corporate website into this prospectus, and you should not consider it part of this prospectus. We have included our website address only as an inactive textual reference and do not intend it to be an active link to our website.</w:t>
      </w:r>
    </w:p>
    <w:p>
      <w:pPr>
        <w:spacing w:after="0" w:line="18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Emerging Growth Company</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Jumpstart Our Business Startups Act of 2012 (the “</w:t>
      </w:r>
      <w:r>
        <w:rPr>
          <w:rFonts w:ascii="Arial" w:cs="Arial" w:eastAsia="Arial" w:hAnsi="Arial"/>
          <w:sz w:val="18"/>
          <w:szCs w:val="18"/>
          <w:i w:val="1"/>
          <w:iCs w:val="1"/>
          <w:color w:val="auto"/>
        </w:rPr>
        <w:t>JOBS Act</w:t>
      </w:r>
      <w:r>
        <w:rPr>
          <w:rFonts w:ascii="Arial" w:cs="Arial" w:eastAsia="Arial" w:hAnsi="Arial"/>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Arial" w:cs="Arial" w:eastAsia="Arial" w:hAnsi="Arial"/>
          <w:sz w:val="18"/>
          <w:szCs w:val="18"/>
          <w:i w:val="1"/>
          <w:iCs w:val="1"/>
          <w:color w:val="auto"/>
        </w:rPr>
        <w:t>Sarbanes-Oxley Act</w:t>
      </w:r>
      <w:r>
        <w:rPr>
          <w:rFonts w:ascii="Arial" w:cs="Arial" w:eastAsia="Arial" w:hAnsi="Arial"/>
          <w:sz w:val="18"/>
          <w:szCs w:val="18"/>
          <w:color w:val="auto"/>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w:t>
      </w:r>
    </w:p>
    <w:p>
      <w:pPr>
        <w:sectPr>
          <w:pgSz w:w="11900" w:h="16838" w:orient="portrait"/>
          <w:cols w:equalWidth="0" w:num="1">
            <w:col w:w="9879"/>
          </w:cols>
          <w:pgMar w:left="580" w:top="132" w:right="1440" w:bottom="1440" w:gutter="0" w:footer="0" w:header="0"/>
        </w:sectPr>
      </w:pPr>
    </w:p>
    <w:p>
      <w:pPr>
        <w:spacing w:after="0" w:line="38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19"/>
        <w:spacing w:after="0" w:line="277" w:lineRule="auto"/>
        <w:rPr>
          <w:sz w:val="20"/>
          <w:szCs w:val="20"/>
          <w:color w:val="auto"/>
        </w:rPr>
      </w:pPr>
      <w:r>
        <w:rPr>
          <w:rFonts w:ascii="Arial" w:cs="Arial" w:eastAsia="Arial" w:hAnsi="Arial"/>
          <w:sz w:val="18"/>
          <w:szCs w:val="18"/>
          <w:color w:val="auto"/>
        </w:rPr>
        <w:t>some investors find our securities less attractive as a result, there may be a less active trading market for our securities and the prices of our securities may be more volatile.</w:t>
      </w:r>
    </w:p>
    <w:p>
      <w:pPr>
        <w:spacing w:after="0" w:line="8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1280" w:right="439" w:hanging="2"/>
        <w:spacing w:after="0" w:line="252" w:lineRule="auto"/>
        <w:tabs>
          <w:tab w:leader="none" w:pos="1539"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the Churchill IPO,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$1.00 billion in non-convertible debt during the prior three-year period. References herein to “emerging growth company” shall have the meaning associated with it in the JOBS Act. We expect that we will cease to be an emerging growth company as of December 31, 2021.</w:t>
      </w:r>
    </w:p>
    <w:p>
      <w:pPr>
        <w:spacing w:after="0" w:line="188"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Controlled Company Exemption</w:t>
      </w:r>
    </w:p>
    <w:p>
      <w:pPr>
        <w:spacing w:after="0" w:line="162" w:lineRule="exact"/>
        <w:rPr>
          <w:sz w:val="20"/>
          <w:szCs w:val="20"/>
          <w:color w:val="auto"/>
        </w:rPr>
      </w:pPr>
    </w:p>
    <w:p>
      <w:pPr>
        <w:ind w:left="1280" w:right="459" w:firstLine="360"/>
        <w:spacing w:after="0" w:line="273" w:lineRule="auto"/>
        <w:rPr>
          <w:sz w:val="20"/>
          <w:szCs w:val="20"/>
          <w:color w:val="auto"/>
        </w:rPr>
      </w:pPr>
      <w:r>
        <w:rPr>
          <w:rFonts w:ascii="Arial" w:cs="Arial" w:eastAsia="Arial" w:hAnsi="Arial"/>
          <w:sz w:val="17"/>
          <w:szCs w:val="17"/>
          <w:color w:val="auto"/>
        </w:rPr>
        <w:t>Our majority stockholder, Ayar, owns approximately 62.7% of our outstanding shares of Class A common stock.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Please see the section entitled “</w:t>
      </w:r>
      <w:r>
        <w:rPr>
          <w:rFonts w:ascii="Arial" w:cs="Arial" w:eastAsia="Arial" w:hAnsi="Arial"/>
          <w:sz w:val="17"/>
          <w:szCs w:val="17"/>
          <w:i w:val="1"/>
          <w:iCs w:val="1"/>
          <w:color w:val="auto"/>
        </w:rPr>
        <w:t>Management — Corporate Governance — Controlled Company Exemption</w:t>
      </w:r>
      <w:r>
        <w:rPr>
          <w:rFonts w:ascii="Arial" w:cs="Arial" w:eastAsia="Arial" w:hAnsi="Arial"/>
          <w:sz w:val="17"/>
          <w:szCs w:val="17"/>
          <w:color w:val="auto"/>
        </w:rPr>
        <w:t>.” Ayar also currently has the ability to nominate five of the nine directors to our Board.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1280" w:right="559" w:firstLine="360"/>
        <w:spacing w:after="0" w:line="241" w:lineRule="auto"/>
        <w:rPr>
          <w:sz w:val="20"/>
          <w:szCs w:val="20"/>
          <w:color w:val="auto"/>
        </w:rPr>
      </w:pPr>
      <w:r>
        <w:rPr>
          <w:rFonts w:ascii="Arial" w:cs="Arial" w:eastAsia="Arial" w:hAnsi="Arial"/>
          <w:sz w:val="18"/>
          <w:szCs w:val="18"/>
          <w:color w:val="auto"/>
        </w:rPr>
        <w:t>We are registering the issuance by us of an aggregate of up to 85,750,000 shares of our Class A common stock, consisting of (a) 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w:t>
      </w:r>
    </w:p>
    <w:p>
      <w:pPr>
        <w:spacing w:after="0" w:line="122" w:lineRule="exact"/>
        <w:rPr>
          <w:sz w:val="20"/>
          <w:szCs w:val="20"/>
          <w:color w:val="auto"/>
        </w:rPr>
      </w:pPr>
    </w:p>
    <w:p>
      <w:pPr>
        <w:ind w:left="1280" w:right="799" w:firstLine="360"/>
        <w:spacing w:after="0" w:line="258" w:lineRule="auto"/>
        <w:rPr>
          <w:sz w:val="20"/>
          <w:szCs w:val="20"/>
          <w:color w:val="auto"/>
        </w:rPr>
      </w:pPr>
      <w:r>
        <w:rPr>
          <w:rFonts w:ascii="Arial" w:cs="Arial" w:eastAsia="Arial" w:hAnsi="Arial"/>
          <w:sz w:val="17"/>
          <w:szCs w:val="17"/>
          <w:color w:val="auto"/>
        </w:rPr>
        <w:t>We are also registering the offer and sale from time to time by the Selling Securityholders, or their permitted transferees, of (a) up to 1,336,329,949 shares of Class A common stock, consisting of</w:t>
      </w:r>
    </w:p>
    <w:p>
      <w:pPr>
        <w:spacing w:after="0" w:line="1" w:lineRule="exact"/>
        <w:rPr>
          <w:sz w:val="20"/>
          <w:szCs w:val="20"/>
          <w:color w:val="auto"/>
        </w:rPr>
      </w:pPr>
    </w:p>
    <w:p>
      <w:pPr>
        <w:ind w:left="1280" w:right="419" w:hanging="2"/>
        <w:spacing w:after="0" w:line="237" w:lineRule="auto"/>
        <w:tabs>
          <w:tab w:leader="none" w:pos="1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10" w:lineRule="exact"/>
        <w:rPr>
          <w:sz w:val="20"/>
          <w:szCs w:val="20"/>
          <w:color w:val="auto"/>
        </w:rPr>
      </w:pPr>
    </w:p>
    <w:p>
      <w:pPr>
        <w:ind w:left="1280" w:right="579" w:firstLine="360"/>
        <w:spacing w:after="0" w:line="248" w:lineRule="auto"/>
        <w:rPr>
          <w:sz w:val="20"/>
          <w:szCs w:val="20"/>
          <w:color w:val="auto"/>
        </w:rPr>
      </w:pPr>
      <w:r>
        <w:rPr>
          <w:rFonts w:ascii="Arial" w:cs="Arial" w:eastAsia="Arial" w:hAnsi="Arial"/>
          <w:sz w:val="18"/>
          <w:szCs w:val="18"/>
          <w:color w:val="auto"/>
        </w:rPr>
        <w:t>Any investment in the securities offered hereby is speculative and involves a high degree of risk. You should carefully consider the information set forth under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8 of this prospectus.</w:t>
      </w:r>
    </w:p>
    <w:p>
      <w:pPr>
        <w:sectPr>
          <w:pgSz w:w="11900" w:h="16838" w:orient="portrait"/>
          <w:cols w:equalWidth="0" w:num="1">
            <w:col w:w="9879"/>
          </w:cols>
          <w:pgMar w:left="580" w:top="132" w:right="1440" w:bottom="1440" w:gutter="0" w:footer="0" w:header="0"/>
        </w:sectPr>
      </w:pP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Issuance of Class A Common Stock</w:t>
      </w:r>
    </w:p>
    <w:p>
      <w:pPr>
        <w:spacing w:after="0" w:line="144" w:lineRule="exact"/>
        <w:rPr>
          <w:sz w:val="20"/>
          <w:szCs w:val="20"/>
          <w:color w:val="auto"/>
        </w:rPr>
      </w:pPr>
    </w:p>
    <w:p>
      <w:pPr>
        <w:ind w:left="1460" w:right="360" w:hanging="179"/>
        <w:spacing w:after="0" w:line="277" w:lineRule="auto"/>
        <w:rPr>
          <w:sz w:val="20"/>
          <w:szCs w:val="20"/>
          <w:color w:val="auto"/>
        </w:rPr>
      </w:pPr>
      <w:r>
        <w:rPr>
          <w:rFonts w:ascii="Arial" w:cs="Arial" w:eastAsia="Arial" w:hAnsi="Arial"/>
          <w:sz w:val="18"/>
          <w:szCs w:val="18"/>
          <w:color w:val="auto"/>
        </w:rPr>
        <w:t>Shares of Class A Common Stock Offered by Us</w:t>
      </w:r>
    </w:p>
    <w:p>
      <w:pPr>
        <w:spacing w:after="0" w:line="27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Shares of Class A Common Stock</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Outstanding Prior to Exercise of All</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Warrants</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Shares of Class A Common Stock</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Outstanding Assuming Exercise of</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All Warrants</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Exercise Price of Warrants</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Resale of Class A Common Stock,</w:t>
      </w:r>
    </w:p>
    <w:p>
      <w:pPr>
        <w:spacing w:after="0" w:line="39"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Private Placement Warrants and</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Working Capital Warrants</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Shares of Class A Common Stock</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Offered by the Selling</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60" w:right="500" w:hanging="179"/>
        <w:spacing w:after="0" w:line="277" w:lineRule="auto"/>
        <w:rPr>
          <w:sz w:val="20"/>
          <w:szCs w:val="20"/>
          <w:color w:val="auto"/>
        </w:rPr>
      </w:pPr>
      <w:r>
        <w:rPr>
          <w:rFonts w:ascii="Arial" w:cs="Arial" w:eastAsia="Arial" w:hAnsi="Arial"/>
          <w:sz w:val="18"/>
          <w:szCs w:val="18"/>
          <w:color w:val="auto"/>
        </w:rPr>
        <w:t>Warrants Offered by the Selling Securityholders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85,750,000 shares that are issuable upon the exercise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85,750,000 warrants by the holders thereof</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1,618,621,534 shares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1,704,371,534 shares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$11.50 per share, subject to adjustment as described herein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will receive up to an aggregate of approximately</w:t>
      </w:r>
    </w:p>
    <w:p>
      <w:pPr>
        <w:spacing w:after="0" w:line="23" w:lineRule="exact"/>
        <w:rPr>
          <w:sz w:val="20"/>
          <w:szCs w:val="20"/>
          <w:color w:val="auto"/>
        </w:rPr>
      </w:pPr>
    </w:p>
    <w:p>
      <w:pPr>
        <w:ind w:right="459"/>
        <w:spacing w:after="0" w:line="260" w:lineRule="auto"/>
        <w:rPr>
          <w:sz w:val="20"/>
          <w:szCs w:val="20"/>
          <w:color w:val="auto"/>
        </w:rPr>
      </w:pPr>
      <w:r>
        <w:rPr>
          <w:rFonts w:ascii="Arial" w:cs="Arial" w:eastAsia="Arial" w:hAnsi="Arial"/>
          <w:sz w:val="18"/>
          <w:szCs w:val="18"/>
          <w:color w:val="auto"/>
        </w:rPr>
        <w:t>$986.1 million from the exercise of all warrants, assuming the exercise in full of all such warrants for cash.</w:t>
      </w:r>
    </w:p>
    <w:p>
      <w:pPr>
        <w:spacing w:after="0" w:line="118" w:lineRule="exact"/>
        <w:rPr>
          <w:sz w:val="20"/>
          <w:szCs w:val="20"/>
          <w:color w:val="auto"/>
        </w:rPr>
      </w:pPr>
    </w:p>
    <w:p>
      <w:pPr>
        <w:ind w:right="399"/>
        <w:spacing w:after="0" w:line="241" w:lineRule="auto"/>
        <w:rPr>
          <w:sz w:val="20"/>
          <w:szCs w:val="20"/>
          <w:color w:val="auto"/>
        </w:rPr>
      </w:pPr>
      <w:r>
        <w:rPr>
          <w:rFonts w:ascii="Arial" w:cs="Arial" w:eastAsia="Arial" w:hAnsi="Arial"/>
          <w:sz w:val="18"/>
          <w:szCs w:val="18"/>
          <w:color w:val="auto"/>
        </w:rPr>
        <w:t>Unless we inform you otherwise in a prospectus supplement or free writing prospectus, we intend to use the net proceeds from the exercise of such warrants for general corporate purposes, which may include capital expenditures and working capital. See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39"/>
        <w:spacing w:after="0" w:line="296" w:lineRule="auto"/>
        <w:rPr>
          <w:sz w:val="20"/>
          <w:szCs w:val="20"/>
          <w:color w:val="auto"/>
        </w:rPr>
      </w:pPr>
      <w:r>
        <w:rPr>
          <w:rFonts w:ascii="Arial" w:cs="Arial" w:eastAsia="Arial" w:hAnsi="Arial"/>
          <w:sz w:val="16"/>
          <w:szCs w:val="16"/>
          <w:color w:val="auto"/>
        </w:rPr>
        <w:t>1,336,329,949 shares, consisting of (i) 1,244,157,121 issued and outstanding shares, (ii) 47,822,828 shares subject to vesting and/or exercise of the assumed Lucid Equity Awards and (iii) 44,350,000 shares issuable upon exercise of the Private Placement Warrants and the Working Capital Warrants</w:t>
      </w:r>
    </w:p>
    <w:p>
      <w:pPr>
        <w:spacing w:after="0" w:line="269" w:lineRule="exact"/>
        <w:rPr>
          <w:sz w:val="20"/>
          <w:szCs w:val="20"/>
          <w:color w:val="auto"/>
        </w:rPr>
      </w:pPr>
    </w:p>
    <w:p>
      <w:pPr>
        <w:ind w:right="859"/>
        <w:spacing w:after="0" w:line="277" w:lineRule="auto"/>
        <w:rPr>
          <w:sz w:val="20"/>
          <w:szCs w:val="20"/>
          <w:color w:val="auto"/>
        </w:rPr>
      </w:pPr>
      <w:r>
        <w:rPr>
          <w:rFonts w:ascii="Arial" w:cs="Arial" w:eastAsia="Arial" w:hAnsi="Arial"/>
          <w:sz w:val="18"/>
          <w:szCs w:val="18"/>
          <w:color w:val="auto"/>
        </w:rPr>
        <w:t>44,350,000 warrants (representing the Private Placement Warrants and Working Capital Warrants)</w:t>
      </w:r>
    </w:p>
    <w:p>
      <w:pPr>
        <w:spacing w:after="0" w:line="200" w:lineRule="exact"/>
        <w:rPr>
          <w:sz w:val="20"/>
          <w:szCs w:val="20"/>
          <w:color w:val="auto"/>
        </w:rPr>
      </w:pPr>
    </w:p>
    <w:p>
      <w:pPr>
        <w:sectPr>
          <w:pgSz w:w="11900" w:h="16838" w:orient="portrait"/>
          <w:cols w:equalWidth="0" w:num="2">
            <w:col w:w="4180" w:space="560"/>
            <w:col w:w="5139"/>
          </w:cols>
          <w:pgMar w:left="580" w:top="132" w:right="1440" w:bottom="1440" w:gutter="0" w:footer="0" w:header="0"/>
          <w:type w:val="continuous"/>
        </w:sectPr>
      </w:pPr>
    </w:p>
    <w:p>
      <w:pPr>
        <w:spacing w:after="0" w:line="38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will not receive any proceeds from the sale of Class A</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common stock and warrants to be offered by the Selling</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Securityholders. With respect to shares of Class A common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stock underlying the warrants, we will not receive any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proceeds from such shares except with respect to amounts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received by us upon exercise of such warrants to the extent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such warrants are exercised for cash.</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Lock-up Restrictions</w:t>
      </w:r>
      <w:r>
        <w:rPr>
          <w:sz w:val="20"/>
          <w:szCs w:val="20"/>
          <w:color w:val="auto"/>
        </w:rPr>
        <w:tab/>
      </w:r>
      <w:r>
        <w:rPr>
          <w:rFonts w:ascii="Arial" w:cs="Arial" w:eastAsia="Arial" w:hAnsi="Arial"/>
          <w:sz w:val="17"/>
          <w:szCs w:val="17"/>
          <w:color w:val="auto"/>
        </w:rPr>
        <w:t>Certain of our stockholders are subject to certain restrictions</w:t>
      </w:r>
    </w:p>
    <w:p>
      <w:pPr>
        <w:spacing w:after="0" w:line="23"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on transfer until the termination of applicable lock-up periods.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Plan of Distribution — Lock-Up Agreements</w:t>
      </w:r>
      <w:r>
        <w:rPr>
          <w:rFonts w:ascii="Arial" w:cs="Arial" w:eastAsia="Arial" w:hAnsi="Arial"/>
          <w:sz w:val="17"/>
          <w:szCs w:val="17"/>
          <w:color w:val="auto"/>
        </w:rPr>
        <w:t>” for further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discussion.</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Nasdaq Global Select Market Ticker</w:t>
      </w:r>
    </w:p>
    <w:p>
      <w:pPr>
        <w:spacing w:after="0" w:line="23" w:lineRule="exact"/>
        <w:rPr>
          <w:sz w:val="20"/>
          <w:szCs w:val="20"/>
          <w:color w:val="auto"/>
        </w:rPr>
      </w:pPr>
    </w:p>
    <w:p>
      <w:pPr>
        <w:ind w:left="1460"/>
        <w:spacing w:after="0"/>
        <w:tabs>
          <w:tab w:leader="none" w:pos="4720" w:val="left"/>
        </w:tabs>
        <w:rPr>
          <w:sz w:val="20"/>
          <w:szCs w:val="20"/>
          <w:color w:val="auto"/>
        </w:rPr>
      </w:pPr>
      <w:r>
        <w:rPr>
          <w:rFonts w:ascii="Arial" w:cs="Arial" w:eastAsia="Arial" w:hAnsi="Arial"/>
          <w:sz w:val="18"/>
          <w:szCs w:val="18"/>
          <w:color w:val="auto"/>
        </w:rPr>
        <w:t>Symbols</w:t>
      </w:r>
      <w:r>
        <w:rPr>
          <w:sz w:val="20"/>
          <w:szCs w:val="20"/>
          <w:color w:val="auto"/>
        </w:rPr>
        <w:tab/>
      </w:r>
      <w:r>
        <w:rPr>
          <w:rFonts w:ascii="Arial" w:cs="Arial" w:eastAsia="Arial" w:hAnsi="Arial"/>
          <w:sz w:val="18"/>
          <w:szCs w:val="18"/>
          <w:color w:val="auto"/>
        </w:rPr>
        <w:t>“LCID” and “LCIDW” for Class A common stock and Public</w:t>
      </w:r>
    </w:p>
    <w:p>
      <w:pPr>
        <w:spacing w:after="0" w:line="9" w:lineRule="exact"/>
        <w:rPr>
          <w:sz w:val="20"/>
          <w:szCs w:val="20"/>
          <w:color w:val="auto"/>
        </w:rPr>
      </w:pPr>
    </w:p>
    <w:p>
      <w:pPr>
        <w:jc w:val="center"/>
        <w:ind w:right="-1260"/>
        <w:spacing w:after="0"/>
        <w:rPr>
          <w:sz w:val="20"/>
          <w:szCs w:val="20"/>
          <w:color w:val="auto"/>
        </w:rPr>
      </w:pPr>
      <w:r>
        <w:rPr>
          <w:rFonts w:ascii="Arial" w:cs="Arial" w:eastAsia="Arial" w:hAnsi="Arial"/>
          <w:sz w:val="18"/>
          <w:szCs w:val="18"/>
          <w:color w:val="auto"/>
        </w:rPr>
        <w:t>Warrants, respectively</w:t>
      </w:r>
    </w:p>
    <w:p>
      <w:pPr>
        <w:spacing w:after="0" w:line="130" w:lineRule="exact"/>
        <w:rPr>
          <w:sz w:val="20"/>
          <w:szCs w:val="20"/>
          <w:color w:val="auto"/>
        </w:rPr>
      </w:pPr>
    </w:p>
    <w:p>
      <w:pPr>
        <w:ind w:left="1280" w:right="499" w:firstLine="360"/>
        <w:spacing w:after="0" w:line="279" w:lineRule="auto"/>
        <w:rPr>
          <w:sz w:val="20"/>
          <w:szCs w:val="20"/>
          <w:color w:val="auto"/>
        </w:rPr>
      </w:pPr>
      <w:r>
        <w:rPr>
          <w:rFonts w:ascii="Arial" w:cs="Arial" w:eastAsia="Arial" w:hAnsi="Arial"/>
          <w:sz w:val="17"/>
          <w:szCs w:val="17"/>
          <w:color w:val="auto"/>
        </w:rPr>
        <w:t>Unless we specifically state otherwise or the context otherwise requires, the information above is as of the Closing Date, does not give effect to issuances of our Class A common stock, warrants or options to purchase shares of our Class A common stock or RSUs covering shares of our Class A common stock after such date, or the exercise of warrants or options or the settlement of RSUs after such date, and excludes:</w:t>
      </w:r>
    </w:p>
    <w:p>
      <w:pPr>
        <w:spacing w:after="0" w:line="63" w:lineRule="exact"/>
        <w:rPr>
          <w:sz w:val="20"/>
          <w:szCs w:val="20"/>
          <w:color w:val="auto"/>
        </w:rPr>
      </w:pPr>
    </w:p>
    <w:p>
      <w:pPr>
        <w:ind w:left="1820" w:right="1199" w:hanging="182"/>
        <w:spacing w:after="0" w:line="342" w:lineRule="auto"/>
        <w:tabs>
          <w:tab w:leader="none" w:pos="1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85,750,000 shares of our Class A common stock issuable upon the exercise of our warrants outstanding as of the Closing Date, each with an exercise price of $11.50 per share;</w:t>
      </w:r>
    </w:p>
    <w:p>
      <w:pPr>
        <w:spacing w:after="0" w:line="15" w:lineRule="exact"/>
        <w:rPr>
          <w:rFonts w:ascii="Arial" w:cs="Arial" w:eastAsia="Arial" w:hAnsi="Arial"/>
          <w:sz w:val="16"/>
          <w:szCs w:val="16"/>
          <w:color w:val="auto"/>
        </w:rPr>
      </w:pPr>
    </w:p>
    <w:p>
      <w:pPr>
        <w:ind w:left="1820" w:right="939" w:hanging="182"/>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21,644 shares of Class A common stock that were validly redeemed in connection with the Transactions;</w:t>
      </w:r>
    </w:p>
    <w:p>
      <w:pPr>
        <w:spacing w:after="0" w:line="62" w:lineRule="exact"/>
        <w:rPr>
          <w:rFonts w:ascii="Arial" w:cs="Arial" w:eastAsia="Arial" w:hAnsi="Arial"/>
          <w:sz w:val="18"/>
          <w:szCs w:val="18"/>
          <w:color w:val="auto"/>
        </w:rPr>
      </w:pPr>
    </w:p>
    <w:p>
      <w:pPr>
        <w:ind w:left="1820" w:right="1019" w:hanging="182"/>
        <w:spacing w:after="0" w:line="342" w:lineRule="auto"/>
        <w:tabs>
          <w:tab w:leader="none" w:pos="1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68,121,210 shares of our Class A common stock issuable upon the exercise of stock options outstanding as of the Closing Date with a weighted average exercise price of $1.10 per share;</w:t>
      </w:r>
    </w:p>
    <w:p>
      <w:pPr>
        <w:spacing w:after="0" w:line="15" w:lineRule="exact"/>
        <w:rPr>
          <w:rFonts w:ascii="Arial" w:cs="Arial" w:eastAsia="Arial" w:hAnsi="Arial"/>
          <w:sz w:val="16"/>
          <w:szCs w:val="16"/>
          <w:color w:val="auto"/>
        </w:rPr>
      </w:pPr>
    </w:p>
    <w:p>
      <w:pPr>
        <w:ind w:left="1820" w:hanging="182"/>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43,409,870 shares subject to RSUs (as defined below) outstanding as of the Closing Date; and</w:t>
      </w:r>
    </w:p>
    <w:p>
      <w:pPr>
        <w:spacing w:after="0" w:line="117" w:lineRule="exact"/>
        <w:rPr>
          <w:rFonts w:ascii="Arial" w:cs="Arial" w:eastAsia="Arial" w:hAnsi="Arial"/>
          <w:sz w:val="18"/>
          <w:szCs w:val="18"/>
          <w:color w:val="auto"/>
        </w:rPr>
      </w:pPr>
    </w:p>
    <w:p>
      <w:pPr>
        <w:ind w:left="1820" w:right="559" w:hanging="182"/>
        <w:spacing w:after="0" w:line="255"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22,953,890 shares of our Class A common stock reserved for future issuance under the Incentive Plan, including under the ESPP Addendum, as well as: (i) any automatic increases in the number of shares of Class A common stock reserved for future issuance under the Incentive Plan and (ii) upon the forfeiture, termination, expiration or reacquisition of any shares of Class A common stock underlying outstanding stock awards granted under the Prior Plans (as defined below), an equal number of shares of our Class A common stock.</w:t>
      </w:r>
    </w:p>
    <w:p>
      <w:pPr>
        <w:spacing w:after="0" w:line="125" w:lineRule="exact"/>
        <w:rPr>
          <w:sz w:val="20"/>
          <w:szCs w:val="20"/>
          <w:color w:val="auto"/>
        </w:rPr>
      </w:pPr>
    </w:p>
    <w:p>
      <w:pPr>
        <w:ind w:left="1280" w:right="719" w:firstLine="360"/>
        <w:spacing w:after="0" w:line="263" w:lineRule="auto"/>
        <w:rPr>
          <w:sz w:val="20"/>
          <w:szCs w:val="20"/>
          <w:color w:val="auto"/>
        </w:rPr>
      </w:pPr>
      <w:r>
        <w:rPr>
          <w:rFonts w:ascii="Arial" w:cs="Arial" w:eastAsia="Arial" w:hAnsi="Arial"/>
          <w:sz w:val="18"/>
          <w:szCs w:val="18"/>
          <w:color w:val="auto"/>
        </w:rPr>
        <w:t>Unless the context otherwise requires or otherwise indicated, the outstanding shares set forth in this prospectus include the unvested shares of Class A common stock held by the Sponsor and described elsewhere in this prospectus.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199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819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Risk Factor Summary</w:t>
      </w:r>
    </w:p>
    <w:p>
      <w:pPr>
        <w:spacing w:after="0" w:line="148" w:lineRule="exact"/>
        <w:rPr>
          <w:sz w:val="20"/>
          <w:szCs w:val="20"/>
          <w:color w:val="auto"/>
        </w:rPr>
      </w:pPr>
    </w:p>
    <w:p>
      <w:pPr>
        <w:ind w:left="1280" w:right="439" w:firstLine="360"/>
        <w:spacing w:after="0" w:line="254" w:lineRule="auto"/>
        <w:rPr>
          <w:sz w:val="20"/>
          <w:szCs w:val="20"/>
          <w:color w:val="auto"/>
        </w:rPr>
      </w:pPr>
      <w:r>
        <w:rPr>
          <w:rFonts w:ascii="Arial" w:cs="Arial" w:eastAsia="Arial" w:hAnsi="Arial"/>
          <w:sz w:val="18"/>
          <w:szCs w:val="18"/>
          <w:i w:val="1"/>
          <w:iCs w:val="1"/>
          <w:color w:val="auto"/>
        </w:rPr>
        <w:t>Our business is subject to numerous risks and uncertainties, including those highlighted in the section titled “Risk Factors,” that represent challenges that we face in connection with the successful implementation of our strategy and growth of our business. The occurrence of one or more of the events or circumstances described in the section titled “Risk Factors,” alone or in combination with other events or circumstances, may adversely affect our ability realize the anticipated benefits of the Transactions, and may have an adverse effect on our business, cash flows, financial condition and results of operations. Such risks include, but are not limited to:</w:t>
      </w:r>
    </w:p>
    <w:p>
      <w:pPr>
        <w:spacing w:after="0" w:line="87" w:lineRule="exact"/>
        <w:rPr>
          <w:sz w:val="20"/>
          <w:szCs w:val="20"/>
          <w:color w:val="auto"/>
        </w:rPr>
      </w:pPr>
    </w:p>
    <w:p>
      <w:pPr>
        <w:ind w:left="1820" w:right="77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ongoing COVID-19 pandemic has adversely affected our business, results of operations and financial condition.</w:t>
      </w:r>
    </w:p>
    <w:p>
      <w:pPr>
        <w:spacing w:after="0" w:line="62" w:lineRule="exact"/>
        <w:rPr>
          <w:rFonts w:ascii="Arial" w:cs="Arial" w:eastAsia="Arial" w:hAnsi="Arial"/>
          <w:sz w:val="18"/>
          <w:szCs w:val="18"/>
          <w:color w:val="auto"/>
        </w:rPr>
      </w:pPr>
    </w:p>
    <w:p>
      <w:pPr>
        <w:ind w:left="1820" w:right="65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limited operating history makes evaluating its business and future prospects difficult and may increase the risk of your investment.</w:t>
      </w:r>
    </w:p>
    <w:p>
      <w:pPr>
        <w:spacing w:after="0" w:line="62" w:lineRule="exact"/>
        <w:rPr>
          <w:rFonts w:ascii="Arial" w:cs="Arial" w:eastAsia="Arial" w:hAnsi="Arial"/>
          <w:sz w:val="18"/>
          <w:szCs w:val="18"/>
          <w:color w:val="auto"/>
        </w:rPr>
      </w:pPr>
    </w:p>
    <w:p>
      <w:pPr>
        <w:ind w:left="1820" w:right="67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net losses each year since our inception and expect to incur increasing expenses and substantial losses for the foreseeable future.</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adequately control the substantial costs associated with our operations.</w:t>
      </w:r>
    </w:p>
    <w:p>
      <w:pPr>
        <w:spacing w:after="0" w:line="117" w:lineRule="exact"/>
        <w:rPr>
          <w:rFonts w:ascii="Arial" w:cs="Arial" w:eastAsia="Arial" w:hAnsi="Arial"/>
          <w:sz w:val="18"/>
          <w:szCs w:val="18"/>
          <w:color w:val="auto"/>
        </w:rPr>
      </w:pPr>
    </w:p>
    <w:p>
      <w:pPr>
        <w:ind w:left="1820" w:right="91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received only a limited number of reservations for the Lucid Air, all of which may be cancelled.</w:t>
      </w:r>
    </w:p>
    <w:p>
      <w:pPr>
        <w:spacing w:after="0" w:line="62" w:lineRule="exact"/>
        <w:rPr>
          <w:rFonts w:ascii="Arial" w:cs="Arial" w:eastAsia="Arial" w:hAnsi="Arial"/>
          <w:sz w:val="18"/>
          <w:szCs w:val="18"/>
          <w:color w:val="auto"/>
        </w:rPr>
      </w:pPr>
    </w:p>
    <w:p>
      <w:pPr>
        <w:ind w:left="1820" w:right="117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automotive industry has significant barriers to entry that we must overcome in order to manufacture and sell electric vehicles at scale.</w:t>
      </w:r>
    </w:p>
    <w:p>
      <w:pPr>
        <w:spacing w:after="0" w:line="62" w:lineRule="exact"/>
        <w:rPr>
          <w:rFonts w:ascii="Arial" w:cs="Arial" w:eastAsia="Arial" w:hAnsi="Arial"/>
          <w:sz w:val="18"/>
          <w:szCs w:val="18"/>
          <w:color w:val="auto"/>
        </w:rPr>
      </w:pPr>
    </w:p>
    <w:p>
      <w:pPr>
        <w:ind w:left="1820" w:right="77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automotive market is highly competitive, and we may not be successful in competing in this industry.</w:t>
      </w:r>
    </w:p>
    <w:p>
      <w:pPr>
        <w:spacing w:after="0" w:line="62" w:lineRule="exact"/>
        <w:rPr>
          <w:rFonts w:ascii="Arial" w:cs="Arial" w:eastAsia="Arial" w:hAnsi="Arial"/>
          <w:sz w:val="18"/>
          <w:szCs w:val="18"/>
          <w:color w:val="auto"/>
        </w:rPr>
      </w:pPr>
    </w:p>
    <w:p>
      <w:pPr>
        <w:ind w:left="1820" w:right="47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initially depend on revenue generated from a single model and in the foreseeable future will be significantly dependent on a limited number of models.</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not have a third-party retail product distribution network.</w:t>
      </w:r>
    </w:p>
    <w:p>
      <w:pPr>
        <w:spacing w:after="0" w:line="117" w:lineRule="exact"/>
        <w:rPr>
          <w:rFonts w:ascii="Arial" w:cs="Arial" w:eastAsia="Arial" w:hAnsi="Arial"/>
          <w:sz w:val="18"/>
          <w:szCs w:val="18"/>
          <w:color w:val="auto"/>
        </w:rPr>
      </w:pPr>
    </w:p>
    <w:p>
      <w:pPr>
        <w:ind w:left="1820" w:right="459" w:hanging="182"/>
        <w:spacing w:after="0" w:line="308"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experienced and may in the future experience significant delays in the design, manufacture, launch and financing of the Lucid Air, which could harm its business and prospects.</w:t>
      </w:r>
    </w:p>
    <w:p>
      <w:pPr>
        <w:spacing w:after="0" w:line="38" w:lineRule="exact"/>
        <w:rPr>
          <w:rFonts w:ascii="Arial" w:cs="Arial" w:eastAsia="Arial" w:hAnsi="Arial"/>
          <w:sz w:val="17"/>
          <w:szCs w:val="17"/>
          <w:color w:val="auto"/>
        </w:rPr>
      </w:pPr>
    </w:p>
    <w:p>
      <w:pPr>
        <w:ind w:left="1820" w:right="99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vehicles fail to perform as expected, our ability to develop, market and sell or lease our products could be harmed.</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challenges providing charging solutions for our vehicles.</w:t>
      </w:r>
    </w:p>
    <w:p>
      <w:pPr>
        <w:spacing w:after="0" w:line="117" w:lineRule="exact"/>
        <w:rPr>
          <w:rFonts w:ascii="Arial" w:cs="Arial" w:eastAsia="Arial" w:hAnsi="Arial"/>
          <w:sz w:val="18"/>
          <w:szCs w:val="18"/>
          <w:color w:val="auto"/>
        </w:rPr>
      </w:pPr>
    </w:p>
    <w:p>
      <w:pPr>
        <w:jc w:val="both"/>
        <w:ind w:left="1820" w:right="459" w:hanging="182"/>
        <w:spacing w:after="0" w:line="263"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no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75" w:lineRule="exact"/>
        <w:rPr>
          <w:rFonts w:ascii="Arial" w:cs="Arial" w:eastAsia="Arial" w:hAnsi="Arial"/>
          <w:sz w:val="18"/>
          <w:szCs w:val="18"/>
          <w:color w:val="auto"/>
        </w:rPr>
      </w:pPr>
    </w:p>
    <w:p>
      <w:pPr>
        <w:jc w:val="both"/>
        <w:ind w:left="1820" w:right="939" w:hanging="182"/>
        <w:spacing w:after="0" w:line="263"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no experience to date in high volume manufacture of our vehicles.</w:t>
      </w:r>
    </w:p>
    <w:p>
      <w:pPr>
        <w:spacing w:after="0" w:line="117" w:lineRule="exact"/>
        <w:rPr>
          <w:rFonts w:ascii="Arial" w:cs="Arial" w:eastAsia="Arial" w:hAnsi="Arial"/>
          <w:sz w:val="18"/>
          <w:szCs w:val="18"/>
          <w:color w:val="auto"/>
        </w:rPr>
      </w:pPr>
    </w:p>
    <w:p>
      <w:pPr>
        <w:ind w:left="1820" w:right="559" w:hanging="182"/>
        <w:spacing w:after="0" w:line="308" w:lineRule="auto"/>
        <w:tabs>
          <w:tab w:leader="none" w:pos="1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fail to successfully tool our manufacturing facilities or if our manufacturing facilities become inoperable, we will be unable to produce our vehicles and our business will be harmed.</w:t>
      </w:r>
    </w:p>
    <w:p>
      <w:pPr>
        <w:spacing w:after="0" w:line="38" w:lineRule="exact"/>
        <w:rPr>
          <w:rFonts w:ascii="Arial" w:cs="Arial" w:eastAsia="Arial" w:hAnsi="Arial"/>
          <w:sz w:val="17"/>
          <w:szCs w:val="17"/>
          <w:color w:val="auto"/>
        </w:rPr>
      </w:pPr>
    </w:p>
    <w:p>
      <w:pPr>
        <w:ind w:left="1820" w:right="779" w:hanging="182"/>
        <w:spacing w:after="0" w:line="259"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start production and our future growth depend upon our ability to maintain relationships with our existing suppliers and source suppliers for our critical components, and to complete building out our supply chain, while effectively managing the risks due to such relationships.</w:t>
      </w:r>
    </w:p>
    <w:p>
      <w:pPr>
        <w:spacing w:after="0" w:line="78" w:lineRule="exact"/>
        <w:rPr>
          <w:rFonts w:ascii="Arial" w:cs="Arial" w:eastAsia="Arial" w:hAnsi="Arial"/>
          <w:sz w:val="18"/>
          <w:szCs w:val="18"/>
          <w:color w:val="auto"/>
        </w:rPr>
      </w:pPr>
    </w:p>
    <w:p>
      <w:pPr>
        <w:ind w:left="1820" w:right="779" w:hanging="182"/>
        <w:spacing w:after="0" w:line="25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could have a material adverse effect on our results of operations and financial condition.</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599" w:hanging="182"/>
        <w:spacing w:after="0" w:line="259"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78" w:lineRule="exact"/>
        <w:rPr>
          <w:rFonts w:ascii="Arial" w:cs="Arial" w:eastAsia="Arial" w:hAnsi="Arial"/>
          <w:sz w:val="18"/>
          <w:szCs w:val="18"/>
          <w:color w:val="auto"/>
        </w:rPr>
      </w:pPr>
    </w:p>
    <w:p>
      <w:pPr>
        <w:ind w:left="1820" w:right="49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costs, disruption of supply or shortage of materials, in particular for lithium-ion cells or semiconductors, could harm our business.</w:t>
      </w:r>
    </w:p>
    <w:p>
      <w:pPr>
        <w:spacing w:after="0" w:line="62" w:lineRule="exact"/>
        <w:rPr>
          <w:rFonts w:ascii="Arial" w:cs="Arial" w:eastAsia="Arial" w:hAnsi="Arial"/>
          <w:sz w:val="18"/>
          <w:szCs w:val="18"/>
          <w:color w:val="auto"/>
        </w:rPr>
      </w:pPr>
    </w:p>
    <w:p>
      <w:pPr>
        <w:ind w:left="1820" w:right="539" w:hanging="182"/>
        <w:spacing w:after="0" w:line="259"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78" w:lineRule="exact"/>
        <w:rPr>
          <w:rFonts w:ascii="Arial" w:cs="Arial" w:eastAsia="Arial" w:hAnsi="Arial"/>
          <w:sz w:val="18"/>
          <w:szCs w:val="18"/>
          <w:color w:val="auto"/>
        </w:rPr>
      </w:pPr>
    </w:p>
    <w:p>
      <w:pPr>
        <w:ind w:left="1820" w:right="87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key personnel or an inability to attract, retain and motivate qualified personnel may impair our ability to expand our business.</w:t>
      </w:r>
    </w:p>
    <w:p>
      <w:pPr>
        <w:spacing w:after="0" w:line="62" w:lineRule="exact"/>
        <w:rPr>
          <w:rFonts w:ascii="Arial" w:cs="Arial" w:eastAsia="Arial" w:hAnsi="Arial"/>
          <w:sz w:val="18"/>
          <w:szCs w:val="18"/>
          <w:color w:val="auto"/>
        </w:rPr>
      </w:pPr>
    </w:p>
    <w:p>
      <w:pPr>
        <w:ind w:left="1820" w:right="53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highly dependent on the services of Peter Rawlinson, our Chief Executive Officer and Chief Technology Officer.</w:t>
      </w:r>
    </w:p>
    <w:p>
      <w:pPr>
        <w:spacing w:after="0" w:line="62" w:lineRule="exact"/>
        <w:rPr>
          <w:rFonts w:ascii="Arial" w:cs="Arial" w:eastAsia="Arial" w:hAnsi="Arial"/>
          <w:sz w:val="18"/>
          <w:szCs w:val="18"/>
          <w:color w:val="auto"/>
        </w:rPr>
      </w:pPr>
    </w:p>
    <w:p>
      <w:pPr>
        <w:ind w:left="1820" w:right="459" w:hanging="182"/>
        <w:spacing w:after="0" w:line="259"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78" w:lineRule="exact"/>
        <w:rPr>
          <w:rFonts w:ascii="Arial" w:cs="Arial" w:eastAsia="Arial" w:hAnsi="Arial"/>
          <w:sz w:val="18"/>
          <w:szCs w:val="18"/>
          <w:color w:val="auto"/>
        </w:rPr>
      </w:pPr>
    </w:p>
    <w:p>
      <w:pPr>
        <w:ind w:left="1820" w:right="71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face regulatory limitations on our ability to sell vehicles directly, which could materially and adversely affect its ability to sell our vehicles.</w:t>
      </w:r>
    </w:p>
    <w:p>
      <w:pPr>
        <w:spacing w:after="0" w:line="62" w:lineRule="exact"/>
        <w:rPr>
          <w:rFonts w:ascii="Arial" w:cs="Arial" w:eastAsia="Arial" w:hAnsi="Arial"/>
          <w:sz w:val="18"/>
          <w:szCs w:val="18"/>
          <w:color w:val="auto"/>
        </w:rPr>
      </w:pPr>
    </w:p>
    <w:p>
      <w:pPr>
        <w:ind w:left="1820" w:right="399" w:hanging="182"/>
        <w:spacing w:after="0" w:line="259"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fail to adequately obtain, maintain, enforce and protect our intellectual property and may not be able to prevent third parties from unauthorized use of its intellectual property and proprietary technology. If we are unsuccessful in any of the foregoing, our competitive position could be harmed and we could be required to incur significant expenses to enforce our rights.</w:t>
      </w:r>
    </w:p>
    <w:p>
      <w:pPr>
        <w:spacing w:after="0" w:line="78" w:lineRule="exact"/>
        <w:rPr>
          <w:rFonts w:ascii="Arial" w:cs="Arial" w:eastAsia="Arial" w:hAnsi="Arial"/>
          <w:sz w:val="18"/>
          <w:szCs w:val="18"/>
          <w:color w:val="auto"/>
        </w:rPr>
      </w:pPr>
    </w:p>
    <w:p>
      <w:pPr>
        <w:ind w:left="1820" w:right="47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require additional capital to support business growth, and this capital might not be available on commercially reasonable terms, or at all.</w:t>
      </w:r>
    </w:p>
    <w:p>
      <w:pPr>
        <w:spacing w:after="0" w:line="62" w:lineRule="exact"/>
        <w:rPr>
          <w:rFonts w:ascii="Arial" w:cs="Arial" w:eastAsia="Arial" w:hAnsi="Arial"/>
          <w:sz w:val="18"/>
          <w:szCs w:val="18"/>
          <w:color w:val="auto"/>
        </w:rPr>
      </w:pPr>
    </w:p>
    <w:p>
      <w:pPr>
        <w:ind w:left="1820" w:right="419" w:hanging="182"/>
        <w:spacing w:after="0" w:line="275" w:lineRule="auto"/>
        <w:tabs>
          <w:tab w:leader="none" w:pos="1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68" w:lineRule="exact"/>
        <w:rPr>
          <w:rFonts w:ascii="Arial" w:cs="Arial" w:eastAsia="Arial" w:hAnsi="Arial"/>
          <w:sz w:val="17"/>
          <w:szCs w:val="17"/>
          <w:color w:val="auto"/>
        </w:rPr>
      </w:pPr>
    </w:p>
    <w:p>
      <w:pPr>
        <w:ind w:left="1820" w:right="439" w:hanging="182"/>
        <w:spacing w:after="0" w:line="286" w:lineRule="auto"/>
        <w:tabs>
          <w:tab w:leader="none" w:pos="1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57" w:lineRule="exact"/>
        <w:rPr>
          <w:rFonts w:ascii="Arial" w:cs="Arial" w:eastAsia="Arial" w:hAnsi="Arial"/>
          <w:sz w:val="17"/>
          <w:szCs w:val="17"/>
          <w:color w:val="auto"/>
        </w:rPr>
      </w:pPr>
    </w:p>
    <w:p>
      <w:pPr>
        <w:ind w:left="1820" w:right="119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may not continue to list our securities, which could limit investors’ ability to make transactions in our securities and subject us to additional trading restrictions.</w:t>
      </w:r>
    </w:p>
    <w:p>
      <w:pPr>
        <w:spacing w:after="0" w:line="62" w:lineRule="exact"/>
        <w:rPr>
          <w:rFonts w:ascii="Arial" w:cs="Arial" w:eastAsia="Arial" w:hAnsi="Arial"/>
          <w:sz w:val="18"/>
          <w:szCs w:val="18"/>
          <w:color w:val="auto"/>
        </w:rPr>
      </w:pPr>
    </w:p>
    <w:p>
      <w:pPr>
        <w:ind w:left="1820" w:right="73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Sponsor, Ayar and the PIPE Investors beneficially own a significant equity interest in us and may take actions that conflict with your interests.</w:t>
      </w:r>
    </w:p>
    <w:p>
      <w:pPr>
        <w:spacing w:after="0" w:line="62" w:lineRule="exact"/>
        <w:rPr>
          <w:rFonts w:ascii="Arial" w:cs="Arial" w:eastAsia="Arial" w:hAnsi="Arial"/>
          <w:sz w:val="18"/>
          <w:szCs w:val="18"/>
          <w:color w:val="auto"/>
        </w:rPr>
      </w:pPr>
    </w:p>
    <w:p>
      <w:pPr>
        <w:ind w:left="1820" w:right="43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is no guarantee that the warrants will ever be in the money, and they may expire worthless and the terms of our warrants may be amended.</w:t>
      </w:r>
    </w:p>
    <w:p>
      <w:pPr>
        <w:spacing w:after="0" w:line="62" w:lineRule="exact"/>
        <w:rPr>
          <w:rFonts w:ascii="Arial" w:cs="Arial" w:eastAsia="Arial" w:hAnsi="Arial"/>
          <w:sz w:val="18"/>
          <w:szCs w:val="18"/>
          <w:color w:val="auto"/>
        </w:rPr>
      </w:pPr>
    </w:p>
    <w:p>
      <w:pPr>
        <w:ind w:left="1820" w:right="1379" w:hanging="182"/>
        <w:spacing w:after="0" w:line="308" w:lineRule="auto"/>
        <w:tabs>
          <w:tab w:leader="none" w:pos="1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Churchill’s due diligence investigation of the Lucid business was inadequate, then our stockholders following the Transactions could lose some or all of their investment.</w:t>
      </w:r>
    </w:p>
    <w:p>
      <w:pPr>
        <w:spacing w:after="0" w:line="38" w:lineRule="exact"/>
        <w:rPr>
          <w:rFonts w:ascii="Arial" w:cs="Arial" w:eastAsia="Arial" w:hAnsi="Arial"/>
          <w:sz w:val="17"/>
          <w:szCs w:val="17"/>
          <w:color w:val="auto"/>
        </w:rPr>
      </w:pPr>
    </w:p>
    <w:p>
      <w:pPr>
        <w:ind w:left="1820" w:right="439" w:hanging="182"/>
        <w:spacing w:after="0" w:line="277" w:lineRule="auto"/>
        <w:tabs>
          <w:tab w:leader="none" w:pos="1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market for our securities may not continue, which would adversely affect the liquidity and price of our securities.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i w:val="1"/>
          <w:iCs w:val="1"/>
          <w:color w:val="auto"/>
        </w:rPr>
        <w:t>An investment in our securities involves a high degree of risk. You should carefully consider the following risk factors, in addition to the risks and uncertainties discussed above under “Cautionary Note Regarding Forward-Looking Statements,” together with all of the other information included in this prospectus or any accompanying prospectus supplement, before making an investment decision. The occurrence of one or more of the events or circumstances described in these risk factors, alone or in combination with other events or circumstances, may adversely affect our ability to realize the anticipated benefits of the Transactions, and may have an adverse effect on our business, cash flows, financial condition and results of operations. You should also carefully consider the following risk factors in addition to the other information included in this prospectus, including matters addressed in the section entitled “Cautionary Note Regarding Forward -Looking Statements.” We may face additional risks and uncertainties that are not presently known to us that we currently deem immaterial, which may also impair our business or financial condition. The following discussion should be read in conjunction with the financial statements and notes to the financial statements included herein.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9" w:lineRule="exact"/>
        <w:rPr>
          <w:sz w:val="20"/>
          <w:szCs w:val="20"/>
          <w:color w:val="auto"/>
        </w:rPr>
      </w:pPr>
    </w:p>
    <w:p>
      <w:pPr>
        <w:ind w:left="1260" w:right="1119"/>
        <w:spacing w:after="0" w:line="261" w:lineRule="auto"/>
        <w:rPr>
          <w:sz w:val="20"/>
          <w:szCs w:val="20"/>
          <w:color w:val="auto"/>
        </w:rPr>
      </w:pPr>
      <w:r>
        <w:rPr>
          <w:rFonts w:ascii="Arial" w:cs="Arial" w:eastAsia="Arial" w:hAnsi="Arial"/>
          <w:sz w:val="18"/>
          <w:szCs w:val="18"/>
          <w:b w:val="1"/>
          <w:bCs w:val="1"/>
          <w:i w:val="1"/>
          <w:iCs w:val="1"/>
          <w:color w:val="auto"/>
        </w:rPr>
        <w:t>The ongoing COVID-19 pandemic has adversely affected our business, results of operations and financial condition.</w:t>
      </w:r>
    </w:p>
    <w:p>
      <w:pPr>
        <w:spacing w:after="0" w:line="10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The ongoing COVID-19 pandemic poses risks to our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our vehicles, or cancel their refundable deposits for our vehicles. Because of our premium brand positioning and pricing, an economic downturn is likely to have a heightened adverse effect on it, compared to many of its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our suppliers, sub-suppliers or partners become insolvent or are otherwise unable to continue their operations.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113"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The spread of COVID-19 has also periodically disrupted the manufacturing operations of other vehicle manufacturers and their suppliers. Any such disruptions to us or our suppliers could result in delays to our plans to begin commercial production of our first vehicle, the Lucid Air sedan, in the second half of 2021, and could negatively affect our production volume. Our manufacturing operations at a limited number of facilities in Casa Grande, Arizona concentrate these risks.</w:t>
      </w:r>
    </w:p>
    <w:p>
      <w:pPr>
        <w:spacing w:after="0" w:line="10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pandemic has resulted in the imposition of travel bans and restrictions, quarantines, shelter-in-place and stay-at-home orders and business shutdowns, which have contributed to delays in the anticipated production schedule of the Lucid Air. These measures pose numerous operational risks and logistical challenges to our business. For example, we may be required to limit the number of employees and contractors at our manufacturing facilities in Casa Grande, Arizona, which could cause further delays in tooling efforts or in the production schedule of the Lucid Air.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the Lucid Air. Further, our sales and marketing activities have been, and may in the future be, adversely affected due to the cancellation or reduction of in-person sales activities, meetings, events and conferences, and our planned construction and opening of our Lucid Studio sales and service facilities in key markets has been delayed. The transition of some of our personnel to a mostly remote workforce has also increased demand on our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our start-up, manufacturing and sales and distribution plans and timelines.</w:t>
      </w:r>
    </w:p>
    <w:p>
      <w:pPr>
        <w:spacing w:after="0" w:line="37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7"/>
          <w:szCs w:val="17"/>
          <w:color w:val="auto"/>
        </w:rPr>
        <w:t>In addition, the COVID-19 pandemic has resulted in extreme volatility in the global financial markets, which could increase our cost of capital or limit our ability to access financing when it needs it.</w:t>
      </w:r>
    </w:p>
    <w:p>
      <w:pPr>
        <w:spacing w:after="0" w:line="66"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The severity, magnitude and duration of the COVID-19 pandemic and our economic and regulatory consequences are rapidly changing and uncertain. Accordingly, we cannot predict the ultimate impact of the COVID-19 pandemic on our business, financial condition and results of operations.</w:t>
      </w:r>
    </w:p>
    <w:p>
      <w:pPr>
        <w:spacing w:after="0" w:line="164" w:lineRule="exact"/>
        <w:rPr>
          <w:sz w:val="20"/>
          <w:szCs w:val="20"/>
          <w:color w:val="auto"/>
        </w:rPr>
      </w:pPr>
    </w:p>
    <w:p>
      <w:pPr>
        <w:ind w:left="1260" w:right="399"/>
        <w:spacing w:after="0" w:line="261" w:lineRule="auto"/>
        <w:rPr>
          <w:sz w:val="20"/>
          <w:szCs w:val="20"/>
          <w:color w:val="auto"/>
        </w:rPr>
      </w:pPr>
      <w:r>
        <w:rPr>
          <w:rFonts w:ascii="Arial" w:cs="Arial" w:eastAsia="Arial" w:hAnsi="Arial"/>
          <w:sz w:val="18"/>
          <w:szCs w:val="18"/>
          <w:b w:val="1"/>
          <w:bCs w:val="1"/>
          <w:i w:val="1"/>
          <w:iCs w:val="1"/>
          <w:color w:val="auto"/>
        </w:rPr>
        <w:t>Our limited operating history makes evaluating our business and future prospects difficult and may increase the risk of your investment.</w:t>
      </w:r>
    </w:p>
    <w:p>
      <w:pPr>
        <w:spacing w:after="0" w:line="103"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7"/>
          <w:szCs w:val="17"/>
          <w:color w:val="auto"/>
        </w:rPr>
        <w:t>We are an early-stage company with a limited operating history, operating in a rapidly evolving and highly regulated market. Furthermore, we have not yet released a commercially available vehicle, and we have no experience manufacturing or selling a commercial product at scale. Because we have yet to generate revenue from the sale of electric vehicles, and as a result of the capital-intensive nature of our business, we expect to continue to incur substantial operating losses for the foreseeable future.</w:t>
      </w:r>
    </w:p>
    <w:p>
      <w:pPr>
        <w:spacing w:after="0" w:line="106"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We have encountered and expect to continue to encounter risks and uncertainties frequently experienced by early-stage companies in rapidly changing markets, including risks relating to our ability to, among other things:</w:t>
      </w:r>
    </w:p>
    <w:p>
      <w:pPr>
        <w:spacing w:after="0" w:line="60" w:lineRule="exact"/>
        <w:rPr>
          <w:sz w:val="20"/>
          <w:szCs w:val="20"/>
          <w:color w:val="auto"/>
        </w:rPr>
      </w:pPr>
    </w:p>
    <w:p>
      <w:pPr>
        <w:ind w:left="1800" w:right="77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launch commercial production and sales of the Lucid Air on the timing and with the specifications we had planned;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hire, integrate and retain professional and technical talent, including key members of management;</w:t>
      </w:r>
    </w:p>
    <w:p>
      <w:pPr>
        <w:spacing w:after="0" w:line="128" w:lineRule="exact"/>
        <w:rPr>
          <w:rFonts w:ascii="Arial" w:cs="Arial" w:eastAsia="Arial" w:hAnsi="Arial"/>
          <w:sz w:val="17"/>
          <w:szCs w:val="17"/>
          <w:color w:val="auto"/>
        </w:rPr>
      </w:pPr>
    </w:p>
    <w:p>
      <w:pPr>
        <w:ind w:left="1800" w:right="67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make significant investments in research, development, manufacturing, marketing and sales;</w:t>
      </w:r>
    </w:p>
    <w:p>
      <w:pPr>
        <w:spacing w:after="0" w:line="62"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obtain, maintain, protect and enforce our intellectual property and defend against claims of intellectual property infringement, misappropriation or other violation;</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build a well-recognized and respected brand;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and refine our commercial manufacturing capabilities and distribution infrastructure;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and maintain satisfactory arrangements with third-party suppliers;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and expand a customer base;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navigate an evolving and complex regulatory environment;</w:t>
      </w:r>
    </w:p>
    <w:p>
      <w:pPr>
        <w:spacing w:after="0" w:line="117" w:lineRule="exact"/>
        <w:rPr>
          <w:rFonts w:ascii="Arial" w:cs="Arial" w:eastAsia="Arial" w:hAnsi="Arial"/>
          <w:sz w:val="18"/>
          <w:szCs w:val="18"/>
          <w:color w:val="auto"/>
        </w:rPr>
      </w:pPr>
    </w:p>
    <w:p>
      <w:pPr>
        <w:ind w:left="1800" w:right="519" w:hanging="180"/>
        <w:spacing w:after="0" w:line="308" w:lineRule="auto"/>
        <w:tabs>
          <w:tab w:leader="none" w:pos="1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anticipate and adapt to changing market conditions, including consumer demand for certain vehicle types, models or trim levels, technological developments and changes in competitive landscape; and</w:t>
      </w:r>
    </w:p>
    <w:p>
      <w:pPr>
        <w:spacing w:after="0" w:line="38" w:lineRule="exact"/>
        <w:rPr>
          <w:rFonts w:ascii="Arial" w:cs="Arial" w:eastAsia="Arial" w:hAnsi="Arial"/>
          <w:sz w:val="17"/>
          <w:szCs w:val="17"/>
          <w:color w:val="auto"/>
        </w:rPr>
      </w:pPr>
    </w:p>
    <w:p>
      <w:pPr>
        <w:ind w:left="1800" w:right="75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design, build, manufacture and market new models of electric vehicles to follow the Lucid Air.</w:t>
      </w:r>
    </w:p>
    <w:p>
      <w:pPr>
        <w:spacing w:after="0" w:line="170"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b w:val="1"/>
          <w:bCs w:val="1"/>
          <w:i w:val="1"/>
          <w:iCs w:val="1"/>
          <w:color w:val="auto"/>
        </w:rPr>
        <w:t>We have incurred net losses each year since our inception and expect to incur increasing expenses and substantial losses for the foreseeable future.</w:t>
      </w:r>
    </w:p>
    <w:p>
      <w:pPr>
        <w:spacing w:after="0" w:line="90"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We have incurred net losses each year since our inception, including net loss attributable to common shareholders of approximately $3,177.0 million for the six months ended June 30, 2021 and $705.6 million for the year ended December 31, 2020. As of June 30, 2021, our accumulated deficit was approximately $4,495.8 million. We expect to continue to incur substantial losses and increasing expenses in the foreseeable future as we:</w:t>
      </w:r>
    </w:p>
    <w:p>
      <w:pPr>
        <w:spacing w:after="0" w:line="81" w:lineRule="exact"/>
        <w:rPr>
          <w:sz w:val="20"/>
          <w:szCs w:val="20"/>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design and develop and begins to manufacture our vehicles;</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equip and expand our manufacturing facilities to produce our vehicles in Arizona, and potentially in international locations;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up inventories of parts and components for our vehicles;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manufacture an available inventory of our vehicles;</w:t>
      </w: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and deploy vehicle charging partnerships;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design, research, development, maintenance and repair capabilities;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sales and marketing activities and develop our distribution infrastructure; and</w:t>
      </w:r>
    </w:p>
    <w:p>
      <w:pPr>
        <w:spacing w:after="0" w:line="117"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growing operations and status as a public company.</w:t>
      </w:r>
    </w:p>
    <w:p>
      <w:pPr>
        <w:spacing w:after="0" w:line="103"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If our product development or commercialization is delayed, our costs and expenses may be significantly higher than we currently expect. Because we will incur the costs and expenses from these efforts before we receive any incremental revenues with respect thereto, we expect our losses in future periods will be significant. Our ability to generate product revenues will depend on our ability to finalize and begin commercial production of the Lucid Air, which we do not expect will occur until the second half of 2021, and we may never achieve profitability.</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be unable to adequately control the substantial costs associated with our operations.</w:t>
      </w:r>
    </w:p>
    <w:p>
      <w:pPr>
        <w:spacing w:after="0" w:line="14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tooling and expanding our manufacturing facilities; research and development expenses (including expenses related to the development of the Lucid Air, the Project Gravity SUV and other future products), raw material procurement costs; and general and administrative expenses as we scale our operations and incur the costs of being a public company. In addition, we expect to incur significant costs servicing and maintaining customers’ vehicles, including establishing our service operations and facilities. As a company, we do not have historical experience forecasting and budgeting for any of these expenses, and these expenses could be significantly higher than we currently anticipate. In addition, any delays in the start of production,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121"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In the longer term, our ability to become profitable in the future will depend on our ability not only to control costs, but also to sell in quantities and at prices sufficient to achieve our expected margins. If we are unable to cost-efficiently design, manufacture, market, sell, distribute and service our vehicles, our margins, profitability and prospects will be materially and adversely affected.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We have received only a limited number of reservations for the Lucid Air, all of which may be cancelled.</w:t>
      </w:r>
    </w:p>
    <w:p>
      <w:pPr>
        <w:spacing w:after="0" w:line="15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As of June 30, 2021, we had reservations for more than 10,000 units of our first vehicle, the Lucid Air, with fully refundable deposits. Our customers may cancel their reservations without penalty and for any reason until they place an order for their vehicle. In addition, any further delays in the expected start of production of the Lucid Air could result in significant customer cancellations. No assurance can be given that reservations will not be cancelled and will ultimately result in the final purchase, delivery and sale or lease of vehicles. Accordingly, the number of reservations has significant limitations as a measure of demand for our vehicles, including demand for particular body styles, models or trim levels, or for future vehicle sales. If we encounter delays in the start of production of the Lucid Air that further lengthen wait times, a significant number of reservations may be cancelled.</w:t>
      </w:r>
    </w:p>
    <w:p>
      <w:pPr>
        <w:spacing w:after="0" w:line="184" w:lineRule="exact"/>
        <w:rPr>
          <w:sz w:val="20"/>
          <w:szCs w:val="20"/>
          <w:color w:val="auto"/>
        </w:rPr>
      </w:pPr>
    </w:p>
    <w:p>
      <w:pPr>
        <w:ind w:left="1260" w:right="639"/>
        <w:spacing w:after="0" w:line="261" w:lineRule="auto"/>
        <w:rPr>
          <w:sz w:val="20"/>
          <w:szCs w:val="20"/>
          <w:color w:val="auto"/>
        </w:rPr>
      </w:pPr>
      <w:r>
        <w:rPr>
          <w:rFonts w:ascii="Arial" w:cs="Arial" w:eastAsia="Arial" w:hAnsi="Arial"/>
          <w:sz w:val="18"/>
          <w:szCs w:val="18"/>
          <w:b w:val="1"/>
          <w:bCs w:val="1"/>
          <w:i w:val="1"/>
          <w:iCs w:val="1"/>
          <w:color w:val="auto"/>
        </w:rPr>
        <w:t>The automotive industry has significant barriers to entry that we must overcome in order to manufacture and sell electric vehicles at scale.</w:t>
      </w:r>
    </w:p>
    <w:p>
      <w:pPr>
        <w:spacing w:after="0" w:line="90" w:lineRule="exact"/>
        <w:rPr>
          <w:sz w:val="20"/>
          <w:szCs w:val="20"/>
          <w:color w:val="auto"/>
        </w:rPr>
      </w:pPr>
    </w:p>
    <w:p>
      <w:pPr>
        <w:ind w:left="1260" w:right="699" w:firstLine="360"/>
        <w:spacing w:after="0" w:line="239" w:lineRule="auto"/>
        <w:rPr>
          <w:sz w:val="20"/>
          <w:szCs w:val="20"/>
          <w:color w:val="auto"/>
        </w:rPr>
      </w:pPr>
      <w:r>
        <w:rPr>
          <w:rFonts w:ascii="Arial" w:cs="Arial" w:eastAsia="Arial" w:hAnsi="Arial"/>
          <w:sz w:val="18"/>
          <w:szCs w:val="18"/>
          <w:color w:val="auto"/>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w:t>
      </w: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38" w:lineRule="auto"/>
        <w:rPr>
          <w:sz w:val="20"/>
          <w:szCs w:val="20"/>
          <w:color w:val="auto"/>
        </w:rPr>
      </w:pPr>
      <w:r>
        <w:rPr>
          <w:rFonts w:ascii="Arial" w:cs="Arial" w:eastAsia="Arial" w:hAnsi="Arial"/>
          <w:sz w:val="18"/>
          <w:szCs w:val="18"/>
          <w:color w:val="auto"/>
        </w:rPr>
        <w:t>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prototypes of our electric sedan and have completed the first phase of construction of our commercial manufacturing facility in Casa Grande, Arizona, we have not finished tooling all production lines at our Casa Grande facilities, finalized the design and specifications of the Lucid Air or begun commercial manufacturing processes for the Lucid Air. If we are not able to overcome these barriers, our business, prospects, results of operations and financial condition will be negatively impacted, and our ability to grow our business will be harmed.</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The automotive market is highly competitive, and we may not be successful in competing in this industry.</w:t>
      </w:r>
    </w:p>
    <w:p>
      <w:pPr>
        <w:spacing w:after="0" w:line="167"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The global automotive market, particularly for electric and alternative fuel vehicles, is highly competitive, and we expect it will become even more so in the future. In recent years, the electric vehicle industry has grown, with several companies that focus completely or partially on the electric vehicle market. We expect additional companies to enter this market within the next several years. Electric vehicle manufacturers with which we compete include Tesla as well as an increasing number of U.S.-based and international entrants, many of which have announced plans to begin selling their own electric vehicles in 2021 or 2022. We also compete with established automobile manufacturers in the luxury vehicle segment, many of which have entered or have announced plans to enter the alternative fuel and electric vehicle market with either fully electric or plug -in hybrid versions of their vehicles. We also expect to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new technologies and may be able to design, develop, market and sell their products more effectively than we do. We expect competition in our industry to significantly intensify in the future in light of increased demand for alternative fuel vehicles, continuing globalization, favorable governmental policies,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193"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We will initially depend on revenue generated from a single model and in the foreseeable future will be significantly dependent on a limited number of models.</w:t>
      </w:r>
    </w:p>
    <w:p>
      <w:pPr>
        <w:spacing w:after="0" w:line="103"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We will initially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the end of 2023. We expect to rely on sales from the Lucid Air, among other sources of financing, for the capital that will be required to develop and commercialize those subsequent models. To the extent that production of the Lucid Air is delayed or reduced, or if the Lucid Air is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will not have a third-party retail product distribution network.</w:t>
      </w:r>
    </w:p>
    <w:p>
      <w:pPr>
        <w:spacing w:after="0" w:line="15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Third-party dealer networks are the traditional method of vehicle sales distribution. Because we plan to sell directly to consumers, we will not have a traditional dealer product distribution network. We do not have experience distributing directly to consumers, and we expect that the building of an in-house sales and marketing function, including a physical sales and marketing footprint via our Lucid Studios, will be expensive and time consuming. If our lack of a traditional dealer distribution network results in lost opportunities to generate sales, it could limit our ability to grow. Moreover, our plans to sell directly to consumers may be limited by regulatory constraints. To the extent we are unable to successfully execute on</w:t>
      </w:r>
    </w:p>
    <w:p>
      <w:pPr>
        <w:spacing w:after="0" w:line="35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48" w:lineRule="auto"/>
        <w:rPr>
          <w:sz w:val="20"/>
          <w:szCs w:val="20"/>
          <w:color w:val="auto"/>
        </w:rPr>
      </w:pPr>
      <w:r>
        <w:rPr>
          <w:rFonts w:ascii="Arial" w:cs="Arial" w:eastAsia="Arial" w:hAnsi="Arial"/>
          <w:sz w:val="18"/>
          <w:szCs w:val="18"/>
          <w:color w:val="auto"/>
        </w:rPr>
        <w:t>such plans, we may be required to develop a third-party dealer distribution network, which may prove costly, time-consuming or ineffective. If our use of an in-house sales and marketing team is not effective, our results of operations and financial conditions could be adversely affected.</w:t>
      </w:r>
    </w:p>
    <w:p>
      <w:pPr>
        <w:spacing w:after="0" w:line="182" w:lineRule="exact"/>
        <w:rPr>
          <w:sz w:val="20"/>
          <w:szCs w:val="20"/>
          <w:color w:val="auto"/>
        </w:rPr>
      </w:pPr>
    </w:p>
    <w:p>
      <w:pPr>
        <w:ind w:left="1260" w:right="1099"/>
        <w:spacing w:after="0" w:line="291" w:lineRule="auto"/>
        <w:rPr>
          <w:sz w:val="20"/>
          <w:szCs w:val="20"/>
          <w:color w:val="auto"/>
        </w:rPr>
      </w:pPr>
      <w:r>
        <w:rPr>
          <w:rFonts w:ascii="Arial" w:cs="Arial" w:eastAsia="Arial" w:hAnsi="Arial"/>
          <w:sz w:val="17"/>
          <w:szCs w:val="17"/>
          <w:b w:val="1"/>
          <w:bCs w:val="1"/>
          <w:i w:val="1"/>
          <w:iCs w:val="1"/>
          <w:color w:val="auto"/>
        </w:rPr>
        <w:t>Our sales will depend in part on our ability to establish and maintain confidence in our long-term business prospects among consumers, analysts and others within our industry.</w:t>
      </w:r>
    </w:p>
    <w:p>
      <w:pPr>
        <w:spacing w:after="0" w:line="66"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7"/>
          <w:szCs w:val="17"/>
          <w:color w:val="auto"/>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 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Our ability to generate meaningful product revenue will depend on consumer adoption of electric vehicles.</w:t>
      </w:r>
    </w:p>
    <w:p>
      <w:pPr>
        <w:spacing w:after="0" w:line="181"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We are only developing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factors that may influence the adoption of electric vehicles include:</w:t>
      </w:r>
    </w:p>
    <w:p>
      <w:pPr>
        <w:spacing w:after="0" w:line="117" w:lineRule="exact"/>
        <w:rPr>
          <w:sz w:val="20"/>
          <w:szCs w:val="20"/>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perceptions about electric vehicle quality, safety, design, performance and cost;</w:t>
      </w:r>
    </w:p>
    <w:p>
      <w:pPr>
        <w:spacing w:after="0" w:line="103"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perceptions about the limited range over which electric vehicles may be driven on a single battery charge;</w:t>
      </w:r>
    </w:p>
    <w:p>
      <w:pPr>
        <w:spacing w:after="0" w:line="62" w:lineRule="exact"/>
        <w:rPr>
          <w:rFonts w:ascii="Arial" w:cs="Arial" w:eastAsia="Arial" w:hAnsi="Arial"/>
          <w:sz w:val="18"/>
          <w:szCs w:val="18"/>
          <w:color w:val="auto"/>
        </w:rPr>
      </w:pPr>
    </w:p>
    <w:p>
      <w:pPr>
        <w:ind w:left="1800" w:right="479" w:hanging="180"/>
        <w:spacing w:after="0" w:line="286" w:lineRule="auto"/>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117"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other alternative fuel vehicles, including plug-in hybrid electric vehicles;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and availability of service for electric vehicles, especially in international markets;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volatility in the cost of oil and gasoline;</w:t>
      </w:r>
    </w:p>
    <w:p>
      <w:pPr>
        <w:spacing w:after="0" w:line="117"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charging stations and cost to charge an electric vehicle, especially in international markets, and related infrastructure costs and standardization;</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144"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65" w:lineRule="exact"/>
        <w:rPr>
          <w:sz w:val="20"/>
          <w:szCs w:val="20"/>
          <w:color w:val="auto"/>
        </w:rPr>
      </w:pPr>
    </w:p>
    <w:p>
      <w:pPr>
        <w:ind w:left="1260" w:right="559"/>
        <w:spacing w:after="0" w:line="277" w:lineRule="auto"/>
        <w:rPr>
          <w:sz w:val="20"/>
          <w:szCs w:val="20"/>
          <w:color w:val="auto"/>
        </w:rPr>
      </w:pPr>
      <w:r>
        <w:rPr>
          <w:rFonts w:ascii="Arial" w:cs="Arial" w:eastAsia="Arial" w:hAnsi="Arial"/>
          <w:sz w:val="18"/>
          <w:szCs w:val="18"/>
          <w:b w:val="1"/>
          <w:bCs w:val="1"/>
          <w:i w:val="1"/>
          <w:iCs w:val="1"/>
          <w:color w:val="auto"/>
        </w:rPr>
        <w:t>Developments in electric vehicle or alternative fuel technology or improvements in the internal combustion engine may adversely affect the demand for our vehicles.</w:t>
      </w:r>
    </w:p>
    <w:p>
      <w:pPr>
        <w:spacing w:after="0" w:line="103" w:lineRule="exact"/>
        <w:rPr>
          <w:sz w:val="20"/>
          <w:szCs w:val="20"/>
          <w:color w:val="auto"/>
        </w:rPr>
      </w:pPr>
    </w:p>
    <w:p>
      <w:pPr>
        <w:ind w:left="1260" w:right="519" w:firstLine="360"/>
        <w:spacing w:after="0" w:line="267" w:lineRule="auto"/>
        <w:rPr>
          <w:sz w:val="20"/>
          <w:szCs w:val="20"/>
          <w:color w:val="auto"/>
        </w:rPr>
      </w:pPr>
      <w:r>
        <w:rPr>
          <w:rFonts w:ascii="Arial" w:cs="Arial" w:eastAsia="Arial" w:hAnsi="Arial"/>
          <w:sz w:val="17"/>
          <w:szCs w:val="17"/>
          <w:color w:val="auto"/>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187" w:lineRule="exact"/>
        <w:rPr>
          <w:sz w:val="20"/>
          <w:szCs w:val="20"/>
          <w:color w:val="auto"/>
        </w:rPr>
      </w:pPr>
    </w:p>
    <w:p>
      <w:pPr>
        <w:jc w:val="both"/>
        <w:ind w:left="1260" w:right="959"/>
        <w:spacing w:after="0" w:line="465" w:lineRule="auto"/>
        <w:rPr>
          <w:sz w:val="20"/>
          <w:szCs w:val="20"/>
          <w:color w:val="auto"/>
        </w:rPr>
      </w:pPr>
      <w:r>
        <w:rPr>
          <w:rFonts w:ascii="Arial" w:cs="Arial" w:eastAsia="Arial" w:hAnsi="Arial"/>
          <w:sz w:val="13"/>
          <w:szCs w:val="13"/>
          <w:b w:val="1"/>
          <w:bCs w:val="1"/>
          <w:i w:val="1"/>
          <w:iCs w:val="1"/>
          <w:color w:val="auto"/>
        </w:rPr>
        <w:t>Extended periods of low gasoline or other petroleum-based fuel prices could adversely affect demand for our vehicles, which would adversely affect our business, prospects, results of operations and financial condition.</w:t>
      </w:r>
    </w:p>
    <w:p>
      <w:pPr>
        <w:spacing w:after="0" w:line="1"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spacing w:after="0" w:line="107"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Gasoline and other petroleum-based fuel prices have historically been extremely volatile, particularly during the ongoing COVID-19 pandemic,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80" w:lineRule="exact"/>
        <w:rPr>
          <w:sz w:val="20"/>
          <w:szCs w:val="20"/>
          <w:color w:val="auto"/>
        </w:rPr>
      </w:pPr>
    </w:p>
    <w:p>
      <w:pPr>
        <w:ind w:left="1260" w:right="599"/>
        <w:spacing w:after="0" w:line="324" w:lineRule="auto"/>
        <w:rPr>
          <w:sz w:val="20"/>
          <w:szCs w:val="20"/>
          <w:color w:val="auto"/>
        </w:rPr>
      </w:pPr>
      <w:r>
        <w:rPr>
          <w:rFonts w:ascii="Arial" w:cs="Arial" w:eastAsia="Arial" w:hAnsi="Arial"/>
          <w:sz w:val="16"/>
          <w:szCs w:val="16"/>
          <w:b w:val="1"/>
          <w:bCs w:val="1"/>
          <w:i w:val="1"/>
          <w:iCs w:val="1"/>
          <w:color w:val="auto"/>
        </w:rPr>
        <w:t>The unavailability, reduction or elimination of certain government and economic programs could have a material adverse effect on our business, prospects, financial condition and results of operations.</w:t>
      </w:r>
    </w:p>
    <w:p>
      <w:pPr>
        <w:spacing w:after="0" w:line="43"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7"/>
          <w:szCs w:val="17"/>
          <w:color w:val="auto"/>
        </w:rPr>
        <w:t>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would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such as loans under the Advanced Technology Vehicles Manufacturing Loan Program administered by the U.S. Department of Energy.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w:t>
      </w:r>
    </w:p>
    <w:p>
      <w:pPr>
        <w:spacing w:after="0" w:line="102"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spacing w:after="0" w:line="188"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b w:val="1"/>
          <w:bCs w:val="1"/>
          <w:i w:val="1"/>
          <w:iCs w:val="1"/>
          <w:color w:val="auto"/>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01"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195" w:lineRule="exact"/>
        <w:rPr>
          <w:sz w:val="20"/>
          <w:szCs w:val="20"/>
          <w:color w:val="auto"/>
        </w:rPr>
      </w:pPr>
    </w:p>
    <w:p>
      <w:pPr>
        <w:ind w:left="1260" w:right="639"/>
        <w:spacing w:after="0" w:line="261" w:lineRule="auto"/>
        <w:rPr>
          <w:sz w:val="20"/>
          <w:szCs w:val="20"/>
          <w:color w:val="auto"/>
        </w:rPr>
      </w:pPr>
      <w:r>
        <w:rPr>
          <w:rFonts w:ascii="Arial" w:cs="Arial" w:eastAsia="Arial" w:hAnsi="Arial"/>
          <w:sz w:val="18"/>
          <w:szCs w:val="18"/>
          <w:b w:val="1"/>
          <w:bCs w:val="1"/>
          <w:i w:val="1"/>
          <w:iCs w:val="1"/>
          <w:color w:val="auto"/>
        </w:rPr>
        <w:t>If we fail to manage our future growth effectively, we may not be able to develop, manufacture, distribute, market and sell our vehicles successfully.</w:t>
      </w:r>
    </w:p>
    <w:p>
      <w:pPr>
        <w:spacing w:after="0" w:line="76"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Any failure to manage our growth effectively could materially and adversely affect our business, prospects, results of operations and financial condition. We intend to expand our operations significantly. We expect our future expansion will include:</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our management team;</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hiring and training new personnel;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or expanding design, manufacturing, sales and service facilities;</w:t>
      </w:r>
    </w:p>
    <w:p>
      <w:pPr>
        <w:spacing w:after="0" w:line="130"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and enhancing administrative infrastructure, systems and processes, including in connection with our transition to a public company; and</w:t>
      </w:r>
    </w:p>
    <w:p>
      <w:pPr>
        <w:spacing w:after="0" w:line="62"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into new markets and establishing sales, service and manufacturing operations in such markets.</w:t>
      </w:r>
    </w:p>
    <w:p>
      <w:pPr>
        <w:spacing w:after="0" w:line="103"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We intend to continue to hire a significant number of additional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designing, manufacturing and servicing electric vehicles is intense, and we may not be able to attract, integrate, train, motivate or retain additional highly qualified personnel in the future. The failure to attract, integrate, train, motivate and retain these additional employees could seriously harm our business and prospects. In addition, we have no experience to date in high volume manufacturing of our vehicles. We cannot assure you that we will be able to develop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 In addition, if our manufacturing facilities are not constructed in conformity with our requirements, repair or remediation could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adversely affect our ability to timely sell and deliver our electric vehicles to customers, or impose substantial additional costs, any of which consequences could have a material adverse effect on our business, prospects, results of operations and financial condition. In addition, our success is substantially dependent upon the continued service and performance of our senior management team and key technical and vehicle management personnel. If any key personnel were to terminate their employment with us, such termination would likely increase the difficulty of managing our future growth and heighten the foregoing risks. If we fail to manage our growth effectively, such failure could result in negative publicity and damage to our brand and have a material adverse effect on our business, prospects, financial condition and results of operations.</w:t>
      </w:r>
    </w:p>
    <w:p>
      <w:pPr>
        <w:spacing w:after="0" w:line="198" w:lineRule="exact"/>
        <w:rPr>
          <w:sz w:val="20"/>
          <w:szCs w:val="20"/>
          <w:color w:val="auto"/>
        </w:rPr>
      </w:pPr>
    </w:p>
    <w:p>
      <w:pPr>
        <w:jc w:val="both"/>
        <w:ind w:left="1260" w:right="719"/>
        <w:spacing w:after="0" w:line="311" w:lineRule="auto"/>
        <w:rPr>
          <w:sz w:val="20"/>
          <w:szCs w:val="20"/>
          <w:color w:val="auto"/>
        </w:rPr>
      </w:pPr>
      <w:r>
        <w:rPr>
          <w:rFonts w:ascii="Arial" w:cs="Arial" w:eastAsia="Arial" w:hAnsi="Arial"/>
          <w:sz w:val="16"/>
          <w:szCs w:val="16"/>
          <w:b w:val="1"/>
          <w:bCs w:val="1"/>
          <w:i w:val="1"/>
          <w:iCs w:val="1"/>
          <w:color w:val="auto"/>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spacing w:after="0" w:line="81"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While we currently intend to offer leasing and financing of our vehicles to potential customers through a third-party financing partner or partners, we currently have no agreements in place with any potential financing partners. We cannot provide any assurance that such third-party financing partners would be able or willing to provide such services on terms acceptable to us or our customers, or to provide such services at all. Furthermore, because we have not yet sold any vehicles and no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caused by the ongoing COVID-19 pandemic. If we are unable to provide leasing and financing arrangements that appeal to potential customers, or if the provision of such arrangements exposes us to excessive consumer credit risk, our business, competitive position, results of operations and financial condition could be adversely affected.</w:t>
      </w:r>
    </w:p>
    <w:p>
      <w:pPr>
        <w:spacing w:after="0" w:line="178" w:lineRule="exact"/>
        <w:rPr>
          <w:sz w:val="20"/>
          <w:szCs w:val="20"/>
          <w:color w:val="auto"/>
        </w:rPr>
      </w:pPr>
    </w:p>
    <w:p>
      <w:pPr>
        <w:jc w:val="both"/>
        <w:ind w:left="1260" w:right="459"/>
        <w:spacing w:after="0" w:line="263" w:lineRule="auto"/>
        <w:rPr>
          <w:sz w:val="20"/>
          <w:szCs w:val="20"/>
          <w:color w:val="auto"/>
        </w:rPr>
      </w:pPr>
      <w:r>
        <w:rPr>
          <w:rFonts w:ascii="Arial" w:cs="Arial" w:eastAsia="Arial" w:hAnsi="Arial"/>
          <w:sz w:val="18"/>
          <w:szCs w:val="18"/>
          <w:b w:val="1"/>
          <w:bCs w:val="1"/>
          <w:i w:val="1"/>
          <w:iCs w:val="1"/>
          <w:color w:val="auto"/>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0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Our vehicles are being designed with autonomous driving (“</w:t>
      </w:r>
      <w:r>
        <w:rPr>
          <w:rFonts w:ascii="Arial" w:cs="Arial" w:eastAsia="Arial" w:hAnsi="Arial"/>
          <w:sz w:val="18"/>
          <w:szCs w:val="18"/>
          <w:i w:val="1"/>
          <w:iCs w:val="1"/>
          <w:color w:val="auto"/>
        </w:rPr>
        <w:t>AD</w:t>
      </w:r>
      <w:r>
        <w:rPr>
          <w:rFonts w:ascii="Arial" w:cs="Arial" w:eastAsia="Arial" w:hAnsi="Arial"/>
          <w:sz w:val="18"/>
          <w:szCs w:val="18"/>
          <w:color w:val="auto"/>
        </w:rPr>
        <w:t>”) and advanced driver assistance system (“</w:t>
      </w:r>
      <w:r>
        <w:rPr>
          <w:rFonts w:ascii="Arial" w:cs="Arial" w:eastAsia="Arial" w:hAnsi="Arial"/>
          <w:sz w:val="18"/>
          <w:szCs w:val="18"/>
          <w:i w:val="1"/>
          <w:iCs w:val="1"/>
          <w:color w:val="auto"/>
        </w:rPr>
        <w:t>ADAS</w:t>
      </w:r>
      <w:r>
        <w:rPr>
          <w:rFonts w:ascii="Arial" w:cs="Arial" w:eastAsia="Arial" w:hAnsi="Arial"/>
          <w:sz w:val="18"/>
          <w:szCs w:val="18"/>
          <w:color w:val="auto"/>
        </w:rPr>
        <w:t>”) hardware, and we expect to launch the Lucid Air and Project Gravity with Level 2 (partial automation) ADAS functionality, which we plan to upgrade with additional capabilities over time. AD/ADAS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our AD/ADAS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131"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addition, we face substantial competition in the development and deployment of AD/ADAS technologies. Many of our competitors, including Tesla, established automakers such as Mercedes-Benz, Audi and General Motors (including via its investments in Cruise Automation), and technology companies including Waymo (owned by Alphabet), Zoox.ai (owned by Amazon), Aurora (which recently announced a business combination with Uber’s subsidiary focused on self-driving technologies), Argo AI (jointly owned by Ford and Volkswagen), Mobileye (a subsidiary of Intel), Aptiv, Nuro and Ghost.ai, have devoted significant time and resources to developing self-driving technologies. If we are unable to develop competitive Level 2 or more advanced AD/ADAS technologies in-house or acquire access to such technologies via partnerships or investments in other companies or assets, we may be unable to equip our vehicles with competitive AD/ADAS features, which could damage our brand, reduce consumer demand for our vehicles or trigger cancellations of reservations and could have a material adverse effect on our business, results of operations, prospects and financial condition.</w:t>
      </w:r>
    </w:p>
    <w:p>
      <w:pPr>
        <w:spacing w:after="0" w:line="111"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 xml:space="preserve">AD/ADAS technology is also subject to considerable regulatory uncertainty, which exposes us to additional risks. See “— </w:t>
      </w:r>
      <w:r>
        <w:rPr>
          <w:rFonts w:ascii="Arial" w:cs="Arial" w:eastAsia="Arial" w:hAnsi="Arial"/>
          <w:sz w:val="18"/>
          <w:szCs w:val="18"/>
          <w:i w:val="1"/>
          <w:iCs w:val="1"/>
          <w:color w:val="auto"/>
        </w:rPr>
        <w:t>Risks Related to Litigation and Regulation — AD/ADAS technology is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 and evolving regulations.</w:t>
      </w:r>
      <w:r>
        <w:rPr>
          <w:rFonts w:ascii="Arial" w:cs="Arial" w:eastAsia="Arial" w:hAnsi="Arial"/>
          <w:sz w:val="18"/>
          <w:szCs w:val="18"/>
          <w:color w:val="auto"/>
        </w:rPr>
        <w: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business and prospects depend significantly on our brand.</w:t>
      </w:r>
    </w:p>
    <w:p>
      <w:pPr>
        <w:spacing w:after="0" w:line="144"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Our business and prospects will heavily depend on our ability to develop, maintain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may be required to change our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our brand.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In addition, from time to time, our vehicles may be evaluated and reviewed by third parties.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188"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b w:val="1"/>
          <w:bCs w:val="1"/>
          <w:i w:val="1"/>
          <w:iCs w:val="1"/>
          <w:color w:val="auto"/>
        </w:rPr>
        <w:t>We face risks associated with international operations, including unfavorable regulatory, political, tax and labor conditions, which could harm our business.</w:t>
      </w:r>
    </w:p>
    <w:p>
      <w:pPr>
        <w:spacing w:after="0" w:line="90"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anticipate having operations and subsidiaries in Europe, the Middle East and China that are subject to the legal, political, regulatory and social requirements and economic conditions in these jurisdictions. Additionally, as part of our growth strategy, we intend to expand our sales, maintenance and repair services outside of the United States and may also expand our manufacturing activities outside the United States. However, we have no experience to date manufacturing, selling or servicing our vehicles outside of the United States, and such expansion would require us to make significant expenditures, including the hiring of local employees and establishing facilities,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86" w:lineRule="exact"/>
        <w:rPr>
          <w:sz w:val="20"/>
          <w:szCs w:val="20"/>
          <w:color w:val="auto"/>
        </w:rPr>
      </w:pPr>
    </w:p>
    <w:p>
      <w:pPr>
        <w:ind w:left="1800" w:right="41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conforming our vehicles to various international regulatory requirements where our vehicles are sold, or homologation;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establishing localized supply chains and managing international supply chain and logistics costs;</w:t>
      </w:r>
    </w:p>
    <w:p>
      <w:pPr>
        <w:spacing w:after="0" w:line="128" w:lineRule="exact"/>
        <w:rPr>
          <w:rFonts w:ascii="Arial" w:cs="Arial" w:eastAsia="Arial" w:hAnsi="Arial"/>
          <w:sz w:val="17"/>
          <w:szCs w:val="17"/>
          <w:color w:val="auto"/>
        </w:rPr>
      </w:pPr>
    </w:p>
    <w:p>
      <w:pPr>
        <w:ind w:left="1800" w:right="47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sufficient charging points for our customers in those jurisdictions, via partnerships or, if necessary, via development of our own charging networks;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staffing and managing foreign operations;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attracting customers in new jurisdictions;</w:t>
      </w:r>
    </w:p>
    <w:p>
      <w:pPr>
        <w:spacing w:after="0" w:line="117"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establishing international manufacturing operations, including difficulties establishing relationships with or establishing localized supplier bases and developing cost-effective and reliable supply chains for such manufacturing operations;</w:t>
      </w:r>
    </w:p>
    <w:p>
      <w:pPr>
        <w:spacing w:after="0" w:line="75"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75" w:lineRule="exact"/>
        <w:rPr>
          <w:rFonts w:ascii="Arial" w:cs="Arial" w:eastAsia="Arial" w:hAnsi="Arial"/>
          <w:sz w:val="18"/>
          <w:szCs w:val="18"/>
          <w:color w:val="auto"/>
        </w:rPr>
      </w:pPr>
    </w:p>
    <w:p>
      <w:pPr>
        <w:ind w:left="1800" w:right="899" w:hanging="180"/>
        <w:spacing w:after="0" w:line="308" w:lineRule="auto"/>
        <w:tabs>
          <w:tab w:leader="none" w:pos="1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fluctuations in foreign currency exchange rates and interest rates, including risks related to any forward currency contracts, interest rate swaps or other hedging activities we undertake;</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United States and foreign government trade restrictions, tariffs and price or exchange controls;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labor laws, regulations and restrictions;</w:t>
      </w:r>
    </w:p>
    <w:p>
      <w:pPr>
        <w:spacing w:after="0" w:line="117"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political risk and customer perceptions based on such changes and risks;</w:t>
      </w:r>
    </w:p>
    <w:p>
      <w:pPr>
        <w:spacing w:after="0" w:line="62"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instability, natural disasters, pandemics (including the ongoing COVID-19 pandemic), war or events of terrorism;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strength of international economies.</w:t>
      </w:r>
    </w:p>
    <w:p>
      <w:pPr>
        <w:spacing w:after="0" w:line="158"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If we fail to successfully address these risks, our business, prospects, results of operations and financial condition could be materially harmed.</w:t>
      </w:r>
    </w:p>
    <w:p>
      <w:pPr>
        <w:spacing w:after="0" w:line="170" w:lineRule="exact"/>
        <w:rPr>
          <w:sz w:val="20"/>
          <w:szCs w:val="20"/>
          <w:color w:val="auto"/>
        </w:rPr>
      </w:pPr>
    </w:p>
    <w:p>
      <w:pPr>
        <w:ind w:left="1260" w:right="819"/>
        <w:spacing w:after="0" w:line="277" w:lineRule="auto"/>
        <w:rPr>
          <w:sz w:val="20"/>
          <w:szCs w:val="20"/>
          <w:color w:val="auto"/>
        </w:rPr>
      </w:pPr>
      <w:r>
        <w:rPr>
          <w:rFonts w:ascii="Arial" w:cs="Arial" w:eastAsia="Arial" w:hAnsi="Arial"/>
          <w:sz w:val="18"/>
          <w:szCs w:val="18"/>
          <w:b w:val="1"/>
          <w:bCs w:val="1"/>
          <w:i w:val="1"/>
          <w:iCs w:val="1"/>
          <w:color w:val="auto"/>
        </w:rPr>
        <w:t>Uninsured losses could result in payment of substantial damages, which would decrease our cash reserves and could harm our cash flow and financial condition.</w:t>
      </w:r>
    </w:p>
    <w:p>
      <w:pPr>
        <w:spacing w:after="0" w:line="103"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In the ordinary course of business, we may be subject to losses resulting from product liability, accidents, acts of God and other claims against us, for which we may have no insurance coverage. While we currently carry commercial general liability, commercial automobile liability, excess liability, product</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69" w:lineRule="auto"/>
        <w:rPr>
          <w:sz w:val="20"/>
          <w:szCs w:val="20"/>
          <w:color w:val="auto"/>
        </w:rPr>
      </w:pPr>
      <w:r>
        <w:rPr>
          <w:rFonts w:ascii="Arial" w:cs="Arial" w:eastAsia="Arial" w:hAnsi="Arial"/>
          <w:sz w:val="17"/>
          <w:szCs w:val="17"/>
          <w:color w:val="auto"/>
        </w:rPr>
        <w:t>liability, cybersecurity, crime, special crime, drone, cargo stock throughput, builder’s risk, owner controlled insurance program, property, owners protective, workers’ compensation, employment practices, employed lawyers, production, fiduciary liability and directors’ and officers’ insurance policies, we may not maintain as much insurance coverage as other original equipment manufacturers do, and in some cases, we may not maintain any at all. Additionally, the policies that we have may include significant deductibles, and we cannot be certain that our insurance coverage will be sufficient to cover all or any future claims against us. A loss that is uninsured or exceeds policy limits may require us to pay substantial amounts, which could adversely affect our financial condition and results of operations. Further, insurance coverage may not continue to be available to us or, if available, may be at a significantly higher cost, especially if insurance providers perceive any increase in our risk profile in the future.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Manufacturing and Supply Chain</w:t>
      </w:r>
    </w:p>
    <w:p>
      <w:pPr>
        <w:spacing w:after="0" w:line="229" w:lineRule="exact"/>
        <w:rPr>
          <w:sz w:val="20"/>
          <w:szCs w:val="20"/>
          <w:color w:val="auto"/>
        </w:rPr>
      </w:pPr>
    </w:p>
    <w:p>
      <w:pPr>
        <w:ind w:left="1260" w:right="639"/>
        <w:spacing w:after="0" w:line="342" w:lineRule="auto"/>
        <w:rPr>
          <w:sz w:val="20"/>
          <w:szCs w:val="20"/>
          <w:color w:val="auto"/>
        </w:rPr>
      </w:pPr>
      <w:r>
        <w:rPr>
          <w:rFonts w:ascii="Arial" w:cs="Arial" w:eastAsia="Arial" w:hAnsi="Arial"/>
          <w:sz w:val="16"/>
          <w:szCs w:val="16"/>
          <w:b w:val="1"/>
          <w:bCs w:val="1"/>
          <w:i w:val="1"/>
          <w:iCs w:val="1"/>
          <w:color w:val="auto"/>
        </w:rPr>
        <w:t>We have experienced and may in the future experience significant delays in the design, manufacture, launch and financing of the Lucid Air, which could harm our business and prospects.</w:t>
      </w:r>
    </w:p>
    <w:p>
      <w:pPr>
        <w:spacing w:after="0" w:line="4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Our vehicles are still in the development and testing phase, and production of the Lucid Air sedan and the Project Gravity SUV is not expected to begin until the second half of 2021 and the end of 2023, respectively, and may occur later or not at all. Any delay in the financing, design, manufacture and launch of the Lucid Air, including planned future variants, and any future electric vehicles could materially damage our business, prospects, financial condition and results of operations. Automobile manufacturers often experience delays in the design, manufacture and commercial release of new vehicle models, and we have experienced in the past, and may experience in the future, such delays with regard to the Lucid Air. For example, we have experienced delays in the engineering of certain of our vehicle systems. Our plan to commercially manufacture and sell the Lucid Air is dependent upon the timely availability of funds, upon our finalizing of the related design, engineering, component procurement, testing, build-out and manufacturing plans in a timely manner and also upon our ability to execute these plans within the planned timeline. Prior to mass production of our electric vehicles, we will also need the vehicles to be fully approved for sale according to differing requirements, including but not limited to regulatory requirements, in the different geographies where we intend to launch our vehicles. To the extent we further delay the launch of the Lucid Air, our growth prospects could be adversely affected as we may fail to grow our market share.</w:t>
      </w:r>
    </w:p>
    <w:p>
      <w:pPr>
        <w:spacing w:after="0" w:line="127"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Furthermore, we rely on third party suppliers for the provision and development of many of the key components and materials used in our vehicles. To the extent our suppliers experience any delays in providing us with or developing necessary components, we could experience delays in delivering on our timelines. For example, in certain instances, international travel restrictions have prevented our supply quality engineers from conducting in-person visits and quality engineering for parts production with international suppliers, which has contributed to delays in our supply chain. Likewise, we may encounter delays with the design, construction and regulatory or other approvals necessary to bring online our Casa Grande, Arizona manufacturing facilities, future expansions of the Casa Grande manufacturing facilities, or other future manufacturing facilities. 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spacing w:after="0" w:line="119"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The continued development of and the ability to start manufacturing our vehicles, including the Lucid Air and Project Gravity, are and will be subject to risks, including with respect to:</w:t>
      </w:r>
    </w:p>
    <w:p>
      <w:pPr>
        <w:spacing w:after="0" w:line="62" w:lineRule="exact"/>
        <w:rPr>
          <w:sz w:val="20"/>
          <w:szCs w:val="20"/>
          <w:color w:val="auto"/>
        </w:rPr>
      </w:pPr>
    </w:p>
    <w:p>
      <w:pPr>
        <w:ind w:left="1800" w:right="51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ensure readiness of firmware features and functions to be integrated into the Lucid Air as planned and on the desired timeline;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finalize release candidate specifications as planned and on the desired timeline;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delays by us in delivering final component designs to our suppliers;</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or our suppliers’ ability to successfully tool their manufacturing facilities as planned and on the desired timeline;</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1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ensure working supply chain and desired supplier part quality as planned and on the desired timeline;</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accurately manufacture vehicles within specified design tolerances;</w:t>
      </w:r>
    </w:p>
    <w:p>
      <w:pPr>
        <w:spacing w:after="0" w:line="117"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product defects that cannot be remedied without adversely affecting the expected start of production;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secure necessary funding;</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negotiate and execute definitive agreements with various suppliers for hardware, software, or services necessary to engineer or manufacture our vehicles;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required regulatory approvals and certifications;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comply with environmental, safety, and similar regulations and in a timely manner;</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secure necessary components, services, or licenses on acceptable terms and in a timely manner;</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recruit, hire, retain and train skilled employees;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implement effective and efficient quality controls;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disruptions in our supply chain including raw material supplies;</w:t>
      </w:r>
    </w:p>
    <w:p>
      <w:pPr>
        <w:spacing w:after="0" w:line="117" w:lineRule="exact"/>
        <w:rPr>
          <w:rFonts w:ascii="Arial" w:cs="Arial" w:eastAsia="Arial" w:hAnsi="Arial"/>
          <w:sz w:val="18"/>
          <w:szCs w:val="18"/>
          <w:color w:val="auto"/>
        </w:rPr>
      </w:pPr>
    </w:p>
    <w:p>
      <w:pPr>
        <w:ind w:left="1800" w:right="579" w:hanging="180"/>
        <w:spacing w:after="0" w:line="308" w:lineRule="auto"/>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maintain arrangements on commercially reasonable terms with our suppliers, delivery and other partners, after sales service providers, and other operationally significant third parties;</w:t>
      </w:r>
    </w:p>
    <w:p>
      <w:pPr>
        <w:spacing w:after="0" w:line="24" w:lineRule="exact"/>
        <w:rPr>
          <w:rFonts w:ascii="Arial" w:cs="Arial" w:eastAsia="Arial" w:hAnsi="Arial"/>
          <w:sz w:val="17"/>
          <w:szCs w:val="17"/>
          <w:color w:val="auto"/>
        </w:rPr>
      </w:pPr>
    </w:p>
    <w:p>
      <w:pPr>
        <w:ind w:left="1800" w:right="91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delays, backlog in manufacturing and research and development of new models, and cost overruns;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ongoing COVID-19 pandemic, including related business interruptions and other effects; and</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risks identified herein.</w:t>
      </w:r>
    </w:p>
    <w:p>
      <w:pPr>
        <w:spacing w:after="0" w:line="144"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Although we expect the net proceeds from the Transactions to be sufficient to finance the initial commercial production of the Lucid Air, 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w:t>
      </w:r>
    </w:p>
    <w:p>
      <w:pPr>
        <w:spacing w:after="0" w:line="189"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b w:val="1"/>
          <w:bCs w:val="1"/>
          <w:i w:val="1"/>
          <w:iCs w:val="1"/>
          <w:color w:val="auto"/>
        </w:rPr>
        <w:t>If our vehicles fail to perform as expected, our ability to develop, market and sell or lease our products could be harmed.</w:t>
      </w:r>
    </w:p>
    <w:p>
      <w:pPr>
        <w:spacing w:after="0" w:line="103"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Once production commences, our vehicles may contain defects in design and manufacture that may cause them not to perform as expected or that may require repairs, recalls, and design changes, any of which would require significant financial and other resources to successfully navigate and resolve. Our vehicles will use a substantial amount of software code to operate, and software products are inherently complex and may contain defects and errors when first introduced. If our vehicles contain defects in design and manufacture that cause them not to perform as expected or that require repair, or certain features of our vehicles such as bi-directional charging or AD/ADAS features take longer than expected to become available, are legally restricted or become subject to additional regulation, our ability to develop, market and sell our products and services could be harmed.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characteristics of our battery packs, powertrains and vehicles. There can be no assurance that we will be able to detect and fix any defects in our products prior to their sale or lease to customers.</w:t>
      </w:r>
    </w:p>
    <w:p>
      <w:pPr>
        <w:spacing w:after="0" w:line="120"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Any defects, delays or legal restrictions on vehicle features, or other failure of our vehicles to perform as expected, could harm our reputation and result in delivery delays, product recalls, product liability claims,</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9" w:lineRule="auto"/>
        <w:rPr>
          <w:sz w:val="20"/>
          <w:szCs w:val="20"/>
          <w:color w:val="auto"/>
        </w:rPr>
      </w:pPr>
      <w:r>
        <w:rPr>
          <w:rFonts w:ascii="Arial" w:cs="Arial" w:eastAsia="Arial" w:hAnsi="Arial"/>
          <w:sz w:val="17"/>
          <w:szCs w:val="17"/>
          <w:color w:val="auto"/>
        </w:rPr>
        <w:t>breach of warranty claims and significant warranty and other expenses, and could have a material adverse impact on our business, results of operations, prospects and financial condition. As a new entrant to the industry attempting to 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spacing w:after="0" w:line="93"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face challenges providing charging solutions for our vehicles.</w:t>
      </w:r>
    </w:p>
    <w:p>
      <w:pPr>
        <w:spacing w:after="0" w:line="15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Demand for our vehicles will depend in part on the availability of charging infrastructure.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a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appropriations for such a deployment may not occur at proposed levels or at all, which could serve to limit the development of public charging infrastructure and increase the relative attractiveness to potential customers of a proprietary charging solution.</w:t>
      </w:r>
    </w:p>
    <w:p>
      <w:pPr>
        <w:spacing w:after="0" w:line="12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spacing w:after="0" w:line="179" w:lineRule="exact"/>
        <w:rPr>
          <w:sz w:val="20"/>
          <w:szCs w:val="20"/>
          <w:color w:val="auto"/>
        </w:rPr>
      </w:pPr>
    </w:p>
    <w:p>
      <w:pPr>
        <w:ind w:left="1260" w:right="799"/>
        <w:spacing w:after="0" w:line="263" w:lineRule="auto"/>
        <w:rPr>
          <w:sz w:val="20"/>
          <w:szCs w:val="20"/>
          <w:color w:val="auto"/>
        </w:rPr>
      </w:pPr>
      <w:r>
        <w:rPr>
          <w:rFonts w:ascii="Arial" w:cs="Arial" w:eastAsia="Arial" w:hAnsi="Arial"/>
          <w:sz w:val="18"/>
          <w:szCs w:val="18"/>
          <w:b w:val="1"/>
          <w:bCs w:val="1"/>
          <w:i w:val="1"/>
          <w:iCs w:val="1"/>
          <w:color w:val="auto"/>
        </w:rPr>
        <w:t>We have no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03"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Because we do not plan to begin commercial production of the Lucid Air until the second half of 2021 at the earliest, we have no experience servicing or repairing our vehicles. Servicing electric vehicles is different than servicing vehicles with internal combustion engines and requires specialized skills, including high voltage training and servicing techniques. In addition, we plan to partner with certain third parties to perform some of the service on our vehicles, and there can be no assurance that we will be able to enter into</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3" w:lineRule="auto"/>
        <w:rPr>
          <w:sz w:val="20"/>
          <w:szCs w:val="20"/>
          <w:color w:val="auto"/>
        </w:rPr>
      </w:pPr>
      <w:r>
        <w:rPr>
          <w:rFonts w:ascii="Arial" w:cs="Arial" w:eastAsia="Arial" w:hAnsi="Arial"/>
          <w:sz w:val="17"/>
          <w:szCs w:val="17"/>
          <w:color w:val="auto"/>
        </w:rPr>
        <w:t>acceptable arrangements with any such third-party providers. Further, although such servicing partners may have experience in servicing other electric vehicles, they will initially have no experience in servicing our vehicles.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99"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In addition, the motor vehicle industry laws in many states require that service facilities be available to service vehicles physically sold from locations in the state. While we anticipate developing a service program that would satisfy regulatory requirements in these circumstances, the specifics of our service program are still in development, and at some point may need to be restructured to comply with state law, which may impact our business, financial condition, results of operations and prospects.</w:t>
      </w:r>
    </w:p>
    <w:p>
      <w:pPr>
        <w:spacing w:after="0" w:line="10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183" w:lineRule="exact"/>
        <w:rPr>
          <w:sz w:val="20"/>
          <w:szCs w:val="20"/>
          <w:color w:val="auto"/>
        </w:rPr>
      </w:pPr>
    </w:p>
    <w:p>
      <w:pPr>
        <w:jc w:val="both"/>
        <w:ind w:left="1260" w:right="879"/>
        <w:spacing w:after="0" w:line="248" w:lineRule="auto"/>
        <w:rPr>
          <w:sz w:val="20"/>
          <w:szCs w:val="20"/>
          <w:color w:val="auto"/>
        </w:rPr>
      </w:pPr>
      <w:r>
        <w:rPr>
          <w:rFonts w:ascii="Arial" w:cs="Arial" w:eastAsia="Arial" w:hAnsi="Arial"/>
          <w:sz w:val="18"/>
          <w:szCs w:val="18"/>
          <w:b w:val="1"/>
          <w:bCs w:val="1"/>
          <w:i w:val="1"/>
          <w:iCs w:val="1"/>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14"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We will provide a manufacturer’s warranty on all vehicles and powertrain components and systems we sell. Once our vehicles are in commercial production, we will need to maintain reserves to cover part replacement and other vehicle repair needs, including any potential software upgrades or warranty claims. In addition, we expect to provide a manufacturer’s warranty on any future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have no experience to date in high volume manufacture of our vehicles.</w:t>
      </w:r>
    </w:p>
    <w:p>
      <w:pPr>
        <w:spacing w:after="0" w:line="144"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We cannot provide any assurance as to whether we will be able to develop efficient, automated, low-cost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2" w:lineRule="auto"/>
        <w:rPr>
          <w:sz w:val="20"/>
          <w:szCs w:val="20"/>
          <w:color w:val="auto"/>
        </w:rPr>
      </w:pPr>
      <w:r>
        <w:rPr>
          <w:rFonts w:ascii="Arial" w:cs="Arial" w:eastAsia="Arial" w:hAnsi="Arial"/>
          <w:sz w:val="17"/>
          <w:szCs w:val="17"/>
          <w:color w:val="auto"/>
        </w:rPr>
        <w:t>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satisfy the requirements of customers and potential customers. Any failure to develop such production processes and capabilities within our projected costs and timelines could have a material adverse effect on our business, results of operations, prospects and financial condition. Bottlenecks and other unexpected challenges may also arise as we ramp production of the Lucid Air, and it will be important that we address them promptly while continuing to control our manufacturing costs. If we are not successful in doing so, or if we experience issues with our manufacturing process improvements, we could face delays in establishing and/or sustaining our production ramps or be unable to meet our related cost and profitability targets.</w:t>
      </w:r>
    </w:p>
    <w:p>
      <w:pPr>
        <w:spacing w:after="0" w:line="186" w:lineRule="exact"/>
        <w:rPr>
          <w:sz w:val="20"/>
          <w:szCs w:val="20"/>
          <w:color w:val="auto"/>
        </w:rPr>
      </w:pPr>
    </w:p>
    <w:p>
      <w:pPr>
        <w:ind w:left="1260" w:right="539"/>
        <w:spacing w:after="0" w:line="291" w:lineRule="auto"/>
        <w:rPr>
          <w:sz w:val="20"/>
          <w:szCs w:val="20"/>
          <w:color w:val="auto"/>
        </w:rPr>
      </w:pPr>
      <w:r>
        <w:rPr>
          <w:rFonts w:ascii="Arial" w:cs="Arial" w:eastAsia="Arial" w:hAnsi="Arial"/>
          <w:sz w:val="17"/>
          <w:szCs w:val="17"/>
          <w:b w:val="1"/>
          <w:bCs w:val="1"/>
          <w:i w:val="1"/>
          <w:iCs w:val="1"/>
          <w:color w:val="auto"/>
        </w:rPr>
        <w:t>If we fail to successfully tool our manufacturing facilities or if our manufacturing facilities become inoperable, we will be unable to produce our vehicles and our business will be harmed.</w:t>
      </w:r>
    </w:p>
    <w:p>
      <w:pPr>
        <w:spacing w:after="0" w:line="66"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While we have completed the initial phase of construction at our manufacturing facilities in Casa Grande, Arizona, tooling our facilities for production of our vehicles and our future expansion plans are complicated and present significant challenges. For example, our manufacturing plans contemplate a compressed time period between finalization of the Lucid Air’s specifications for commercial production and the start of commercial production, which would require finalization of tooling in a short time period. In addition, certain of our suppliers may be unable to complete tooling with respect to finalized components of the Lucid Air in the planned timeframe after we deliver final component specifications, which could adversely affect our ability to begin commercial production of the Lucid Air on the expected timing and at the quality levels we require. As with any large-scale capital project, these efforts could be subject to delays, cost overruns or other complications. These risks could be exacerbated because we are building our facilities from the ground up to support our electric vehicle production processes, which differ substantially from traditional automobile production processes for which expertise is more readily available. In order to commence commercial production at our Casa Grande facilities, we will also need to hire and train a significant number of employees and integrate a yet-to-be- fully-developed supply chain. A failure to commence commercial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spacing w:after="0" w:line="112"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projections.</w:t>
      </w:r>
    </w:p>
    <w:p>
      <w:pPr>
        <w:spacing w:after="0" w:line="111"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8"/>
          <w:szCs w:val="18"/>
          <w:color w:val="auto"/>
        </w:rPr>
        <w:t>In addition, we expect to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AD/ADAS hardware. There is no guarantee that we will be able to successfully and timely introduce and scale any such new processes or features.</w:t>
      </w:r>
    </w:p>
    <w:p>
      <w:pPr>
        <w:spacing w:after="0" w:line="111"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Furthermore, our Casa Grande facilities and the equipment we use to manufacture our vehicles will be costly to repair or replace and could require substantial lead time to repair or replace and qualify for use. We will rely heavily on complex machinery for our operations, and our production will involve a significant</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0" w:lineRule="auto"/>
        <w:rPr>
          <w:sz w:val="20"/>
          <w:szCs w:val="20"/>
          <w:color w:val="auto"/>
        </w:rPr>
      </w:pPr>
      <w:r>
        <w:rPr>
          <w:rFonts w:ascii="Arial" w:cs="Arial" w:eastAsia="Arial" w:hAnsi="Arial"/>
          <w:sz w:val="17"/>
          <w:szCs w:val="17"/>
          <w:color w:val="auto"/>
        </w:rPr>
        <w:t>degree of uncertainty and risk in terms of operational performance and costs. Our manufacturing plant will employ large-scale, complex machinery combining many components, which once deployed may suffer unexpected malfunctions from time to time and will depend on repairs and spare parts that may not be available when needed. 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environmental hazards and remediation, costs associated with decommissioning of equipment, labor disputes and strikes, difficulty or delays in obtaining governmental permits and licenses, damages or defects in electronic systems, industrial accidents or health epidemics, such as the recent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and the disruption of our business, this insurance may not be sufficient to cover all of our potential losses and may not continue to be available to us on acceptable terms, if at all.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194" w:lineRule="exact"/>
        <w:rPr>
          <w:sz w:val="20"/>
          <w:szCs w:val="20"/>
          <w:color w:val="auto"/>
        </w:rPr>
      </w:pPr>
    </w:p>
    <w:p>
      <w:pPr>
        <w:ind w:left="1260" w:right="539"/>
        <w:spacing w:after="0" w:line="294" w:lineRule="auto"/>
        <w:rPr>
          <w:sz w:val="20"/>
          <w:szCs w:val="20"/>
          <w:color w:val="auto"/>
        </w:rPr>
      </w:pPr>
      <w:r>
        <w:rPr>
          <w:rFonts w:ascii="Arial" w:cs="Arial" w:eastAsia="Arial" w:hAnsi="Arial"/>
          <w:sz w:val="16"/>
          <w:szCs w:val="16"/>
          <w:b w:val="1"/>
          <w:bCs w:val="1"/>
          <w:i w:val="1"/>
          <w:iCs w:val="1"/>
          <w:color w:val="auto"/>
        </w:rPr>
        <w:t>Our ability to start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66" w:lineRule="exact"/>
        <w:rPr>
          <w:sz w:val="20"/>
          <w:szCs w:val="20"/>
          <w:color w:val="auto"/>
        </w:rPr>
      </w:pPr>
    </w:p>
    <w:p>
      <w:pPr>
        <w:ind w:left="1260" w:right="619" w:firstLine="360"/>
        <w:spacing w:after="0" w:line="238" w:lineRule="auto"/>
        <w:rPr>
          <w:sz w:val="20"/>
          <w:szCs w:val="20"/>
          <w:color w:val="auto"/>
        </w:rPr>
      </w:pPr>
      <w:r>
        <w:rPr>
          <w:rFonts w:ascii="Arial" w:cs="Arial" w:eastAsia="Arial" w:hAnsi="Arial"/>
          <w:sz w:val="18"/>
          <w:szCs w:val="18"/>
          <w:color w:val="auto"/>
        </w:rPr>
        <w:t>Our success, including our ability to start production of the Lucid Air, will be dependent upon our ability to enter into supplier agreements and maintain our relationships with suppliers who are critical and necessary to the output and production of our vehicles. We also rely on suppliers to provide us with the components for our vehicles. The supplier agreements we have or may enter into with key suppliers in the future may have provisions where such agreements can be terminated in various circumstances, including potentially without cause. If these suppliers become unable to provide, or experience delays in providing, components, or if the supplier agreements we have in place are terminated, it may be difficult to find replacement components. Changes in business conditions, pandemics, governmental changes and other factors beyond our control or that we do not presently anticipate could affect our ability to receive components from our suppliers.</w:t>
      </w:r>
    </w:p>
    <w:p>
      <w:pPr>
        <w:spacing w:after="0" w:line="121"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Further, we have not secured supply agreements for all of our components. We may be at a disadvantage in negotiating supply agreements for the production of our vehicles due to our limited operating history and the limited time period before the planned start of production of the Lucid Air. In addition, there is the possibility that finalizing the supply agreements for the parts and components of our vehicles will cause significant disruption to our operations, or such supply agreements could be at costs that make it difficult for us to operate profitably.</w:t>
      </w:r>
    </w:p>
    <w:p>
      <w:pPr>
        <w:spacing w:after="0" w:line="12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If we do not enter into long- term supplier agreements with guaranteed pricing for our parts or components, we may be exposed to fluctuations in prices of components, materials and equipment. Agreements for the purchase of battery cells and other components contain or are likely to contain pricing provisions that are subject to adjustment based on changes in market prices of key commodities. Substantial increases in the prices for such components, materials and equipment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91" w:lineRule="exact"/>
        <w:rPr>
          <w:sz w:val="20"/>
          <w:szCs w:val="20"/>
          <w:color w:val="auto"/>
        </w:rPr>
      </w:pPr>
    </w:p>
    <w:p>
      <w:pPr>
        <w:ind w:left="1260" w:right="419"/>
        <w:spacing w:after="0" w:line="284" w:lineRule="auto"/>
        <w:rPr>
          <w:sz w:val="20"/>
          <w:szCs w:val="20"/>
          <w:color w:val="auto"/>
        </w:rPr>
      </w:pPr>
      <w:r>
        <w:rPr>
          <w:rFonts w:ascii="Arial" w:cs="Arial" w:eastAsia="Arial" w:hAnsi="Arial"/>
          <w:sz w:val="16"/>
          <w:szCs w:val="16"/>
          <w:b w:val="1"/>
          <w:bCs w:val="1"/>
          <w:i w:val="1"/>
          <w:iCs w:val="1"/>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could have a material adverse effect on our results of operations and financial condition.</w:t>
      </w:r>
    </w:p>
    <w:p>
      <w:pPr>
        <w:spacing w:after="0" w:line="74"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We rely on hundreds of third- party suppliers for the provision and development of many of the key components and materials used in our vehicles. While we plan to obtain components from multiple sources</w:t>
      </w:r>
    </w:p>
    <w:p>
      <w:pPr>
        <w:sectPr>
          <w:pgSz w:w="11900" w:h="16838" w:orient="portrait"/>
          <w:cols w:equalWidth="0" w:num="1">
            <w:col w:w="9879"/>
          </w:cols>
          <w:pgMar w:left="580" w:top="131"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whenever possible, many of the components used in our vehicles will be purchased by us from a single source, and our limited, and in many cases single-source, supply chain exposes us to multiple potential sources of delivery failure or component shortages for our production. Our third- party suppliers may not be able to meet our required product specifications and performance characteristics, which would impact our ability to achieve our product specifications and performance characteristics as well. This risk is heightened by the compressed period we anticipate between finalization of the Lucid Air and the start of commercial production, which may not provide all suppliers with sufficient time to begin production of finalized components of the Lucid Air in the planned timeframe or at the quality levels we demand and could cause delays in the planned start of production of the Lucid Air or issues with initial quality levels of the Lucid Air. Additionally, our third-party suppliers may be unable to obtain required certifications or provide necessary warranties for their products that are necessary for use in our vehicles. We may also be impacted by changes in our supply chain or production needs, including cost increases from our suppliers, in order to meet our quality targets and development timelines as well as due to design changes. Likewise, any significant increases in our production may in the future require us to procure additional components in a short amount of time. Our suppliers may not ultimately be able to sustainably and timely meet our cost, quality and volume needs, requiring us to replace them with other sources.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w:t>
      </w:r>
    </w:p>
    <w:p>
      <w:pPr>
        <w:spacing w:after="0" w:line="9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In addition, we could experience delays if our suppliers do not meet agreed upon timelines or experience capacity constraints. Any disruption in the supply of components, whether or not from a single source supplier, could temporarily disrupt production of our vehicles until an alternative supplier is able to supply the required material.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favorable pricing and other terms, or at all. Any of the foregoing could materially and adversely affect our results of operations, financial condition and prospects.</w:t>
      </w:r>
    </w:p>
    <w:p>
      <w:pPr>
        <w:spacing w:after="0" w:line="11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Furthermore, as the scale of our vehicle production increases, we will need to accurately forecast, purchase, warehouse and transport components to our manufacturing facilities and servicing locations internationally and at much higher volumes. If we are unable to accurately match the timing and quantities of component purchases to our actual needs or successfully implement automation, inventory management and other systems to accommodate the increased complexity in our supply chain, we may incur unexpected production disruption, storage, transportation and write-off costs, which could have a material adverse effect on our results of operations and financial condition.</w:t>
      </w:r>
    </w:p>
    <w:p>
      <w:pPr>
        <w:spacing w:after="0" w:line="127"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In addition, as we develop an international manufacturing footprint, we will face additional challenges with respect to international supply chain management and logistics costs. If we are unable to access or develop localized supply chains in the regions where we develop manufacturing facilities with the quality, costs and capabilities required, we could be required to source components from distant suppliers, which would increase our logistics and manufacturing costs, increase the risk and complexity of our supply chain and significantly impair our ability to develop cost-effective manufacturing operations, which could have a material adverse effect on our business, results of operations and financial condition.</w:t>
      </w:r>
    </w:p>
    <w:p>
      <w:pPr>
        <w:spacing w:after="0" w:line="9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Furthermore, unexpected changes in business conditions, materials pricing, labor issues, wars, governmental changes, tariffs, natural disasters, health epidemics such as the ongoing COVID-19 pandemic, and other factors beyond our and our suppliers’ control could also affect these suppliers’ ability to deliver components to us on a timely basis. We have also identified certain of our suppliers, including certain suppliers we deem critical, as having poor financial health or being at risk of bankruptcy. Although we routinely review our suppliers’ financial health and attempts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1" w:lineRule="auto"/>
        <w:rPr>
          <w:sz w:val="20"/>
          <w:szCs w:val="20"/>
          <w:color w:val="auto"/>
        </w:rPr>
      </w:pPr>
      <w:r>
        <w:rPr>
          <w:rFonts w:ascii="Arial" w:cs="Arial" w:eastAsia="Arial" w:hAnsi="Arial"/>
          <w:sz w:val="18"/>
          <w:szCs w:val="18"/>
          <w:color w:val="auto"/>
        </w:rPr>
        <w:t>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spacing w:after="0" w:line="189" w:lineRule="exact"/>
        <w:rPr>
          <w:sz w:val="20"/>
          <w:szCs w:val="20"/>
          <w:color w:val="auto"/>
        </w:rPr>
      </w:pPr>
    </w:p>
    <w:p>
      <w:pPr>
        <w:ind w:left="1260" w:right="459"/>
        <w:spacing w:after="0" w:line="294" w:lineRule="auto"/>
        <w:rPr>
          <w:sz w:val="20"/>
          <w:szCs w:val="20"/>
          <w:color w:val="auto"/>
        </w:rPr>
      </w:pPr>
      <w:r>
        <w:rPr>
          <w:rFonts w:ascii="Arial" w:cs="Arial" w:eastAsia="Arial" w:hAnsi="Arial"/>
          <w:sz w:val="16"/>
          <w:szCs w:val="16"/>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66"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no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vehicles to our customers could be delayed, which would harm our business, financial condition and results of operations.</w:t>
      </w:r>
    </w:p>
    <w:p>
      <w:pPr>
        <w:spacing w:after="0" w:line="183" w:lineRule="exact"/>
        <w:rPr>
          <w:sz w:val="20"/>
          <w:szCs w:val="20"/>
          <w:color w:val="auto"/>
        </w:rPr>
      </w:pPr>
    </w:p>
    <w:p>
      <w:pPr>
        <w:ind w:left="1260" w:right="1539"/>
        <w:spacing w:after="0" w:line="261" w:lineRule="auto"/>
        <w:rPr>
          <w:sz w:val="20"/>
          <w:szCs w:val="20"/>
          <w:color w:val="auto"/>
        </w:rPr>
      </w:pPr>
      <w:r>
        <w:rPr>
          <w:rFonts w:ascii="Arial" w:cs="Arial" w:eastAsia="Arial" w:hAnsi="Arial"/>
          <w:sz w:val="18"/>
          <w:szCs w:val="18"/>
          <w:b w:val="1"/>
          <w:bCs w:val="1"/>
          <w:i w:val="1"/>
          <w:iCs w:val="1"/>
          <w:color w:val="auto"/>
        </w:rPr>
        <w:t>Increases in costs, disruption of supply or shortage of materials, in particular for lithium-ion cells or semiconductors, could harm our business.</w:t>
      </w:r>
    </w:p>
    <w:p>
      <w:pPr>
        <w:spacing w:after="0" w:line="103"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Once we begin commercial production of our vehicles or any future energy storage systems, we may experience increases in the cost of or a sustained interruption in the supply or shortage of materials. Any such increase, supply interruption or shortage could materially and adversely impact our business, results of operations, prospects and financial condition. We use various materials in our business, including aluminum, steel, lithium, nickel, copper, cobalt, neodymium, terbium, praseodymium and manganese, as well as lithium -ion cells and semiconductors from suppliers. The prices for these materials fluctuate, and their available supply may be unstable, depending on market conditions and global demand for these materials, including as a result of increased production of electric vehicles and energy storage products by our competitors, and could adversely affect our business and results of operations. For instance, we are exposed to multiple risks relating to lithium-ion cells. These risks include:</w:t>
      </w:r>
    </w:p>
    <w:p>
      <w:pPr>
        <w:spacing w:after="0" w:line="72" w:lineRule="exact"/>
        <w:rPr>
          <w:sz w:val="20"/>
          <w:szCs w:val="20"/>
          <w:color w:val="auto"/>
        </w:rPr>
      </w:pPr>
    </w:p>
    <w:p>
      <w:pPr>
        <w:ind w:left="1800" w:right="439" w:hanging="18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75"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the cost, or decrease in the available supply, of materials, such as cobalt, used in lithium-ion cells;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disruption in the supply of cells due to quality issues or recalls by battery cell manufacturers; and</w:t>
      </w:r>
    </w:p>
    <w:p>
      <w:pPr>
        <w:spacing w:after="0" w:line="115" w:lineRule="exact"/>
        <w:rPr>
          <w:rFonts w:ascii="Arial" w:cs="Arial" w:eastAsia="Arial" w:hAnsi="Arial"/>
          <w:sz w:val="17"/>
          <w:szCs w:val="17"/>
          <w:color w:val="auto"/>
        </w:rPr>
      </w:pPr>
    </w:p>
    <w:p>
      <w:pPr>
        <w:ind w:left="1800" w:right="699" w:hanging="180"/>
        <w:spacing w:after="0" w:line="342" w:lineRule="auto"/>
        <w:tabs>
          <w:tab w:leader="none" w:pos="1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fluctuations in the value of any foreign currencies, and the Korean Won in particular, in which battery cell and related raw material purchases are or may be denominated against the U.S. dollar.</w:t>
      </w:r>
    </w:p>
    <w:p>
      <w:pPr>
        <w:spacing w:after="0" w:line="56"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7" w:lineRule="auto"/>
        <w:rPr>
          <w:sz w:val="20"/>
          <w:szCs w:val="20"/>
          <w:color w:val="auto"/>
        </w:rPr>
      </w:pPr>
      <w:r>
        <w:rPr>
          <w:rFonts w:ascii="Arial" w:cs="Arial" w:eastAsia="Arial" w:hAnsi="Arial"/>
          <w:sz w:val="18"/>
          <w:szCs w:val="18"/>
          <w:color w:val="auto"/>
        </w:rPr>
        <w:t>suppliers, which could delay the start of production of the Lucid Air or planned future vehicles, impair our ability to continue production once started or force us or our suppliers to pay exorbitant rates for continued access to semiconductors, and of which could have a material adverse effect on our business, prospects and results of operations. In addition, prices and transportation expenses for these materials fluctuate depending on many factors beyond our control, including fluctuations in supply and demand, currency fluctuations, tariffs and taxes, fluctuations and shortages in petroleum supply, freight charges and other economic and political factors.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spacing w:after="0" w:line="193" w:lineRule="exact"/>
        <w:rPr>
          <w:sz w:val="20"/>
          <w:szCs w:val="20"/>
          <w:color w:val="auto"/>
        </w:rPr>
      </w:pPr>
    </w:p>
    <w:p>
      <w:pPr>
        <w:ind w:left="1260" w:right="459"/>
        <w:spacing w:after="0" w:line="433" w:lineRule="auto"/>
        <w:rPr>
          <w:sz w:val="20"/>
          <w:szCs w:val="20"/>
          <w:color w:val="auto"/>
        </w:rPr>
      </w:pPr>
      <w:r>
        <w:rPr>
          <w:rFonts w:ascii="Arial" w:cs="Arial" w:eastAsia="Arial" w:hAnsi="Arial"/>
          <w:sz w:val="13"/>
          <w:szCs w:val="13"/>
          <w:b w:val="1"/>
          <w:bCs w:val="1"/>
          <w:i w:val="1"/>
          <w:iCs w:val="1"/>
          <w:color w:val="auto"/>
        </w:rPr>
        <w:t>We must develop complex software and technology systems, including in coordination with vendors and suppliers, in order to produce our electric vehicles, and there can be no assurance such systems will be successfully developed.</w:t>
      </w:r>
    </w:p>
    <w:p>
      <w:pPr>
        <w:spacing w:after="0" w:line="1"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Our vehicles, including the Lucid Air, will use a substantial amount of third-party and in-house software and complex technological hardware to operate, some of which is still subject to further development and testing. The development and implementation of such advanced technologies is inherently complex, and we will need to coordinate with our vendors and suppliers in order to integrate such technology into our electric vehicles and ensure it interoperates with other complex technology as designed and as expected. 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86" w:lineRule="exact"/>
        <w:rPr>
          <w:sz w:val="20"/>
          <w:szCs w:val="20"/>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delayed start of production and delivery of our vehicles, including the Lucid Air;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delayed market acceptance of our vehicles;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customers or inability to attract new customers;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engineering or other resources for remedying the defect or error;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 to our brand or reputation;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service and warranty costs;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 action by customers or third parties, including product liability claims;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penalties imposed by regulatory authorities.</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In addition, if we are unable to develop the software and technology systems necessary to operate our vehicles, our competitive position will be harmed. We rely on third-party suppliers to develop a number of technologies for use in our products, including Continental, Bosch, Valeo, Cogent, Quanta, Robosense, Via, Primax, Eletrobit, Here, Ublox, Renesas, Blackberry, Qt and DSP Concepts.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pacing w:after="0" w:line="181" w:lineRule="exact"/>
        <w:rPr>
          <w:sz w:val="20"/>
          <w:szCs w:val="20"/>
          <w:color w:val="auto"/>
        </w:rPr>
      </w:pPr>
    </w:p>
    <w:p>
      <w:pPr>
        <w:ind w:left="1260" w:right="659"/>
        <w:spacing w:after="0" w:line="261" w:lineRule="auto"/>
        <w:rPr>
          <w:sz w:val="20"/>
          <w:szCs w:val="20"/>
          <w:color w:val="auto"/>
        </w:rPr>
      </w:pPr>
      <w:r>
        <w:rPr>
          <w:rFonts w:ascii="Arial" w:cs="Arial" w:eastAsia="Arial" w:hAnsi="Arial"/>
          <w:sz w:val="18"/>
          <w:szCs w:val="18"/>
          <w:b w:val="1"/>
          <w:bCs w:val="1"/>
          <w:i w:val="1"/>
          <w:iCs w:val="1"/>
          <w:color w:val="auto"/>
        </w:rPr>
        <w:t>Our facilities or operations could be adversely affected by events outside of our control, such as natural disasters, wars, health epidemics or pandemics, or security incidents.</w:t>
      </w:r>
    </w:p>
    <w:p>
      <w:pPr>
        <w:spacing w:after="0" w:line="9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We may be impacted by natural disasters, wars, health epidemics or pandemics or other events outside of our control. For example, our corporate headquarters are located in seismically active regions in Northern California, and our manufacturing facilities in Arizona are located in a sandstorm-, flood- and tornado-prone area. If major disasters such as earthquakes, wildfires, floods, tornadoes or other events occur, or our information system or communications network breaks down or operates improperly, our headquarters and manufacturing facilities may be seriously damaged, or we may have to stop or delay production and shipment of our products. In addition, the ongoing COVID-19 pandemic has impacted economic markets,</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69" w:lineRule="auto"/>
        <w:rPr>
          <w:sz w:val="20"/>
          <w:szCs w:val="20"/>
          <w:color w:val="auto"/>
        </w:rPr>
      </w:pPr>
      <w:r>
        <w:rPr>
          <w:rFonts w:ascii="Arial" w:cs="Arial" w:eastAsia="Arial" w:hAnsi="Arial"/>
          <w:sz w:val="17"/>
          <w:szCs w:val="17"/>
          <w:color w:val="auto"/>
        </w:rPr>
        <w:t>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w:t>
      </w:r>
    </w:p>
    <w:p>
      <w:pPr>
        <w:spacing w:after="0" w:line="2"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 xml:space="preserve">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w:t>
      </w:r>
      <w:r>
        <w:rPr>
          <w:rFonts w:ascii="Arial" w:cs="Arial" w:eastAsia="Arial" w:hAnsi="Arial"/>
          <w:sz w:val="18"/>
          <w:szCs w:val="18"/>
          <w:i w:val="1"/>
          <w:iCs w:val="1"/>
          <w:color w:val="auto"/>
        </w:rPr>
        <w:t>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 and Regulation — A failure to properly comply with foreign trade zone laws and regulations could increase the cost of our duties and tariffs.</w:t>
      </w:r>
      <w:r>
        <w:rPr>
          <w:rFonts w:ascii="Arial" w:cs="Arial" w:eastAsia="Arial" w:hAnsi="Arial"/>
          <w:sz w:val="18"/>
          <w:szCs w:val="18"/>
          <w:color w:val="auto"/>
        </w:rPr>
        <w:t>” We may incur significant expenses or delays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events outside of our control, which could have a material adverse impact on our business, results of operations and financial condition.</w:t>
      </w:r>
    </w:p>
    <w:p>
      <w:pPr>
        <w:spacing w:after="0" w:line="198" w:lineRule="exact"/>
        <w:rPr>
          <w:sz w:val="20"/>
          <w:szCs w:val="20"/>
          <w:color w:val="auto"/>
        </w:rPr>
      </w:pPr>
    </w:p>
    <w:p>
      <w:pPr>
        <w:ind w:left="1260" w:right="499"/>
        <w:spacing w:after="0" w:line="286" w:lineRule="auto"/>
        <w:rPr>
          <w:sz w:val="20"/>
          <w:szCs w:val="20"/>
          <w:color w:val="auto"/>
        </w:rPr>
      </w:pPr>
      <w:r>
        <w:rPr>
          <w:rFonts w:ascii="Arial" w:cs="Arial" w:eastAsia="Arial" w:hAnsi="Arial"/>
          <w:sz w:val="17"/>
          <w:szCs w:val="17"/>
          <w:b w:val="1"/>
          <w:bCs w:val="1"/>
          <w:i w:val="1"/>
          <w:iCs w:val="1"/>
          <w:color w:val="auto"/>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84"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7"/>
          <w:szCs w:val="17"/>
          <w:color w:val="auto"/>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initiate and ramps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178"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b w:val="1"/>
          <w:bCs w:val="1"/>
          <w:i w:val="1"/>
          <w:iCs w:val="1"/>
          <w:color w:val="auto"/>
        </w:rPr>
        <w:t>Our vehicles will make use of lithium-ion battery cells, which have been observed to catch fire or vent smoke and flame.</w:t>
      </w:r>
    </w:p>
    <w:p>
      <w:pPr>
        <w:spacing w:after="0" w:line="103"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The battery packs within our vehicles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once our vehicles are commercially available, a field or testing failure of our vehicles or other battery packs that we produce could occur. In addition, although we intend to equip our vehicles with systems designed to detect and warn vehicle occupants of such thermal events, there can be no assurance that such systems will function as designed or will provide vehicle occupants with sufficient or any warning. Any such events or failures of our vehicles, battery packs or warning systems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 and reputation.</w:t>
      </w:r>
    </w:p>
    <w:p>
      <w:pPr>
        <w:spacing w:after="0" w:line="119"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 addition, once we begin manufacturing our vehicles and any future energy storage products, we will need to store a significant number of lithium-ion cells at our Casa Grande, Arizona manufacturing facilities.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Cybersecurity and Data Privacy</w:t>
      </w:r>
    </w:p>
    <w:p>
      <w:pPr>
        <w:spacing w:after="0" w:line="229" w:lineRule="exact"/>
        <w:rPr>
          <w:sz w:val="20"/>
          <w:szCs w:val="20"/>
          <w:color w:val="auto"/>
        </w:rPr>
      </w:pPr>
    </w:p>
    <w:p>
      <w:pPr>
        <w:ind w:left="1260" w:right="639"/>
        <w:spacing w:after="0" w:line="311" w:lineRule="auto"/>
        <w:rPr>
          <w:sz w:val="20"/>
          <w:szCs w:val="20"/>
          <w:color w:val="auto"/>
        </w:rPr>
      </w:pPr>
      <w:r>
        <w:rPr>
          <w:rFonts w:ascii="Arial" w:cs="Arial" w:eastAsia="Arial" w:hAnsi="Arial"/>
          <w:sz w:val="16"/>
          <w:szCs w:val="16"/>
          <w:b w:val="1"/>
          <w:bCs w:val="1"/>
          <w:i w:val="1"/>
          <w:iCs w:val="1"/>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6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Our products contain complex information technology systems. For example, our vehicles are designed with built-in data connectivity to accept and install periodic remote updates to improve their functionality. In addition, we expect to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taken certain measures to prevent unauthorized access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14"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Furthermore, hackers may in the future attempt to gain unauthorized access to, modify, alter and use our vehicles, products and systems to (i) gain control of, (ii) change the functionality, user interface and performance characteristics of or (iii) gain access to data stored in or generated by, our vehicles, products and systems. Advances in technology, an increased level of sophistication and diversity of our products and services, an increased level of expertise of hackers and new discoveries in the field of cryptography could lead to a compromise or breach of the measures that we or our third-party service providers use. We and our third-party service providers’ systems have in the past and may in the future be affected by security incidents. Our systems are also vulnerable to damage or interruption from, among other things, computer viruses, ransomware, computer denial or degradation of service attacks, telecommunications failures, social engineering schemes, domain name spoofing, insider theft, physical theft, fire, terrorist attacks, natural disasters, power loss, war, or misuse or other attempts to harm our products and systems. Our and our third-party service providers’ or vendors’ data centers could be subject to break-ins, sabotage and intentional acts of vandalism causing potential disruptions. Some of our systems will not be fully redundant, and our disaster recovery planning cannot account for all eventualities. Any problems at our or our third-party service providers’ or vendors’ data centers could result in lengthy interruptions in our service. There can be no assurance that any security or other operational measures that we or our third-party service providers or vendors have implemented will be effective against any of the foregoing threats or issues.</w:t>
      </w:r>
    </w:p>
    <w:p>
      <w:pPr>
        <w:spacing w:after="0" w:line="124"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or trade secrets. In addition, regardless of their veracity, reports of unauthorized access to our vehicles, systems or data, as well as other factors that may result in the perception that our vehicles, systems or data are capable of being “hacked,” could negatively affect our brand. In addition, some members of the U.S. federal government, including certain members of Congress and the National Highway Traffic Safety Administration (“</w:t>
      </w:r>
      <w:r>
        <w:rPr>
          <w:rFonts w:ascii="Arial" w:cs="Arial" w:eastAsia="Arial" w:hAnsi="Arial"/>
          <w:sz w:val="17"/>
          <w:szCs w:val="17"/>
          <w:i w:val="1"/>
          <w:iCs w:val="1"/>
          <w:color w:val="auto"/>
        </w:rPr>
        <w:t>NHTSA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have recently focused attention on automotive cybersecurity issues and may in the future propose or implement regulations specific to automotive cybersecurity. In addition, the United Nations Economic Commission for Europe has introduced new regulations governing connected vehicle cybersecurity, which became effective in January 2021 and are expected to apply in the European Union to all new vehicle types beginning in July 2022 and to all new vehicles produced from July 2024. Such regulations are also in effect, or expected to come into effect, in certain other international jurisdictions. These and other regulations could adversely affect the timing of our entry into the European or other markets, and if such regulations or other future regulations are inconsistent with our approach to automotive cybersecurity, we would be required to modify our systems to comply with</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91" w:lineRule="auto"/>
        <w:rPr>
          <w:sz w:val="20"/>
          <w:szCs w:val="20"/>
          <w:color w:val="auto"/>
        </w:rPr>
      </w:pPr>
      <w:r>
        <w:rPr>
          <w:rFonts w:ascii="Arial" w:cs="Arial" w:eastAsia="Arial" w:hAnsi="Arial"/>
          <w:sz w:val="17"/>
          <w:szCs w:val="17"/>
          <w:color w:val="auto"/>
        </w:rPr>
        <w:t>such regulations, which would impose additional costs and delays and could expose us to potential liability to the extent our automotive cybersecurity systems and practices are inconsistent with such regulation.</w:t>
      </w:r>
    </w:p>
    <w:p>
      <w:pPr>
        <w:spacing w:after="0" w:line="66"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7"/>
          <w:szCs w:val="17"/>
          <w:color w:val="auto"/>
        </w:rPr>
        <w:t>We may not have adequate insurance coverage to cover losses associated with any of the foregoing, if any. The successful assertion of one or more large claims against us that exceeds our available insurance coverage, or results in changes to our insurance policies (including premium increases or the imposition of large deductible or co- 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08"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6"/>
          <w:szCs w:val="16"/>
          <w:color w:val="auto"/>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procurement, inventory management, production planning and execution,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314"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would then be responsible for installing such updates to the software and their software will be subject to these vulnerabilities until they do so. Any compromise of our intellectual property, proprietary information, systems or vehicles or inability prevent or effectively remedy errors, bugs, vulnerabilities or defects in our software and hardware may cause us to suffer lengthy interruptions to our ability to operate our business and our customers’ ability to operate their vehicles, damage to our reputation, loss of customers, loss of revenue, governmental fines, investigations or litigation or liability for damages, any of which could materially adversely affect our business, results of operations, prospects and financial condition.</w:t>
      </w:r>
    </w:p>
    <w:p>
      <w:pPr>
        <w:spacing w:after="0" w:line="180" w:lineRule="exact"/>
        <w:rPr>
          <w:sz w:val="20"/>
          <w:szCs w:val="20"/>
          <w:color w:val="auto"/>
        </w:rPr>
      </w:pPr>
    </w:p>
    <w:p>
      <w:pPr>
        <w:ind w:left="1260" w:right="539"/>
        <w:spacing w:after="0" w:line="340" w:lineRule="auto"/>
        <w:rPr>
          <w:sz w:val="20"/>
          <w:szCs w:val="20"/>
          <w:color w:val="auto"/>
        </w:rPr>
      </w:pPr>
      <w:r>
        <w:rPr>
          <w:rFonts w:ascii="Arial" w:cs="Arial" w:eastAsia="Arial" w:hAnsi="Arial"/>
          <w:sz w:val="15"/>
          <w:szCs w:val="15"/>
          <w:b w:val="1"/>
          <w:bCs w:val="1"/>
          <w:i w:val="1"/>
          <w:iCs w:val="1"/>
          <w:color w:val="auto"/>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50"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In the course of our operations, we collect, use, store, disclose, transfer and otherwise process personal information from our customers, employees and third parties with whom we conduct business, including names, accounts, user IDs and passwords, and payment or transaction related information. Additionally, we will use our vehicles’ electronic systems to log information about each vehicle’s use, such as charge time, battery usage, mileage and driving behavior, in order to aid it in vehicle diagnostics, repair and maintenance, as well as to help us customize and improve the driving and riding experience. Accordingly, we are subject to or affected by a number of federal, state, local and international laws and regulations, as well as contractual</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39" w:lineRule="auto"/>
        <w:rPr>
          <w:sz w:val="20"/>
          <w:szCs w:val="20"/>
          <w:color w:val="auto"/>
        </w:rPr>
      </w:pPr>
      <w:r>
        <w:rPr>
          <w:rFonts w:ascii="Arial" w:cs="Arial" w:eastAsia="Arial" w:hAnsi="Arial"/>
          <w:sz w:val="18"/>
          <w:szCs w:val="18"/>
          <w:color w:val="auto"/>
        </w:rPr>
        <w:t>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110"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global data protection landscape is rapidly evolving, and implementation standards and enforcement practices are likely to remain uncertain for the foreseeable future. We may not be able to monitor and react to all developments in a timely manner. The European Union adopted the General Data Protection Regulation (“</w:t>
      </w:r>
      <w:r>
        <w:rPr>
          <w:rFonts w:ascii="Arial" w:cs="Arial" w:eastAsia="Arial" w:hAnsi="Arial"/>
          <w:sz w:val="17"/>
          <w:szCs w:val="17"/>
          <w:i w:val="1"/>
          <w:iCs w:val="1"/>
          <w:color w:val="auto"/>
        </w:rPr>
        <w:t>GDPR</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which became effective on May 25, 2018, and California adopted the California Consumer Privacy Act of 2018 (“</w:t>
      </w:r>
      <w:r>
        <w:rPr>
          <w:rFonts w:ascii="Arial" w:cs="Arial" w:eastAsia="Arial" w:hAnsi="Arial"/>
          <w:sz w:val="17"/>
          <w:szCs w:val="17"/>
          <w:i w:val="1"/>
          <w:iCs w:val="1"/>
          <w:color w:val="auto"/>
        </w:rPr>
        <w:t>CCPA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which became effective in January 2020. Both the GDPR and the CCPA impose additional obligations on companies regarding the handling of personal data and provides certain individual privacy rights to persons whose data is collected. Compliance with existing, proposed and recently enacted laws and regulations (including implementation of the privacy and process enhancements called for under the GDPR and CCPA) can be costly, and any failure to comply with these regulatory standards could subject us to legal and reputational risks.</w:t>
      </w:r>
    </w:p>
    <w:p>
      <w:pPr>
        <w:spacing w:after="0" w:line="11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 xml:space="preserve">Specifically,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we expand our operations, the CCPA may increase our compliance costs and potential liability. Some observers have noted that the CCPA could mark the beginning of a trend toward more stringent privacy legislation in the United States. Additionally, effective in most respects starting on January 1, 2023, the California Privacy Rights Act (“ </w:t>
      </w:r>
      <w:r>
        <w:rPr>
          <w:rFonts w:ascii="Arial" w:cs="Arial" w:eastAsia="Arial" w:hAnsi="Arial"/>
          <w:sz w:val="17"/>
          <w:szCs w:val="17"/>
          <w:i w:val="1"/>
          <w:iCs w:val="1"/>
          <w:color w:val="auto"/>
        </w:rPr>
        <w:t>CPRA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will significantly modify the CCPA, including by expanding California residents’ rights with respect to certain sensitive personal information. The CPRA also creates a new state agency that will be vested with authority to implement and enforce the CCPA and the CPRA.</w:t>
      </w:r>
    </w:p>
    <w:p>
      <w:pPr>
        <w:spacing w:after="0" w:line="11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Other states have begun to propose similar laws. Compliance with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w:t>
      </w:r>
    </w:p>
    <w:p>
      <w:pPr>
        <w:spacing w:after="0" w:line="10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post public privacy policies and other documentation regarding our collection, processing, use and disclosure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spacing w:after="0" w:line="121"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Most jurisdictions have enacted laws requiring companies to notify individuals, regulatory authorities and other third parties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 effectiveness of our security measures and could require us to expend significant capital and other resources to respond</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19"/>
        <w:spacing w:after="0" w:line="291" w:lineRule="auto"/>
        <w:rPr>
          <w:sz w:val="20"/>
          <w:szCs w:val="20"/>
          <w:color w:val="auto"/>
        </w:rPr>
      </w:pPr>
      <w:r>
        <w:rPr>
          <w:rFonts w:ascii="Arial" w:cs="Arial" w:eastAsia="Arial" w:hAnsi="Arial"/>
          <w:sz w:val="17"/>
          <w:szCs w:val="17"/>
          <w:color w:val="auto"/>
        </w:rPr>
        <w:t>to or alleviate problems caused by the actual or perceived security breach. Any of the foregoing could materially adversely affect our business, prospects, results of operations and financial condition.</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Employees and Human Resources</w:t>
      </w:r>
    </w:p>
    <w:p>
      <w:pPr>
        <w:spacing w:after="0" w:line="229"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The loss of key personnel or an inability to attract, retain and motivate qualified personnel may impair our ability to expand our business.</w:t>
      </w:r>
    </w:p>
    <w:p>
      <w:pPr>
        <w:spacing w:after="0" w:line="90"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Although we anticipate that our management and key personnel will remain in place following the Transactions, it is possible that we could lose some key personnel. The replacement of any members of our senior management team or other key personnel likely would involve significant time and costs and may significantly delay or prevent the achievement of our business objectives. Our future success also depends, in part, on our ability to continue to attract, integrate and retain highly skilled personnel. Competition for highly skilled personnel is frequently intense, especially in the San Francisco Bay Area, where we have a substantial presence and need for highly skilled personnel, including, in particular, engineers.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93"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b w:val="1"/>
          <w:bCs w:val="1"/>
          <w:i w:val="1"/>
          <w:iCs w:val="1"/>
          <w:color w:val="auto"/>
        </w:rPr>
        <w:t>We are highly dependent on the services of Peter Rawlinson, our Chief Executive Officer and Chief Technology Officer.</w:t>
      </w:r>
    </w:p>
    <w:p>
      <w:pPr>
        <w:spacing w:after="0" w:line="103"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spacing w:after="0" w:line="188" w:lineRule="exact"/>
        <w:rPr>
          <w:sz w:val="20"/>
          <w:szCs w:val="20"/>
          <w:color w:val="auto"/>
        </w:rPr>
      </w:pPr>
    </w:p>
    <w:p>
      <w:pPr>
        <w:ind w:left="1260" w:right="459"/>
        <w:spacing w:after="0" w:line="342" w:lineRule="auto"/>
        <w:rPr>
          <w:sz w:val="20"/>
          <w:szCs w:val="20"/>
          <w:color w:val="auto"/>
        </w:rPr>
      </w:pPr>
      <w:r>
        <w:rPr>
          <w:rFonts w:ascii="Arial" w:cs="Arial" w:eastAsia="Arial" w:hAnsi="Arial"/>
          <w:sz w:val="16"/>
          <w:szCs w:val="16"/>
          <w:b w:val="1"/>
          <w:bCs w:val="1"/>
          <w:i w:val="1"/>
          <w:iCs w:val="1"/>
          <w:color w:val="auto"/>
        </w:rPr>
        <w:t>We will need to hire and train a significant number of employees to engage in full-scale commercial manufacturing operations, and our business could be adversely affected by labor and union activities.</w:t>
      </w:r>
    </w:p>
    <w:p>
      <w:pPr>
        <w:spacing w:after="0" w:line="56" w:lineRule="exact"/>
        <w:rPr>
          <w:sz w:val="20"/>
          <w:szCs w:val="20"/>
          <w:color w:val="auto"/>
        </w:rPr>
      </w:pPr>
    </w:p>
    <w:p>
      <w:pPr>
        <w:ind w:left="1260" w:right="579" w:firstLine="360"/>
        <w:spacing w:after="0" w:line="269" w:lineRule="auto"/>
        <w:rPr>
          <w:sz w:val="20"/>
          <w:szCs w:val="20"/>
          <w:color w:val="auto"/>
        </w:rPr>
      </w:pPr>
      <w:r>
        <w:rPr>
          <w:rFonts w:ascii="Arial" w:cs="Arial" w:eastAsia="Arial" w:hAnsi="Arial"/>
          <w:sz w:val="17"/>
          <w:szCs w:val="17"/>
          <w:color w:val="auto"/>
        </w:rPr>
        <w:t>We will need to hire and train a significant number of employees to engage in full-scale commercial manufacturing operations. This needs to be accomplished in a very short period of time in order for us to commence commercial production and sales in the second half of 2021 as targeted. There are various risks and challenges associated with hiring, training and managing a large workforce, and these risks and challenges may be exacerbated by the short period of time in which we intend to scale up our hourly workforce. Although the area surrounding our Casa Grande, Arizona manufacturing facilities is home to a highly trained workforce with experience in engineering and manufacturing, this workforce does not have significant experience with electric vehicle manufacturing, and many jobs will require significant training. If we are unsuccessful in hiring and training a workforce in a timely and cost-effective manner, our business, financial condition and results of operations could be adversely affected.</w:t>
      </w:r>
    </w:p>
    <w:p>
      <w:pPr>
        <w:spacing w:after="0" w:line="104"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Furthermore, although none of our employees are currently represented by a labor union,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 companies’ operations. In the event our employees seek to join or form a labor union, we could be subject</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9" w:lineRule="auto"/>
        <w:rPr>
          <w:sz w:val="20"/>
          <w:szCs w:val="20"/>
          <w:color w:val="auto"/>
        </w:rPr>
      </w:pPr>
      <w:r>
        <w:rPr>
          <w:rFonts w:ascii="Arial" w:cs="Arial" w:eastAsia="Arial" w:hAnsi="Arial"/>
          <w:sz w:val="18"/>
          <w:szCs w:val="18"/>
          <w:color w:val="auto"/>
        </w:rPr>
        <w:t>to risks as we engage in and attempt to finalize negotiations with any such union, including potential work slowdowns or stoppages, delays and increased costs. Furthermore, we may be directly or indirectly dependent upon companies with unionized work forces, such as parts suppliers and trucking and freight companies, and work stoppages or strikes organized by such unions could have a material adverse impact on our business, financial condition or results of operations. If a work stoppage occurs, it could delay the manufacture and sale of our products and have a material adverse effect on our business, prospects, results of operations or financial condition.</w:t>
      </w:r>
    </w:p>
    <w:p>
      <w:pPr>
        <w:spacing w:after="0" w:line="191" w:lineRule="exact"/>
        <w:rPr>
          <w:sz w:val="20"/>
          <w:szCs w:val="20"/>
          <w:color w:val="auto"/>
        </w:rPr>
      </w:pPr>
    </w:p>
    <w:p>
      <w:pPr>
        <w:ind w:left="1260" w:right="879"/>
        <w:spacing w:after="0" w:line="433" w:lineRule="auto"/>
        <w:rPr>
          <w:sz w:val="20"/>
          <w:szCs w:val="20"/>
          <w:color w:val="auto"/>
        </w:rPr>
      </w:pPr>
      <w:r>
        <w:rPr>
          <w:rFonts w:ascii="Arial" w:cs="Arial" w:eastAsia="Arial" w:hAnsi="Arial"/>
          <w:sz w:val="13"/>
          <w:szCs w:val="13"/>
          <w:b w:val="1"/>
          <w:bCs w:val="1"/>
          <w:i w:val="1"/>
          <w:iCs w:val="1"/>
          <w:color w:val="auto"/>
        </w:rPr>
        <w:t>Misconduct by our employees and independent contractors during and before their employment with us could expose us to potentially significant legal liabilities, reputational harm and/or other damages to our business.</w:t>
      </w:r>
    </w:p>
    <w:p>
      <w:pPr>
        <w:spacing w:after="0" w:line="1"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spacing w:after="0" w:line="113"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22"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Litigation and Regulation</w:t>
      </w:r>
    </w:p>
    <w:p>
      <w:pPr>
        <w:spacing w:after="0" w:line="229" w:lineRule="exact"/>
        <w:rPr>
          <w:sz w:val="20"/>
          <w:szCs w:val="20"/>
          <w:color w:val="auto"/>
        </w:rPr>
      </w:pPr>
    </w:p>
    <w:p>
      <w:pPr>
        <w:ind w:left="1260" w:right="599"/>
        <w:spacing w:after="0" w:line="340" w:lineRule="auto"/>
        <w:rPr>
          <w:sz w:val="20"/>
          <w:szCs w:val="20"/>
          <w:color w:val="auto"/>
        </w:rPr>
      </w:pPr>
      <w:r>
        <w:rPr>
          <w:rFonts w:ascii="Arial" w:cs="Arial" w:eastAsia="Arial" w:hAnsi="Arial"/>
          <w:sz w:val="15"/>
          <w:szCs w:val="15"/>
          <w:b w:val="1"/>
          <w:bCs w:val="1"/>
          <w:i w:val="1"/>
          <w:iCs w:val="1"/>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50"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We are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our facilities. The costs of compliance, including remediating contamination if any is found on our properties and any changes to our operations mandated by new or amended laws, may be significant.</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9" w:lineRule="auto"/>
        <w:rPr>
          <w:sz w:val="20"/>
          <w:szCs w:val="20"/>
          <w:color w:val="auto"/>
        </w:rPr>
      </w:pPr>
      <w:r>
        <w:rPr>
          <w:rFonts w:ascii="Arial" w:cs="Arial" w:eastAsia="Arial" w:hAnsi="Arial"/>
          <w:sz w:val="17"/>
          <w:szCs w:val="17"/>
          <w:color w:val="auto"/>
        </w:rPr>
        <w:t>We may also face unexpected delays in obtaining permits and approvals required by such laws in connection with our manufacturing facilities, which would hinder our ability to commence or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spacing w:after="0" w:line="93"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new model year and changes to the model within a model year. These laws and standards are subject to change from time to time, and we could become subject to additional regulations in the future, which would increase the effort and expense of compliance. In 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delays or substantial expenses, our business could be adversely affected.</w:t>
      </w:r>
    </w:p>
    <w:p>
      <w:pPr>
        <w:spacing w:after="0" w:line="126"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also expect to become subject to laws and regulations applicable to the supply, manufacture, import, sale and service of automobiles internationally, including in Europe, the Middle East and China. Applicable regulations in countries outside of the U.S., such as standards relating to vehicle safety,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82" w:lineRule="exact"/>
        <w:rPr>
          <w:sz w:val="20"/>
          <w:szCs w:val="20"/>
          <w:color w:val="auto"/>
        </w:rPr>
      </w:pPr>
    </w:p>
    <w:p>
      <w:pPr>
        <w:ind w:left="1260" w:right="839"/>
        <w:spacing w:after="0" w:line="277" w:lineRule="auto"/>
        <w:rPr>
          <w:sz w:val="20"/>
          <w:szCs w:val="20"/>
          <w:color w:val="auto"/>
        </w:rPr>
      </w:pPr>
      <w:r>
        <w:rPr>
          <w:rFonts w:ascii="Arial" w:cs="Arial" w:eastAsia="Arial" w:hAnsi="Arial"/>
          <w:sz w:val="18"/>
          <w:szCs w:val="18"/>
          <w:b w:val="1"/>
          <w:bCs w:val="1"/>
          <w:i w:val="1"/>
          <w:iCs w:val="1"/>
          <w:color w:val="auto"/>
        </w:rPr>
        <w:t>We may face regulatory limitations on our ability to sell vehicles directly, which could materially and adversely affect our ability to sell our vehicles.</w:t>
      </w:r>
    </w:p>
    <w:p>
      <w:pPr>
        <w:spacing w:after="0" w:line="103"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Our business plan includes the direct sale of vehicles to retail consumers. The laws governing licensing of dealers and sales of motor vehicles vary from state to state. Most states require a dealer license to sell new motor vehicles within the state, and many states prohibit manufacturers from being a licensed dealer and directly selling new motor vehicles to retail consumers. We anticipate that we can become a licensed dealer in certain states. In some states, we have also opened or expect to open Lucid Studios to educate and inform customers about our vehicles, but not all such Lucid Studios will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115"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3" w:lineRule="auto"/>
        <w:rPr>
          <w:sz w:val="20"/>
          <w:szCs w:val="20"/>
          <w:color w:val="auto"/>
        </w:rPr>
      </w:pPr>
      <w:r>
        <w:rPr>
          <w:rFonts w:ascii="Arial" w:cs="Arial" w:eastAsia="Arial" w:hAnsi="Arial"/>
          <w:sz w:val="17"/>
          <w:szCs w:val="17"/>
          <w:color w:val="auto"/>
        </w:rPr>
        <w:t>with applicable state motor vehicle industry laws. Further, even in jurisdictions where we believe applicable laws and regulations do not currently prohibit our direct sales model or where we have reached agreements with regulators, legislatures may impose additional limitations. For example, the Michigan House of Representatives recently passed a bill, House Bill 6233, which would have restricted our direct sales model. Although the bill was not taken up by the Michigan Senate, similar legislation may be passed in the future in Michigan or in other jurisdictions. Because the laws vary from state to state, our distribution model must 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spacing w:after="0" w:line="184" w:lineRule="exact"/>
        <w:rPr>
          <w:sz w:val="20"/>
          <w:szCs w:val="20"/>
          <w:color w:val="auto"/>
        </w:rPr>
      </w:pPr>
    </w:p>
    <w:p>
      <w:pPr>
        <w:ind w:left="1260" w:right="599"/>
        <w:spacing w:after="0" w:line="291" w:lineRule="auto"/>
        <w:rPr>
          <w:sz w:val="20"/>
          <w:szCs w:val="20"/>
          <w:color w:val="auto"/>
        </w:rPr>
      </w:pPr>
      <w:r>
        <w:rPr>
          <w:rFonts w:ascii="Arial" w:cs="Arial" w:eastAsia="Arial" w:hAnsi="Arial"/>
          <w:sz w:val="17"/>
          <w:szCs w:val="17"/>
          <w:b w:val="1"/>
          <w:bCs w:val="1"/>
          <w:i w:val="1"/>
          <w:iCs w:val="1"/>
          <w:color w:val="auto"/>
        </w:rPr>
        <w:t>We may choose to or be compelled to undertake product recalls or take other actions, which could adversely affect our business, prospects, results of operations, reputation and financial condition.</w:t>
      </w:r>
    </w:p>
    <w:p>
      <w:pPr>
        <w:spacing w:after="0" w:line="66"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Product recalls in the future may result in adverse publicity, damage our reputation and adversely affect our business, prospects, results of operations and financial condition. In the future, we may, voluntarily or involuntarily, initiate a recall if any of our electric vehicles or components (including our battery cells)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spacing w:after="0" w:line="193" w:lineRule="exact"/>
        <w:rPr>
          <w:sz w:val="20"/>
          <w:szCs w:val="20"/>
          <w:color w:val="auto"/>
        </w:rPr>
      </w:pPr>
    </w:p>
    <w:p>
      <w:pPr>
        <w:ind w:left="1260" w:right="419"/>
        <w:spacing w:after="0" w:line="248" w:lineRule="auto"/>
        <w:rPr>
          <w:sz w:val="20"/>
          <w:szCs w:val="20"/>
          <w:color w:val="auto"/>
        </w:rPr>
      </w:pPr>
      <w:r>
        <w:rPr>
          <w:rFonts w:ascii="Arial" w:cs="Arial" w:eastAsia="Arial" w:hAnsi="Arial"/>
          <w:sz w:val="18"/>
          <w:szCs w:val="18"/>
          <w:b w:val="1"/>
          <w:bCs w:val="1"/>
          <w:i w:val="1"/>
          <w:iCs w:val="1"/>
          <w:color w:val="auto"/>
        </w:rPr>
        <w:t>We may in the future be subject to legal proceedings, regulatory disputes and governmental inquiries that could cause us to incur significant expenses, divert our management’s attention, and materially harm our business, results of operations, cash flows and financial condition.</w:t>
      </w:r>
    </w:p>
    <w:p>
      <w:pPr>
        <w:spacing w:after="0" w:line="114"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7"/>
          <w:szCs w:val="17"/>
          <w:color w:val="auto"/>
        </w:rPr>
        <w:t>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employment matters.</w:t>
      </w:r>
    </w:p>
    <w:p>
      <w:pPr>
        <w:spacing w:after="0" w:line="10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Litigation and regulatory proceedings may be protracted and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spacing w:after="0" w:line="11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spacing w:after="0" w:line="194"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03"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We may become subject to product liability claims, which could harm our business, prospects, results of operations and financial condition. The automotive industry experiences significant product liability claims,</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 xml:space="preserve">and we face inherent risks of exposure to claims in the event our future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AD/ADAS features in our vehicles. See “— </w:t>
      </w:r>
      <w:r>
        <w:rPr>
          <w:rFonts w:ascii="Arial" w:cs="Arial" w:eastAsia="Arial" w:hAnsi="Arial"/>
          <w:sz w:val="17"/>
          <w:szCs w:val="17"/>
          <w:i w:val="1"/>
          <w:iCs w:val="1"/>
          <w:color w:val="auto"/>
        </w:rPr>
        <w:t>Risks Related to Litigation and Regulation — AD/</w:t>
      </w:r>
      <w:r>
        <w:rPr>
          <w:rFonts w:ascii="Arial" w:cs="Arial" w:eastAsia="Arial" w:hAnsi="Arial"/>
          <w:sz w:val="17"/>
          <w:szCs w:val="17"/>
          <w:color w:val="auto"/>
        </w:rPr>
        <w:t xml:space="preserve"> </w:t>
      </w:r>
      <w:r>
        <w:rPr>
          <w:rFonts w:ascii="Arial" w:cs="Arial" w:eastAsia="Arial" w:hAnsi="Arial"/>
          <w:sz w:val="17"/>
          <w:szCs w:val="17"/>
          <w:i w:val="1"/>
          <w:iCs w:val="1"/>
          <w:color w:val="auto"/>
        </w:rPr>
        <w:t>ADAS technology is subject to uncertain and evolving regulations</w:t>
      </w:r>
      <w:r>
        <w:rPr>
          <w:rFonts w:ascii="Arial" w:cs="Arial" w:eastAsia="Arial" w:hAnsi="Arial"/>
          <w:sz w:val="17"/>
          <w:szCs w:val="17"/>
          <w:color w:val="auto"/>
        </w:rPr>
        <w:t>.” In addition, the battery packs that we</w:t>
      </w:r>
      <w:r>
        <w:rPr>
          <w:rFonts w:ascii="Arial" w:cs="Arial" w:eastAsia="Arial" w:hAnsi="Arial"/>
          <w:sz w:val="17"/>
          <w:szCs w:val="17"/>
          <w:i w:val="1"/>
          <w:iCs w:val="1"/>
          <w:color w:val="auto"/>
        </w:rPr>
        <w:t xml:space="preserve"> </w:t>
      </w:r>
      <w:r>
        <w:rPr>
          <w:rFonts w:ascii="Arial" w:cs="Arial" w:eastAsia="Arial" w:hAnsi="Arial"/>
          <w:sz w:val="17"/>
          <w:szCs w:val="17"/>
          <w:color w:val="auto"/>
        </w:rPr>
        <w:t>produce make use of lithium-ion cells. On rare occasions, lithium-ion cells can rapidly release the energy they contain by venting smoke and flames in a manner that can ignite nearby materials as well as other lithium -ion cells. While we have designed our battery packs to passively contain a single cell’s release of energy without spreading to neighboring cells, there can be no assurance that a field or testing failure of our vehicles or other battery packs that we produce will not occur, in particular due to a high-speed crash. In addition, although we intend to equip our vehicles with systems designed to detect and warn vehicle occupants of such thermal events, there can be no assurance that such systems will function as designed or will provide vehicle occupants with sufficient or any warning. Any such events or failures of our vehicles, battery packs or warning systems could subject us to lawsuits, product recalls or redesign efforts, all of which would be time consuming and expensive.</w:t>
      </w:r>
    </w:p>
    <w:p>
      <w:pPr>
        <w:spacing w:after="0" w:line="100"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A successful product liability claim against us could require us to pay a substantial monetary award. Our risks in this area are particularly pronounced given that we have not yet deployed our vehicles for consumer use and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spacing w:after="0" w:line="188"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We may be exposed to delays, limitations and risks related to the environmental permits and other operating permits required to operate our manufacturing facilities.</w:t>
      </w:r>
    </w:p>
    <w:p>
      <w:pPr>
        <w:spacing w:after="0" w:line="103"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are in the process of applying for and securing other environmental permits and final certificates of occupancy necessary for the commercial operation of such facilities. We plan to expand our manufacturing facilities and construct additional manufacturing facilities over time to achieve a future target production capacity and will be required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w:t>
      </w:r>
      <w:r>
        <w:rPr>
          <w:rFonts w:ascii="Arial" w:cs="Arial" w:eastAsia="Arial" w:hAnsi="Arial"/>
          <w:sz w:val="18"/>
          <w:szCs w:val="18"/>
          <w:i w:val="1"/>
          <w:iCs w:val="1"/>
          <w:color w:val="auto"/>
        </w:rPr>
        <w:t>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Manufacturing and Supply Chain — We have experienced and may in the future experience significant delays in the design, manufacture, launch and financing of the Lucid Air, which could harm our business and prospects.</w:t>
      </w:r>
      <w:r>
        <w:rPr>
          <w:rFonts w:ascii="Arial" w:cs="Arial" w:eastAsia="Arial" w:hAnsi="Arial"/>
          <w:sz w:val="18"/>
          <w:szCs w:val="18"/>
          <w:color w:val="auto"/>
        </w:rPr>
        <w:t>”</w:t>
      </w:r>
    </w:p>
    <w:p>
      <w:pPr>
        <w:spacing w:after="0" w:line="200"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b w:val="1"/>
          <w:bCs w:val="1"/>
          <w:i w:val="1"/>
          <w:iCs w:val="1"/>
          <w:color w:val="auto"/>
        </w:rPr>
        <w:t>We are subject to various environmental, health and safety laws and regulations that could impose substantial costs on us and cause delays in expanding our production facilities.</w:t>
      </w:r>
    </w:p>
    <w:p>
      <w:pPr>
        <w:spacing w:after="0" w:line="10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complying with them.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107"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24"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color w:val="auto"/>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planned start of production of the Lucid Air, which could have a material adverse effect on our business, prospects and results of operations.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AD/ADAS technology is subject to uncertain and evolving regulations.</w:t>
      </w:r>
    </w:p>
    <w:p>
      <w:pPr>
        <w:spacing w:after="0" w:line="15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We expect to introduce certain AD/ADAS technologies into our vehicles over time. AD/ADAS technology is subject to considerable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were not originally intended to apply to vehicles that may not have a driver.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 conflicting regulations or may delay products or restrict self-driving features and availability, which could adversely affect our business. Our vehicles may not achieve the requisite level of autonomy that may be required in some countries or jurisdictions for certification and rollout to consumers or satisfy changing regulatory requirements which could require us to redesign, modify or update our AD/ADAS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are subject to U.S. and foreign anti-corruption, anti-money laundering and anti-boycott laws and regulations.</w:t>
      </w:r>
    </w:p>
    <w:p>
      <w:pPr>
        <w:spacing w:after="0" w:line="58"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can face criminal liability and other serious consequences for violations, which can harm our business.</w:t>
      </w:r>
    </w:p>
    <w:p>
      <w:pPr>
        <w:spacing w:after="0" w:line="15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are subject to the U.S. Foreign Corrupt Practices Act of 1977, as amended, the U.S. domestic bribery statute contained in 18 U.S.C. § 201, the U.S. Travel Act, the USA PATRIOT Act and possibly other anti-bribery and anti-money laundering laws in countries in which it expects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59"/>
        <w:spacing w:after="0" w:line="261" w:lineRule="auto"/>
        <w:rPr>
          <w:sz w:val="20"/>
          <w:szCs w:val="20"/>
          <w:color w:val="auto"/>
        </w:rPr>
      </w:pPr>
      <w:r>
        <w:rPr>
          <w:rFonts w:ascii="Arial" w:cs="Arial" w:eastAsia="Arial" w:hAnsi="Arial"/>
          <w:sz w:val="18"/>
          <w:szCs w:val="18"/>
          <w:color w:val="auto"/>
        </w:rPr>
        <w:t>export or import privileges, debarment, tax reassessments, breach of contract and fraud litigation, reputational harm and other consequences.</w:t>
      </w:r>
    </w:p>
    <w:p>
      <w:pPr>
        <w:spacing w:after="0" w:line="171"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laws that could subject us to liability if we are not in compliance with such laws.</w:t>
      </w:r>
    </w:p>
    <w:p>
      <w:pPr>
        <w:spacing w:after="0" w:line="90"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Our vehicles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184" w:lineRule="exact"/>
        <w:rPr>
          <w:sz w:val="20"/>
          <w:szCs w:val="20"/>
          <w:color w:val="auto"/>
        </w:rPr>
      </w:pPr>
    </w:p>
    <w:p>
      <w:pPr>
        <w:ind w:left="1260" w:right="719"/>
        <w:spacing w:after="0" w:line="291" w:lineRule="auto"/>
        <w:rPr>
          <w:sz w:val="20"/>
          <w:szCs w:val="20"/>
          <w:color w:val="auto"/>
        </w:rPr>
      </w:pPr>
      <w:r>
        <w:rPr>
          <w:rFonts w:ascii="Arial" w:cs="Arial" w:eastAsia="Arial" w:hAnsi="Arial"/>
          <w:sz w:val="17"/>
          <w:szCs w:val="17"/>
          <w:b w:val="1"/>
          <w:bCs w:val="1"/>
          <w:i w:val="1"/>
          <w:iCs w:val="1"/>
          <w:color w:val="auto"/>
        </w:rPr>
        <w:t>Changes in U.S. trade policy, including the imposition of tariffs and the resulting consequences, could adversely affect our business, prospects, results of operations and financial condition.</w:t>
      </w:r>
    </w:p>
    <w:p>
      <w:pPr>
        <w:spacing w:after="0" w:line="79"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The U.S. government has adopted a new approach to trade policy and in some cases has attempted to renegotiate or terminate certain existing bilateral or multi-lateral trade agreements. It has also imposed tariffs on certain foreign goods, including steel and certain vehicle parts, which have begun to result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spacing w:after="0" w:line="180"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b w:val="1"/>
          <w:bCs w:val="1"/>
          <w:i w:val="1"/>
          <w:iCs w:val="1"/>
          <w:color w:val="auto"/>
        </w:rPr>
        <w:t>A failure to properly comply with foreign trade zone laws and regulations could increase the cost of our duties and tariffs.</w:t>
      </w:r>
    </w:p>
    <w:p>
      <w:pPr>
        <w:spacing w:after="0" w:line="90"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1260" w:right="619"/>
        <w:spacing w:after="0" w:line="279" w:lineRule="auto"/>
        <w:rPr>
          <w:sz w:val="20"/>
          <w:szCs w:val="20"/>
          <w:color w:val="auto"/>
        </w:rPr>
      </w:pPr>
      <w:r>
        <w:rPr>
          <w:rFonts w:ascii="Arial" w:cs="Arial" w:eastAsia="Arial" w:hAnsi="Arial"/>
          <w:sz w:val="17"/>
          <w:szCs w:val="17"/>
          <w:b w:val="1"/>
          <w:bCs w:val="1"/>
          <w:i w:val="1"/>
          <w:iCs w:val="1"/>
          <w:color w:val="auto"/>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90"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protects our intellectual property and proprietary technology through a combination of licensing agreements, third-party nondisclosure and confidentiality agreements and other contractual provisions, as well as through patent, trademark, copyright and trade secret laws in the United States and other jurisdictions.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17"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The measures we take to obtain, maintain, protect and enforce our intellectual property, including preventing unauthorized use by third parties, may not be effective for various reasons, including the following:</w:t>
      </w:r>
    </w:p>
    <w:p>
      <w:pPr>
        <w:spacing w:after="0" w:line="76" w:lineRule="exact"/>
        <w:rPr>
          <w:sz w:val="20"/>
          <w:szCs w:val="20"/>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patent applications we file may not result in the issuance of patents;</w:t>
      </w:r>
    </w:p>
    <w:p>
      <w:pPr>
        <w:spacing w:after="0" w:line="117"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the first inventor of the subject matter to which we have filed a particular patent application, and we may not be the first party to file such a patent application;</w:t>
      </w:r>
    </w:p>
    <w:p>
      <w:pPr>
        <w:spacing w:after="0" w:line="75"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of our issued patents may not be broad enough to protect our inventions and proprietary technology;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issued patents may be challenged or invalidated by our competitors or other third parties;</w:t>
      </w:r>
    </w:p>
    <w:p>
      <w:pPr>
        <w:spacing w:after="0" w:line="117"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patents have a finite term, and competitors and other third parties may offer identical or similar products after the expiration of our patents that cover such products;</w:t>
      </w:r>
    </w:p>
    <w:p>
      <w:pPr>
        <w:spacing w:after="0" w:line="75"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employees, contractors or business partners may breach their confidentiality, non-disclosure and non-use obligations;</w:t>
      </w:r>
    </w:p>
    <w:p>
      <w:pPr>
        <w:spacing w:after="0" w:line="62"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competitors and other third parties may independently develop technologies that are the same or similar to ours;</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enforcing patents or other intellectual property rights, or confidentiality and invention assignment agreements may make enforcement impracticable; and</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competitors and other third parties may circumvent or otherwise design around our patents or other intellectual property.</w:t>
      </w:r>
    </w:p>
    <w:p>
      <w:pPr>
        <w:spacing w:after="0" w:line="103"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spacing w:after="0" w:line="11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13"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We have licensed and plan to further license patents and other intellectual property from third parties, including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spacing w:after="0" w:line="12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181" w:lineRule="exact"/>
        <w:rPr>
          <w:sz w:val="20"/>
          <w:szCs w:val="20"/>
          <w:color w:val="auto"/>
        </w:rPr>
      </w:pPr>
    </w:p>
    <w:p>
      <w:pPr>
        <w:ind w:left="1260" w:right="659"/>
        <w:spacing w:after="0" w:line="324" w:lineRule="auto"/>
        <w:rPr>
          <w:sz w:val="20"/>
          <w:szCs w:val="20"/>
          <w:color w:val="auto"/>
        </w:rPr>
      </w:pPr>
      <w:r>
        <w:rPr>
          <w:rFonts w:ascii="Arial" w:cs="Arial" w:eastAsia="Arial" w:hAnsi="Arial"/>
          <w:sz w:val="16"/>
          <w:szCs w:val="16"/>
          <w:b w:val="1"/>
          <w:bCs w:val="1"/>
          <w:i w:val="1"/>
          <w:iCs w:val="1"/>
          <w:color w:val="auto"/>
        </w:rPr>
        <w:t>We may be sued by third parties for alleged infringement, misappropriation or other violation of their intellectual property, which could be time-consuming and costly and result in significant legal liability.</w:t>
      </w:r>
    </w:p>
    <w:p>
      <w:pPr>
        <w:spacing w:after="0" w:line="43"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There is considerable patent and other intellectual property development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75" w:lineRule="exact"/>
        <w:rPr>
          <w:sz w:val="20"/>
          <w:szCs w:val="20"/>
          <w:color w:val="auto"/>
        </w:rPr>
      </w:pPr>
    </w:p>
    <w:p>
      <w:pPr>
        <w:ind w:left="1800" w:right="91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damages, including treble damages for willful infringement, or ongoing royalty payments;</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039" w:hanging="180"/>
        <w:spacing w:after="0" w:line="308"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cease developing, selling, leasing, using or incorporating certain components into vehicles or offering goods or services that incorporate or use the asserted intellectual property;</w:t>
      </w:r>
    </w:p>
    <w:p>
      <w:pPr>
        <w:spacing w:after="0" w:line="38" w:lineRule="exact"/>
        <w:rPr>
          <w:rFonts w:ascii="Arial" w:cs="Arial" w:eastAsia="Arial" w:hAnsi="Arial"/>
          <w:sz w:val="17"/>
          <w:szCs w:val="17"/>
          <w:color w:val="auto"/>
        </w:rPr>
      </w:pPr>
    </w:p>
    <w:p>
      <w:pPr>
        <w:ind w:left="1800" w:right="111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a license from the owner of the asserted intellectual property, which license may not be available on reasonable terms, or at all;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 with other unfavorable terms;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and maintain alternative branding for our products and services.</w:t>
      </w:r>
    </w:p>
    <w:p>
      <w:pPr>
        <w:spacing w:after="0" w:line="158"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personnel from our business operations. Such disputes, with or without merit, could also cause potential customers to refrain from purchasing our products or otherwise cause us reputational harm and negative publicity.</w:t>
      </w:r>
    </w:p>
    <w:p>
      <w:pPr>
        <w:spacing w:after="0" w:line="101"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Furthermore, many of our employees were previously employed by other automotive companies or by suppliers to automotive companies.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lose valuable intellectual property or personnel. A loss of key personnel or our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94"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b w:val="1"/>
          <w:bCs w:val="1"/>
          <w:i w:val="1"/>
          <w:iCs w:val="1"/>
          <w:color w:val="auto"/>
        </w:rPr>
        <w:t>Some of our products contain open source software, which may pose particular risks to our proprietary software, products and services in a manner that could harm our business.</w:t>
      </w:r>
    </w:p>
    <w:p>
      <w:pPr>
        <w:spacing w:after="0" w:line="103"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We use open source software in our products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19" w:lineRule="exact"/>
        <w:rPr>
          <w:sz w:val="20"/>
          <w:szCs w:val="20"/>
          <w:color w:val="auto"/>
        </w:rPr>
      </w:pPr>
    </w:p>
    <w:p>
      <w:pPr>
        <w:ind w:left="1260" w:right="499" w:firstLine="360"/>
        <w:spacing w:after="0" w:line="308" w:lineRule="auto"/>
        <w:rPr>
          <w:sz w:val="20"/>
          <w:szCs w:val="20"/>
          <w:color w:val="auto"/>
        </w:rPr>
      </w:pPr>
      <w:r>
        <w:rPr>
          <w:rFonts w:ascii="Arial" w:cs="Arial" w:eastAsia="Arial" w:hAnsi="Arial"/>
          <w:sz w:val="17"/>
          <w:szCs w:val="17"/>
          <w:color w:val="auto"/>
        </w:rPr>
        <w:t>Additionally, the use of certain open source software can lead to greater risks than use of third-party commercial software, as open source licensors generally do not provide warranties or controls on the origin</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Financing and Strategic Transactions</w:t>
      </w:r>
    </w:p>
    <w:p>
      <w:pPr>
        <w:spacing w:after="0" w:line="229" w:lineRule="exact"/>
        <w:rPr>
          <w:sz w:val="20"/>
          <w:szCs w:val="20"/>
          <w:color w:val="auto"/>
        </w:rPr>
      </w:pPr>
    </w:p>
    <w:p>
      <w:pPr>
        <w:ind w:left="1260" w:right="1339"/>
        <w:spacing w:after="0" w:line="277" w:lineRule="auto"/>
        <w:rPr>
          <w:sz w:val="20"/>
          <w:szCs w:val="20"/>
          <w:color w:val="auto"/>
        </w:rPr>
      </w:pPr>
      <w:r>
        <w:rPr>
          <w:rFonts w:ascii="Arial" w:cs="Arial" w:eastAsia="Arial" w:hAnsi="Arial"/>
          <w:sz w:val="18"/>
          <w:szCs w:val="18"/>
          <w:b w:val="1"/>
          <w:bCs w:val="1"/>
          <w:i w:val="1"/>
          <w:iCs w:val="1"/>
          <w:color w:val="auto"/>
        </w:rPr>
        <w:t>We will require additional capital to support business growth, and this capital might not be available on commercially reasonable terms, or at all.</w:t>
      </w:r>
    </w:p>
    <w:p>
      <w:pPr>
        <w:spacing w:after="0" w:line="89" w:lineRule="exact"/>
        <w:rPr>
          <w:sz w:val="20"/>
          <w:szCs w:val="20"/>
          <w:color w:val="auto"/>
        </w:rPr>
      </w:pPr>
    </w:p>
    <w:p>
      <w:pPr>
        <w:ind w:left="1260" w:right="539" w:firstLine="360"/>
        <w:spacing w:after="0" w:line="267" w:lineRule="auto"/>
        <w:rPr>
          <w:sz w:val="20"/>
          <w:szCs w:val="20"/>
          <w:color w:val="auto"/>
        </w:rPr>
      </w:pPr>
      <w:r>
        <w:rPr>
          <w:rFonts w:ascii="Arial" w:cs="Arial" w:eastAsia="Arial" w:hAnsi="Arial"/>
          <w:sz w:val="17"/>
          <w:szCs w:val="17"/>
          <w:color w:val="auto"/>
        </w:rPr>
        <w:t>We anticipate that we will need to raise additional funds through equity or debt financings. Our business is capital-intensive, and we expect the costs and expenses associated with our planned operations will continue to increase in the near term. We do not expect to achieve positive cash flow from operations for several years, if at all. In addition, during the first year following the Closing, we expect to settle tax withholding obligations in connection with vesting of the CEO RSU Award (as defined in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 and Results of Operations — Critical Accounting Policies and Estimates — CEO RSU Award</w:t>
      </w:r>
      <w:r>
        <w:rPr>
          <w:rFonts w:ascii="Arial" w:cs="Arial" w:eastAsia="Arial" w:hAnsi="Arial"/>
          <w:sz w:val="17"/>
          <w:szCs w:val="17"/>
          <w:color w:val="auto"/>
        </w:rPr>
        <w:t>”) through “net settlement,” i.e., by remitting cash to satisfy the tax</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obligation and withholding a number of the vested shares on each vesting date. The amount of the tax withholding due on each vesting date will be based on the fair value of our common stock on such vesting date. Depending on the fair value of our common stock and the number of RSUs vesting on any applicable vesting date, such net settlement could require us to expend substantial funds to satisfy tax withholding. Our plan to begin commercial production of our vehicles and grow our business is dependent upon the timely availability of funds and further investment in design, engineering, component procurement, testing, and the build-out of manufacturing capabilities. 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spacing w:after="0" w:line="124"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25"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the ongoing COVID-19 pandemic,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results of operations, prospects and financial condition.</w:t>
      </w:r>
    </w:p>
    <w:p>
      <w:pPr>
        <w:spacing w:after="0" w:line="194" w:lineRule="exact"/>
        <w:rPr>
          <w:sz w:val="20"/>
          <w:szCs w:val="20"/>
          <w:color w:val="auto"/>
        </w:rPr>
      </w:pPr>
    </w:p>
    <w:p>
      <w:pPr>
        <w:ind w:left="1260" w:right="819"/>
        <w:spacing w:after="0" w:line="381" w:lineRule="auto"/>
        <w:rPr>
          <w:sz w:val="20"/>
          <w:szCs w:val="20"/>
          <w:color w:val="auto"/>
        </w:rPr>
      </w:pPr>
      <w:r>
        <w:rPr>
          <w:rFonts w:ascii="Arial" w:cs="Arial" w:eastAsia="Arial" w:hAnsi="Arial"/>
          <w:sz w:val="15"/>
          <w:szCs w:val="15"/>
          <w:b w:val="1"/>
          <w:bCs w:val="1"/>
          <w:i w:val="1"/>
          <w:iCs w:val="1"/>
          <w:color w:val="auto"/>
        </w:rPr>
        <w:t>We will have broad discretion over the use of proceeds from the exercise of our warrants, and we may invest or spend the proceeds in ways with which investors do not agree and in ways that may not yield a return.</w:t>
      </w:r>
    </w:p>
    <w:p>
      <w:pPr>
        <w:spacing w:after="0" w:line="19"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We will have broad discretion over the use of proceeds from the exercises of our warrants and options. Investors may not agree with our decisions, and our use of the proceeds may not yield a return on investment. We intend to use these net proceeds for general corporate purposes, which may include capital expenditures and working capital. Our use of these proceeds may differ substantially from our current plans. Our</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color w:val="auto"/>
        </w:rPr>
        <w:t>failure to apply the net proceeds from the exercises of warrants and options effectively could impair our ability to pursue our growth strategy or could require us to raise additional capital.</w:t>
      </w:r>
    </w:p>
    <w:p>
      <w:pPr>
        <w:spacing w:after="0" w:line="171" w:lineRule="exact"/>
        <w:rPr>
          <w:sz w:val="20"/>
          <w:szCs w:val="20"/>
          <w:color w:val="auto"/>
        </w:rPr>
      </w:pPr>
    </w:p>
    <w:p>
      <w:pPr>
        <w:ind w:left="1260" w:right="659"/>
        <w:spacing w:after="0" w:line="261" w:lineRule="auto"/>
        <w:rPr>
          <w:sz w:val="20"/>
          <w:szCs w:val="20"/>
          <w:color w:val="auto"/>
        </w:rPr>
      </w:pPr>
      <w:r>
        <w:rPr>
          <w:rFonts w:ascii="Arial" w:cs="Arial" w:eastAsia="Arial" w:hAnsi="Arial"/>
          <w:sz w:val="18"/>
          <w:szCs w:val="18"/>
          <w:b w:val="1"/>
          <w:bCs w:val="1"/>
          <w:i w:val="1"/>
          <w:iCs w:val="1"/>
          <w:color w:val="auto"/>
        </w:rPr>
        <w:t>We may not be able to identify adequate strategic relationship opportunities or form strategic relationships, in the future.</w:t>
      </w:r>
    </w:p>
    <w:p>
      <w:pPr>
        <w:spacing w:after="0" w:line="90"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We expect that strategic business relationships will be an important factor in the growth and success of our business. However, there are no assurances that we will be able to identify or secure suitable business relationship opportunities in the future or that our competitors will not capitalize on such opportunities before we do.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suffers negative publicity or harm to their reputation from events relating to their business, we may also suffer negative publicity or harm to our reputation by virtue of our association with any such third party.</w:t>
      </w:r>
    </w:p>
    <w:p>
      <w:pPr>
        <w:spacing w:after="0" w:line="131"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89"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its business, dilute stockholder value and adversely affect our results of operations.</w:t>
      </w:r>
    </w:p>
    <w:p>
      <w:pPr>
        <w:spacing w:after="0" w:line="103"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stoockholders. The incurrence of indebtedness would result in increased fixed obligations and exposure to potential unknown liabilities of the acquired business and could also include covenants or other restrictions that would impede our ability to manage our operations.</w:t>
      </w:r>
    </w:p>
    <w:p>
      <w:pPr>
        <w:spacing w:after="0" w:line="188"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period to period due to fluctuations in our operating costs, product demand and other factors.</w:t>
      </w:r>
    </w:p>
    <w:p>
      <w:pPr>
        <w:spacing w:after="0" w:line="89"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color w:val="auto"/>
        </w:rPr>
        <w:t>We expect our period-to-period financial results to vary based on our operating costs and product demand, which we anticipate will fluctuate as we continue to design, develop and manufacture new vehicles,</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1" w:lineRule="auto"/>
        <w:rPr>
          <w:sz w:val="20"/>
          <w:szCs w:val="20"/>
          <w:color w:val="auto"/>
        </w:rPr>
      </w:pPr>
      <w:r>
        <w:rPr>
          <w:rFonts w:ascii="Arial" w:cs="Arial" w:eastAsia="Arial" w:hAnsi="Arial"/>
          <w:sz w:val="17"/>
          <w:szCs w:val="17"/>
          <w:color w:val="auto"/>
        </w:rPr>
        <w:t>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In addition, automotive manufacturers typically experience significant seasonality, with comparatively low sales in the first quarter and comparatively high sales in the fourth quarter, and we expect to experience similar seasonality when we begin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Tax</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Our ability to use net operating loss carryforwards and certain other tax attributes may be limited.</w:t>
      </w:r>
    </w:p>
    <w:p>
      <w:pPr>
        <w:spacing w:after="0" w:line="156" w:lineRule="exact"/>
        <w:rPr>
          <w:sz w:val="20"/>
          <w:szCs w:val="20"/>
          <w:color w:val="auto"/>
        </w:rPr>
      </w:pPr>
    </w:p>
    <w:p>
      <w:pPr>
        <w:ind w:left="1260" w:right="639" w:firstLine="360"/>
        <w:spacing w:after="0" w:line="291" w:lineRule="auto"/>
        <w:rPr>
          <w:sz w:val="20"/>
          <w:szCs w:val="20"/>
          <w:color w:val="auto"/>
        </w:rPr>
      </w:pPr>
      <w:r>
        <w:rPr>
          <w:rFonts w:ascii="Arial" w:cs="Arial" w:eastAsia="Arial" w:hAnsi="Arial"/>
          <w:sz w:val="17"/>
          <w:szCs w:val="17"/>
          <w:color w:val="auto"/>
        </w:rPr>
        <w:t>As of June 30, 2021, we had accumulated U.S. federal and state net operating loss carryforwards and research and development credits which may be available to offset and reduce future taxable income.</w:t>
      </w:r>
    </w:p>
    <w:p>
      <w:pPr>
        <w:spacing w:after="0" w:line="79" w:lineRule="exact"/>
        <w:rPr>
          <w:sz w:val="20"/>
          <w:szCs w:val="20"/>
          <w:color w:val="auto"/>
        </w:rPr>
      </w:pPr>
    </w:p>
    <w:p>
      <w:pPr>
        <w:ind w:left="1260" w:right="599" w:firstLine="360"/>
        <w:spacing w:after="0"/>
        <w:rPr>
          <w:sz w:val="20"/>
          <w:szCs w:val="20"/>
          <w:color w:val="auto"/>
        </w:rPr>
      </w:pPr>
      <w:r>
        <w:rPr>
          <w:rFonts w:ascii="Arial" w:cs="Arial" w:eastAsia="Arial" w:hAnsi="Arial"/>
          <w:sz w:val="18"/>
          <w:szCs w:val="18"/>
          <w:color w:val="auto"/>
        </w:rPr>
        <w:t>However, the U.S. federal and state net operating loss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its pre -change net operating loss carryforwards and other pre-change attributes, such as research tax credits, to offset its post-change income or tax may be limited.</w:t>
      </w:r>
    </w:p>
    <w:p>
      <w:pPr>
        <w:spacing w:after="0" w:line="12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In general, an “ownership change” will occur if there is a cumulative change in our ownership by “5-percent shareholders” that exceeds 50 percentage points over a rolling three-year period. Similar rules may apply under state tax laws. We have not yet completed an analysis of whether the business combination caused an “ownership change” for these purposes. In addition, we may experience ownership changes in the future as a result of subsequent shifts in our stock ownership, some of which may be outside of our control. If we undergo an ownership change, we may be prevented from fully utilizing the net operating loss carryforwards and tax credits existing at the time of the ownership change prior to their expiration. Future regulatory changes could also limit our ability to utilize net operating loss carryforwards and tax credits. To the extent we are not able to offset future taxable income with our net operating loss carryforwards and tax credits, our net income and cash flows may be adversely affected.</w:t>
      </w:r>
    </w:p>
    <w:p>
      <w:pPr>
        <w:spacing w:after="0" w:line="99"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U.S. federal net operating losses that were incurred prior to 2018 and the California net operating losses are generally available and can be carried forward for 20 years. The U.S. federal research and development credits can be carried forward for 20 years, and the California research and development credits have no expiration date. It is possible that we will not generate taxable income in time to use these net operating loss carryforwards and research and development credits before their expiration. Under legislative changes enacted in December 2017, U.S. federal net operating losses incurred in 2018 and subsequent years can be carried forward indefinitely, but the annual utilizable net operating losses may not be more than 80% of the taxable income. It is uncertain if and to what extent various states will conform to the newly enacted federal tax law.</w:t>
      </w:r>
    </w:p>
    <w:p>
      <w:pPr>
        <w:spacing w:after="0" w:line="191"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b w:val="1"/>
          <w:bCs w:val="1"/>
          <w:i w:val="1"/>
          <w:iCs w:val="1"/>
          <w:color w:val="auto"/>
        </w:rPr>
        <w:t>Unanticipated tax laws or any change in the application of existing tax laws to us or our customers may adversely impact our profitability and business.</w:t>
      </w:r>
    </w:p>
    <w:p>
      <w:pPr>
        <w:spacing w:after="0" w:line="103"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We operate and are subject to income and other taxes in the United States and a growing number of other jurisdictions throughout the world.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0" w:lineRule="auto"/>
        <w:rPr>
          <w:sz w:val="20"/>
          <w:szCs w:val="20"/>
          <w:color w:val="auto"/>
        </w:rPr>
      </w:pPr>
      <w:r>
        <w:rPr>
          <w:rFonts w:ascii="Arial" w:cs="Arial" w:eastAsia="Arial" w:hAnsi="Arial"/>
          <w:sz w:val="17"/>
          <w:szCs w:val="17"/>
          <w:color w:val="auto"/>
        </w:rPr>
        <w:t>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 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These contemplated tax initiatives, if finalized and adopted by countries, and the other tax issues described above may materially and adversely impact our operating activities, transfer pricing policies, effective tax rate, deferred tax assets, operating income, and cash flows.</w:t>
      </w:r>
    </w:p>
    <w:p>
      <w:pPr>
        <w:spacing w:after="0" w:line="100"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On April 7, 2021 the current presidential administration proposed changes to the U.S. tax system. The proposals under discussion include changes to the U.S. corporate tax system that would increase U.S. corporate tax rates, impose a corporate minimum book tax and double the tax rate on and make other tax changes to broad categories of income earned by foreign subsidiaries. While it is expected that a tax reform bill will be introduced in the House of Representatives in the near term, many aspects of the current proposals are unclear or underdeveloped. We are unable to predict which, if any, U.S. tax reform proposals will be enacted into law, and what effects any enacted legislation might have on our liability for U.S. federal income taxes. However, it is possible that the enactment of changes in the U.S. corporate tax system could have a material adverse effect on our liability for U.S. corporate tax and our consolidated effective tax rate.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the Restatement of Our Previously Issued Financial Statements</w:t>
      </w:r>
    </w:p>
    <w:p>
      <w:pPr>
        <w:spacing w:after="0" w:line="229"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b w:val="1"/>
          <w:bCs w:val="1"/>
          <w:i w:val="1"/>
          <w:iCs w:val="1"/>
          <w:color w:val="auto"/>
        </w:rPr>
        <w:t>Our warrants are accounted for as liabilities and the changes in value of our warrants could have a material effect on our financial results.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April 12, 2021, the Acting Director of the Division of Corporation Finance and Acting Chief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Accountant of the SEC together issued a public statement (the “</w:t>
      </w:r>
      <w:r>
        <w:rPr>
          <w:rFonts w:ascii="Arial" w:cs="Arial" w:eastAsia="Arial" w:hAnsi="Arial"/>
          <w:sz w:val="17"/>
          <w:szCs w:val="17"/>
          <w:i w:val="1"/>
          <w:iCs w:val="1"/>
          <w:color w:val="auto"/>
        </w:rPr>
        <w:t>SEC Warrant Accounting Statement</w:t>
      </w:r>
      <w:r>
        <w:rPr>
          <w:rFonts w:ascii="Arial" w:cs="Arial" w:eastAsia="Arial" w:hAnsi="Arial"/>
          <w:sz w:val="17"/>
          <w:szCs w:val="17"/>
          <w:color w:val="auto"/>
        </w:rPr>
        <w:t>”)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accounting and reporting considerations for warrants issued by special purpose acquisition companies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SPACs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The SEC Warrant Accounting Statement discussed “certain features of warrants issued in SPAC</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transactions” that “may be common across many entities.” The SEC Warrant Accounting Statement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indicated that when one or more of such features is included in a warrant, the warrant “should be classified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 a liability measured at fair value, with changes in fair value each period reported in earnings.” In light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SEC Warrant Accounting Statement and guidance in Accounting Standards Codification (“</w:t>
      </w:r>
      <w:r>
        <w:rPr>
          <w:rFonts w:ascii="Arial" w:cs="Arial" w:eastAsia="Arial" w:hAnsi="Arial"/>
          <w:sz w:val="17"/>
          <w:szCs w:val="17"/>
          <w:i w:val="1"/>
          <w:iCs w:val="1"/>
          <w:color w:val="auto"/>
        </w:rPr>
        <w:t>ASC</w:t>
      </w:r>
      <w:r>
        <w:rPr>
          <w:rFonts w:ascii="Arial" w:cs="Arial" w:eastAsia="Arial" w:hAnsi="Arial"/>
          <w:sz w:val="17"/>
          <w:szCs w:val="17"/>
          <w:color w:val="auto"/>
        </w:rPr>
        <w:t>”) 815-</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40, “</w:t>
      </w:r>
      <w:r>
        <w:rPr>
          <w:rFonts w:ascii="Arial" w:cs="Arial" w:eastAsia="Arial" w:hAnsi="Arial"/>
          <w:sz w:val="17"/>
          <w:szCs w:val="17"/>
          <w:i w:val="1"/>
          <w:iCs w:val="1"/>
          <w:color w:val="auto"/>
        </w:rPr>
        <w:t>Derivatives and Hedging — Contracts in Entity’s Own Equity</w:t>
      </w:r>
      <w:r>
        <w:rPr>
          <w:rFonts w:ascii="Arial" w:cs="Arial" w:eastAsia="Arial" w:hAnsi="Arial"/>
          <w:sz w:val="17"/>
          <w:szCs w:val="17"/>
          <w:color w:val="auto"/>
        </w:rPr>
        <w:t>,” Churchill’s management evaluated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terms of the Warrant Agreement entered into in connection with the Churchill IPO and concluded that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warrants include provisions that, based on the SEC Warrant Accounting Statement, preclude the warrants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from being classified as components of equity. As a result, Churchill classified the warrants as liabilities.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Under this accounting treatment, we are required to measure the fair value of the warrants at the end of each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reporting period and recognize changes in the fair value from the prior period in our operating results for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current period. As a result of the recurring fair value measurement, our financial statements and results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operations may fluctuate quarterly based on factors which are outside our control. We expect that we will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recognize non-cash gains or losses due to the quarterly fair valuation of the warrants and that such gains 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losses could be material.</w:t>
      </w:r>
    </w:p>
    <w:p>
      <w:pPr>
        <w:spacing w:after="0" w:line="14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 As part of such process, Churchill identified a material weakness in its internal controls over financial reporting, solely related to Churchill’s accounting for warrants. See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Related to Public Company Requirements — We have 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r>
        <w:rPr>
          <w:rFonts w:ascii="Arial" w:cs="Arial" w:eastAsia="Arial" w:hAnsi="Arial"/>
          <w:sz w:val="18"/>
          <w:szCs w:val="18"/>
          <w:color w:val="auto"/>
        </w:rPr>
        <w:t>”</w:t>
      </w:r>
    </w:p>
    <w:p>
      <w:pPr>
        <w:sectPr>
          <w:pgSz w:w="11900" w:h="16838" w:orient="portrait"/>
          <w:cols w:equalWidth="0" w:num="1">
            <w:col w:w="9879"/>
          </w:cols>
          <w:pgMar w:left="580" w:top="132"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Public Company Requirements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44"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cash flows and financial condition. In addition, we expect to hire additional personnel to support our operations as a public company, which will increase our operating costs in future periods.</w:t>
      </w:r>
    </w:p>
    <w:p>
      <w:pPr>
        <w:spacing w:after="0" w:line="181" w:lineRule="exact"/>
        <w:rPr>
          <w:sz w:val="20"/>
          <w:szCs w:val="20"/>
          <w:color w:val="auto"/>
        </w:rPr>
      </w:pPr>
    </w:p>
    <w:p>
      <w:pPr>
        <w:ind w:left="1260" w:right="499"/>
        <w:spacing w:after="0" w:line="381" w:lineRule="auto"/>
        <w:rPr>
          <w:sz w:val="20"/>
          <w:szCs w:val="20"/>
          <w:color w:val="auto"/>
        </w:rPr>
      </w:pPr>
      <w:r>
        <w:rPr>
          <w:rFonts w:ascii="Arial" w:cs="Arial" w:eastAsia="Arial" w:hAnsi="Arial"/>
          <w:sz w:val="15"/>
          <w:szCs w:val="15"/>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33"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We currently qualify as an “emerging growth company” as defined in Section 2(a)(19) of the Securities Act, as modified by the JOBS Act. As such, we take and will continue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and prospectus. As a result, our stockholders may not have access to certain information they deem important. We will remain an emerging growth company until the earliest of</w:t>
      </w:r>
    </w:p>
    <w:p>
      <w:pPr>
        <w:spacing w:after="0" w:line="1" w:lineRule="exact"/>
        <w:rPr>
          <w:sz w:val="20"/>
          <w:szCs w:val="20"/>
          <w:color w:val="auto"/>
        </w:rPr>
      </w:pPr>
    </w:p>
    <w:p>
      <w:pPr>
        <w:ind w:left="1480" w:hanging="220"/>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last day of the fiscal year: (a) following August 3, 2025, the fifth anniversary of the Churchill IPO;</w:t>
      </w:r>
    </w:p>
    <w:p>
      <w:pPr>
        <w:spacing w:after="0" w:line="9" w:lineRule="exact"/>
        <w:rPr>
          <w:rFonts w:ascii="Arial" w:cs="Arial" w:eastAsia="Arial" w:hAnsi="Arial"/>
          <w:sz w:val="18"/>
          <w:szCs w:val="18"/>
          <w:color w:val="auto"/>
        </w:rPr>
      </w:pPr>
    </w:p>
    <w:p>
      <w:pPr>
        <w:ind w:left="1260" w:right="459"/>
        <w:spacing w:after="0" w:line="271" w:lineRule="auto"/>
        <w:tabs>
          <w:tab w:leader="none" w:pos="1529"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which we have total annual gross revenue of at least $1.07 billion; or (c) in which we are deemed to be a large accelerated filer, which means the market value of our Class A common stock that is held by non-affiliates exceeds $700 million as of the last business day of our prior second fiscal quarter, and (ii) the date on which we have issued more than $1.0 billion in non-convertible debt during the prior three-year period. We expect that we will cease to be an emerging growth company as of December 31, 2021.</w:t>
      </w:r>
    </w:p>
    <w:p>
      <w:pPr>
        <w:spacing w:after="0" w:line="111"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05"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9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We intend to continue to take advantage of the exemptions described above for as long as we continue to be an emerging growth company. See “</w:t>
      </w:r>
      <w:r>
        <w:rPr>
          <w:rFonts w:ascii="Arial" w:cs="Arial" w:eastAsia="Arial" w:hAnsi="Arial"/>
          <w:sz w:val="18"/>
          <w:szCs w:val="18"/>
          <w:i w:val="1"/>
          <w:iCs w:val="1"/>
          <w:color w:val="auto"/>
        </w:rPr>
        <w:t>— Risks Related to Public Company Requirements — The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of being a public company may strain our resources and distract our management, which could make it difficult to manage our business, particularly after we are no longer an “emerging growth company</w:t>
      </w:r>
      <w:r>
        <w:rPr>
          <w:rFonts w:ascii="Arial" w:cs="Arial" w:eastAsia="Arial" w:hAnsi="Arial"/>
          <w:sz w:val="18"/>
          <w:szCs w:val="18"/>
          <w:color w:val="auto"/>
        </w:rPr>
        <w:t>.”</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433" w:lineRule="auto"/>
        <w:rPr>
          <w:sz w:val="20"/>
          <w:szCs w:val="20"/>
          <w:color w:val="auto"/>
        </w:rPr>
      </w:pPr>
      <w:r>
        <w:rPr>
          <w:rFonts w:ascii="Arial" w:cs="Arial" w:eastAsia="Arial" w:hAnsi="Arial"/>
          <w:sz w:val="13"/>
          <w:szCs w:val="13"/>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1"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Following the Closing, we are required to comply with various regulatory and reporting requirements, including those required by the SEC and Nasdaq. Complying with these reporting and other regulatory requirements will be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Lastly, a failure to comply with such requirements, as interpreted and applied, could also have a material adverse effect on our results of operations, financial condition or business.</w:t>
      </w:r>
    </w:p>
    <w:p>
      <w:pPr>
        <w:spacing w:after="0" w:line="126"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7"/>
          <w:szCs w:val="17"/>
          <w:color w:val="auto"/>
        </w:rPr>
        <w:t>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To implement, maintain and improve the effectiveness of our disclosure controls and procedures, we will need to commit significant resources, hire additional staff and provide additional management oversight. We will be implementing additional procedures and processes 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113"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We qualify as an “emerging growth company” as defined in the JOBS Act, and we intend to take advantage of certain temporary exemptions from various reporting requirements including, but not limited to, not being required to comply with the auditor attestation requirements of Section 404 of the Sarbanes-Oxley Act and reduced disclosure obligations regarding executive compensation in the combined company’s periodic reports and proxy statements. We may also delay adoption of new or revised accounting pronouncements applicable to public companies until such pronouncements are made applicable to private companies, as permitted by the JOBS Act.</w:t>
      </w:r>
    </w:p>
    <w:p>
      <w:pPr>
        <w:spacing w:after="0" w:line="11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Our independent registered public accounting firm will not be required to formally attest to the effectiveness of the combined company’s internal control over financial reporting until the later of our second annual report or the first annual report required to be filed with the SEC following the date we are no longer an “emerging growth company” as defined in the JOBS Act. We expect that we will cease to be an emerging growth company as of December 31, 2021. We have identified material weaknesses in our internal control over financial reporting for the year ended December 31, 2020 and cannot assure you that there will not be material weaknesses or significant deficiencies in our internal controls in the future.</w:t>
      </w:r>
    </w:p>
    <w:p>
      <w:pPr>
        <w:spacing w:after="0" w:line="112" w:lineRule="exact"/>
        <w:rPr>
          <w:sz w:val="20"/>
          <w:szCs w:val="20"/>
          <w:color w:val="auto"/>
        </w:rPr>
      </w:pPr>
    </w:p>
    <w:p>
      <w:pPr>
        <w:jc w:val="both"/>
        <w:ind w:left="1260" w:right="719" w:firstLine="360"/>
        <w:spacing w:after="0" w:line="294" w:lineRule="auto"/>
        <w:rPr>
          <w:sz w:val="20"/>
          <w:szCs w:val="20"/>
          <w:color w:val="auto"/>
        </w:rPr>
      </w:pPr>
      <w:r>
        <w:rPr>
          <w:rFonts w:ascii="Arial" w:cs="Arial" w:eastAsia="Arial" w:hAnsi="Arial"/>
          <w:sz w:val="16"/>
          <w:szCs w:val="16"/>
          <w:color w:val="auto"/>
        </w:rPr>
        <w:t>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147" w:lineRule="exact"/>
        <w:rPr>
          <w:sz w:val="20"/>
          <w:szCs w:val="20"/>
          <w:color w:val="auto"/>
        </w:rPr>
      </w:pPr>
    </w:p>
    <w:p>
      <w:pPr>
        <w:ind w:left="1260" w:right="479"/>
        <w:spacing w:after="0" w:line="279"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92"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7"/>
          <w:szCs w:val="17"/>
          <w:color w:val="auto"/>
        </w:rPr>
        <w:t>As a privately-held company, Lucid was not required to evaluate its internal control over financial reporting in a manner that meets the standards of publicly traded companies required by Section 404(a) of the Sarbanes-Oxley Act. As a public company, we will be required to provide management’s attestation on internal control over financial reporting. If we are unable to establish or maintain appropriate internal control over financial reporting or implement these additional requirements in a timely manner or with</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color w:val="auto"/>
        </w:rPr>
        <w:t>adequate compliance, it could result in material misstatements in our consolidated financial statements, failure to meet our reporting obligations on a timely basis, increases in compliance costs, and subject us to adverse regulatory consequences, all of which may adversely affect investor confidence in us and the value of our common stock.</w:t>
      </w:r>
    </w:p>
    <w:p>
      <w:pPr>
        <w:spacing w:after="0" w:line="107"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In connection with the preparation and audit of Lucid’s consolidated financial statements as of and for the years ended December 31, 2020 and 2019, material weaknesses were identified in its internal control over financial reporting. A material weakness is a deficiency, or combination of deficiencies, in internal control over financial reporting such that there is a reasonable possibility that a material misstatement of the financial statements will not be prevented or detected on a timely basis. The following material weaknesses were identified:</w:t>
      </w:r>
    </w:p>
    <w:p>
      <w:pPr>
        <w:spacing w:after="0" w:line="81" w:lineRule="exact"/>
        <w:rPr>
          <w:sz w:val="20"/>
          <w:szCs w:val="20"/>
          <w:color w:val="auto"/>
        </w:rPr>
      </w:pPr>
    </w:p>
    <w:p>
      <w:pPr>
        <w:ind w:left="1800" w:right="459" w:hanging="180"/>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Lucid did not maintain a sufficient complement of personnel with accounting knowledge, experience and training to appropriately analyze, record and disclose accounting matters to provide reasonable assurance of preventing material misstatements;</w:t>
      </w:r>
    </w:p>
    <w:p>
      <w:pPr>
        <w:spacing w:after="0" w:line="75" w:lineRule="exact"/>
        <w:rPr>
          <w:rFonts w:ascii="Arial" w:cs="Arial" w:eastAsia="Arial" w:hAnsi="Arial"/>
          <w:sz w:val="18"/>
          <w:szCs w:val="18"/>
          <w:color w:val="auto"/>
        </w:rPr>
      </w:pPr>
    </w:p>
    <w:p>
      <w:pPr>
        <w:ind w:left="1800" w:right="113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Lucid did not maintain an effective process to verify changes to vendor records for payment remittances; and</w:t>
      </w:r>
    </w:p>
    <w:p>
      <w:pPr>
        <w:spacing w:after="0" w:line="62" w:lineRule="exact"/>
        <w:rPr>
          <w:rFonts w:ascii="Arial" w:cs="Arial" w:eastAsia="Arial" w:hAnsi="Arial"/>
          <w:sz w:val="18"/>
          <w:szCs w:val="18"/>
          <w:color w:val="auto"/>
        </w:rPr>
      </w:pPr>
    </w:p>
    <w:p>
      <w:pPr>
        <w:ind w:left="1800" w:right="459" w:hanging="180"/>
        <w:spacing w:after="0" w:line="25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Lucid did not maintain effective controls over certain information technology (“</w:t>
      </w:r>
      <w:r>
        <w:rPr>
          <w:rFonts w:ascii="Arial" w:cs="Arial" w:eastAsia="Arial" w:hAnsi="Arial"/>
          <w:sz w:val="18"/>
          <w:szCs w:val="18"/>
          <w:i w:val="1"/>
          <w:iCs w:val="1"/>
          <w:color w:val="auto"/>
        </w:rPr>
        <w:t>IT</w:t>
      </w:r>
      <w:r>
        <w:rPr>
          <w:rFonts w:ascii="Arial" w:cs="Arial" w:eastAsia="Arial" w:hAnsi="Arial"/>
          <w:sz w:val="18"/>
          <w:szCs w:val="18"/>
          <w:color w:val="auto"/>
        </w:rPr>
        <w:t>”) general controls for information systems that are relevant to the preparation of its consolidated financial statements. Specifically, Lucid did not design and maintain user access controls to ensure appropriate segregation of duties and restrict user access to its financial applications to appropriate company personnel.</w:t>
      </w:r>
    </w:p>
    <w:p>
      <w:pPr>
        <w:spacing w:after="0" w:line="120"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The material weaknesses related to the insufficient complement of personnel and formal accounting policies, procedures and controls resulted in adjustments to several accounts and disclosures. The IT deficiencies did not result in a material misstatement to the consolidated financial statements, however, the deficiencies, when aggregated, could result in potential misstatements that would not be prevented or detected. Each of these material weaknesses could result in a material misstatement to the annual or interim consolidated financial statements that would not be prevented or detected.</w:t>
      </w:r>
    </w:p>
    <w:p>
      <w:pPr>
        <w:spacing w:after="0" w:line="94"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We have begun implementing a plan to remediate these material weaknesses. These remediation measures are ongoing and include the following steps:</w:t>
      </w:r>
    </w:p>
    <w:p>
      <w:pPr>
        <w:spacing w:after="0" w:line="63" w:lineRule="exact"/>
        <w:rPr>
          <w:sz w:val="20"/>
          <w:szCs w:val="20"/>
          <w:color w:val="auto"/>
        </w:rPr>
      </w:pPr>
    </w:p>
    <w:p>
      <w:pPr>
        <w:ind w:left="1800" w:right="49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hiring additional accounting and financial reporting personnel with appropriate technical accounting knowledge and public company experience in financial reporting;</w:t>
      </w:r>
    </w:p>
    <w:p>
      <w:pPr>
        <w:spacing w:after="0" w:line="62"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designing and implementing effective processes and controls to prevent payment to unverified vendors;</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designing and implementing security management and change management controls over IT systems, including adjusting user access levels and implementing external logging of activity and periodic review of such logs; and</w:t>
      </w:r>
    </w:p>
    <w:p>
      <w:pPr>
        <w:spacing w:after="0" w:line="75"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engaging an accounting advisory firm to assist with the documentation, evaluation, remediation and testing of our internal control over financial reporting based on the criteria established in Internal Control — Integrated Framework issued by the Committee of Sponsoring Organizations of the Treadway Commission.</w:t>
      </w:r>
    </w:p>
    <w:p>
      <w:pPr>
        <w:spacing w:after="0" w:line="106"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 xml:space="preserve">In addition, in connection with the restatement of Churchill’s financial statement reflected in Churchill’s Annual Report on Form 10-K/A filed on May 14, 2021, Churchill’s management concluded that its disclosure controls and procedures and internal control over financial reporting were not effective as of December 31, 2020 due to a material weakness in internal controls over financial reporting solely related to its accounting for warrants. See “ </w:t>
      </w:r>
      <w:r>
        <w:rPr>
          <w:rFonts w:ascii="Arial" w:cs="Arial" w:eastAsia="Arial" w:hAnsi="Arial"/>
          <w:sz w:val="18"/>
          <w:szCs w:val="18"/>
          <w:i w:val="1"/>
          <w:iCs w:val="1"/>
          <w:color w:val="auto"/>
        </w:rPr>
        <w:t>— Risks Related to the Restatement of Our Previously Issued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Our warrants are accounted for as liabilities and the changes in value of our warrants could have a material effect on our financial results</w:t>
      </w:r>
      <w:r>
        <w:rPr>
          <w:rFonts w:ascii="Arial" w:cs="Arial" w:eastAsia="Arial" w:hAnsi="Arial"/>
          <w:sz w:val="18"/>
          <w:szCs w:val="18"/>
          <w:color w:val="auto"/>
        </w:rPr>
        <w:t>.”</w:t>
      </w:r>
    </w:p>
    <w:p>
      <w:pPr>
        <w:spacing w:after="0" w:line="123" w:lineRule="exact"/>
        <w:rPr>
          <w:sz w:val="20"/>
          <w:szCs w:val="20"/>
          <w:color w:val="auto"/>
        </w:rPr>
      </w:pPr>
    </w:p>
    <w:p>
      <w:pPr>
        <w:ind w:left="1260" w:right="779" w:firstLine="360"/>
        <w:spacing w:after="0" w:line="243" w:lineRule="auto"/>
        <w:rPr>
          <w:sz w:val="20"/>
          <w:szCs w:val="20"/>
          <w:color w:val="auto"/>
        </w:rPr>
      </w:pPr>
      <w:r>
        <w:rPr>
          <w:rFonts w:ascii="Arial" w:cs="Arial" w:eastAsia="Arial" w:hAnsi="Arial"/>
          <w:sz w:val="18"/>
          <w:szCs w:val="18"/>
          <w:color w:val="auto"/>
        </w:rPr>
        <w:t>While we are designing and implementing measures to remediate existing material weaknesses, we cannot predict the success of such measures or the outcome of our assessment of these measures at this time. Our current controls and any new controls that we develop may become inadequate because of changes</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in conditions in our business, personnel, IT systems and applications, or other factors. If we fail to remediate existing material weaknesses or identify new material weaknesses in our internal controls over financial reporting, if we are unable to comply with the requirements of Section 404 of the Sarbanes-Oxley Act in a timely manner, if we are unable to conclude that our internal controls over financial reporting are effective, or if our independent registered public accounting firm is unable to express an opinion as to the effectiveness of our internal controls over financial reporting, it is possible that a material misstatement of our financial statements would not be prevented or detected on a timely basis, investors may lose confidence in the accuracy and completeness of our financial reports, and the market price of our common stock could be negatively affected.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the Transactions</w:t>
      </w:r>
    </w:p>
    <w:p>
      <w:pPr>
        <w:spacing w:after="0" w:line="229" w:lineRule="exact"/>
        <w:rPr>
          <w:sz w:val="20"/>
          <w:szCs w:val="20"/>
          <w:color w:val="auto"/>
        </w:rPr>
      </w:pPr>
    </w:p>
    <w:p>
      <w:pPr>
        <w:ind w:left="1260" w:right="1159"/>
        <w:spacing w:after="0" w:line="291" w:lineRule="auto"/>
        <w:rPr>
          <w:sz w:val="20"/>
          <w:szCs w:val="20"/>
          <w:color w:val="auto"/>
        </w:rPr>
      </w:pPr>
      <w:r>
        <w:rPr>
          <w:rFonts w:ascii="Arial" w:cs="Arial" w:eastAsia="Arial" w:hAnsi="Arial"/>
          <w:sz w:val="17"/>
          <w:szCs w:val="17"/>
          <w:b w:val="1"/>
          <w:bCs w:val="1"/>
          <w:i w:val="1"/>
          <w:iCs w:val="1"/>
          <w:color w:val="auto"/>
        </w:rPr>
        <w:t>Legal proceedings in connection with the Transactions, the outcomes of which are uncertain, could divert management’s attention and adversely affect our daily operations.</w:t>
      </w:r>
    </w:p>
    <w:p>
      <w:pPr>
        <w:spacing w:after="0" w:line="6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On March 3, 2021, Richard Hofman, a purported stockholder of Churchill, filed a complaint, individually and on behalf of other Churchill stockholders, in the Superior Court of the State of California against Churchill, Lucid, and other unnamed defendants. The complaint alleged claims for fraud, negligent misrepresentation, and false advertising and unfair business practices in connection with allegedly false and misleading statements and omissions in Churchill’s public filings, concerning the proposed merger between Churchill and Lucid. The complaint sought injunctive relief, as well as compensatory and punitive damages. On March 8, 2021, plaintiff filed an ex parte application for a temporary restraining order and preliminary injunction, which Churchill opposed and the court denied on March 10, 2021. Plaintiff filed an amended complaint on March 22, 2021, solely in a personal capacity and not on behalf of any other Churchill stockholders. The amended complaint alleges claims for fraud against defendants Lucid and Peter Rawlinson, and negligent misrepresentation against Churchill, Lucid, and Mr. Rawlinson. The amended complaint seeks compensatory and punitive damages. On June 7, 2021, the plaintiff filed a notice voluntarily dismissing the action without prejudice.</w:t>
      </w:r>
    </w:p>
    <w:p>
      <w:pPr>
        <w:spacing w:after="0" w:line="11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Since April 18, 2021, four actions asserting claims under the federal securities laws have been filed in federal courts in Alabama, California, New Jersey and Indiana, including two putative class actions: Randy Phillips v. Churchill Capital Corporation IV, et al., 1:21-cv-00539-ACA (N.D. Ala., filed Apr. 18, 2021); Arec D. Simeri v. Churchill Capital Corporation IV, et al., 2:21-cv-04295 (C.D. Cal., filed May 24, 2021); Chris Arico v. Churchill Capital Corporation IV, et al., 1:21-cv-12355 (D.N.J., filed June 9, 2021); and Gregory Slabaugh v. Churchill Capital Corporation IV, et al., 1:21-cv-01652 (S.D. Ind., filed June 11, 2021). The complaints name Churchill, Atieva, Inc. (doing business as Lucid), Michael Klein, Jay Taragin, and Peter Rawlinson as defendants and generally allege violations of Sections 10(b) and 20(a) of the Exchange Act in connection with alleged false and misleading statements concerning Lucid’s business plans and prospects, as well as the proposed merger between Churchill and Lucid. The complaints generally seek compensatory and/or punitive damages. We believe the claims are without merit and intend to defend ourselves vigorously.</w:t>
      </w:r>
    </w:p>
    <w:p>
      <w:pPr>
        <w:spacing w:after="0" w:line="133"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Additional lawsuits may be filed against us or our directors and officers in connection with the Transactions. Defending such additional lawsuits could require us to incur significant costs and draw the attention of our management team away from the daily operations of Lucid Group. Further, the defense or settlement of any lawsuit or claim may also adversely affect our business, financial condition, results of operations and cash flows.</w:t>
      </w:r>
    </w:p>
    <w:p>
      <w:pPr>
        <w:spacing w:after="0" w:line="188"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b w:val="1"/>
          <w:bCs w:val="1"/>
          <w:i w:val="1"/>
          <w:iCs w:val="1"/>
          <w:color w:val="auto"/>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03"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Although Churchill has conducted due diligence on the Lucid business, we cannot assure you that this diligence surfaced all material issues that may have been present in such business, that it was possible to uncover all material issues through a customary amount of due diligence, or that factors outside of the Lucid business and outside of our control will not later arise. As a result of these factors, we may be forced to later write-down or write-off assets, restructure operations, or incur impairment or other charges that could result in losses. Even if Churchill’s due diligence successfully identified certain risks, unexpected risks may</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19"/>
        <w:spacing w:after="0" w:line="262" w:lineRule="auto"/>
        <w:rPr>
          <w:sz w:val="20"/>
          <w:szCs w:val="20"/>
          <w:color w:val="auto"/>
        </w:rPr>
      </w:pPr>
      <w:r>
        <w:rPr>
          <w:rFonts w:ascii="Arial" w:cs="Arial" w:eastAsia="Arial" w:hAnsi="Arial"/>
          <w:sz w:val="17"/>
          <w:szCs w:val="17"/>
          <w:color w:val="auto"/>
        </w:rPr>
        <w:t>arise and previously known risks may materialize in a manner not consistent with Churchill’s preliminary risk analysis.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172" w:lineRule="exact"/>
        <w:rPr>
          <w:sz w:val="20"/>
          <w:szCs w:val="20"/>
          <w:color w:val="auto"/>
        </w:rPr>
      </w:pPr>
    </w:p>
    <w:p>
      <w:pPr>
        <w:ind w:left="1260" w:right="579"/>
        <w:spacing w:after="0" w:line="261" w:lineRule="auto"/>
        <w:rPr>
          <w:sz w:val="20"/>
          <w:szCs w:val="20"/>
          <w:color w:val="auto"/>
        </w:rPr>
      </w:pPr>
      <w:r>
        <w:rPr>
          <w:rFonts w:ascii="Arial" w:cs="Arial" w:eastAsia="Arial" w:hAnsi="Arial"/>
          <w:sz w:val="18"/>
          <w:szCs w:val="18"/>
          <w:b w:val="1"/>
          <w:bCs w:val="1"/>
          <w:i w:val="1"/>
          <w:iCs w:val="1"/>
          <w:color w:val="auto"/>
        </w:rPr>
        <w:t>If the benefits of the Transactions do not meet the expectations of investors, stockholders or financial analysts, the market price of our securities may decline.</w:t>
      </w:r>
    </w:p>
    <w:p>
      <w:pPr>
        <w:spacing w:after="0" w:line="90"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If the benefits of the Transactions do not meet the expectations of investors, stockholders or securities analysts, the market price of our securities may decline.</w:t>
      </w:r>
    </w:p>
    <w:p>
      <w:pPr>
        <w:spacing w:after="0" w:line="103"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Fluctuations in the price of our securities could contribute to the loss of all or part of your investment. Immediately prior to the Transactions, there has not been a public market for stock relating to the Lucid business and trading in shares of Churchill’s Class A common stock has not been active. Accordingly, the valuation ascribed to the Lucid business and Churchill’s Class A common stock in the Transactions may not be indicative of the price that will prevail in the trading market following the Transactions.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There is no guarantee that an active and liquid public market for our securities will develop.</w:t>
      </w:r>
    </w:p>
    <w:p>
      <w:pPr>
        <w:spacing w:after="0" w:line="158" w:lineRule="exact"/>
        <w:rPr>
          <w:sz w:val="20"/>
          <w:szCs w:val="20"/>
          <w:color w:val="auto"/>
        </w:rPr>
      </w:pPr>
    </w:p>
    <w:p>
      <w:pPr>
        <w:jc w:val="both"/>
        <w:ind w:left="1260" w:right="479" w:firstLine="360"/>
        <w:spacing w:after="0" w:line="248" w:lineRule="auto"/>
        <w:rPr>
          <w:sz w:val="20"/>
          <w:szCs w:val="20"/>
          <w:color w:val="auto"/>
        </w:rPr>
      </w:pPr>
      <w:r>
        <w:rPr>
          <w:rFonts w:ascii="Arial" w:cs="Arial" w:eastAsia="Arial" w:hAnsi="Arial"/>
          <w:sz w:val="18"/>
          <w:szCs w:val="18"/>
          <w:color w:val="auto"/>
        </w:rPr>
        <w:t>Churchill was a blank check company and there was no public market for Lucid Common Shares since Lucid was a private company. A liquid trading market for our Class A common stock may never develop or, if developed, it may not be sustained. In the absence of a liquid public trading market:</w:t>
      </w:r>
    </w:p>
    <w:p>
      <w:pPr>
        <w:spacing w:after="0" w:line="60" w:lineRule="exact"/>
        <w:rPr>
          <w:sz w:val="20"/>
          <w:szCs w:val="20"/>
          <w:color w:val="auto"/>
        </w:rPr>
      </w:pPr>
    </w:p>
    <w:p>
      <w:pPr>
        <w:ind w:left="1800" w:right="87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may not be able to liquidate your investment in shares of our Class A common stock or our warrants;</w:t>
      </w:r>
    </w:p>
    <w:p>
      <w:pPr>
        <w:spacing w:after="0" w:line="62"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may not be able to resell your shares of our Class A common stock or our warrants at or above the price you paid for them;</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 price of shares of our Class A common stock or our warrants may experience significant price volatility;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may be less efficiency in carrying out your purchase and sale orders.</w:t>
      </w:r>
    </w:p>
    <w:p>
      <w:pPr>
        <w:spacing w:after="0" w:line="144"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Additionally, if our securities become delisted from Nasdaq for any reason, and are quoted on the OTC Bulletin Board, an inter- 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price of our Class A common stock and warrants may be volatile.</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trading price of our Class A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securities depends on many factors, including those described elsewhere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 many of which are beyond our control and may not be related to our operating performance. These fluctuations could cause you to lose all or part of your investment in our securities since you might be unable to sell them at or above the price you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17" w:lineRule="exact"/>
        <w:rPr>
          <w:sz w:val="20"/>
          <w:szCs w:val="20"/>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us;</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28" w:lineRule="exact"/>
        <w:rPr>
          <w:rFonts w:ascii="Arial" w:cs="Arial" w:eastAsia="Arial" w:hAnsi="Arial"/>
          <w:sz w:val="17"/>
          <w:szCs w:val="17"/>
          <w:color w:val="auto"/>
        </w:rPr>
      </w:pPr>
    </w:p>
    <w:p>
      <w:pPr>
        <w:ind w:left="1800" w:right="95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rumors and speculation in the press or investment community or on social media about us, our customers or companies perceived to be similar to us;</w:t>
      </w:r>
    </w:p>
    <w:p>
      <w:pPr>
        <w:spacing w:after="0" w:line="48"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pacing w:after="0" w:line="48"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the achievement of objectives under our business plan and the timing and amount of costs we incur in connection therewith;</w:t>
      </w:r>
    </w:p>
    <w:p>
      <w:pPr>
        <w:spacing w:after="0" w:line="48"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 selling of our Class A common stock and warrants or related derivative securities;</w:t>
      </w:r>
    </w:p>
    <w:p>
      <w:pPr>
        <w:spacing w:after="0" w:line="117"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actions by hedge funds, short term investors, activist stockholders or stockholder representative organizations;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operating and stock price performance of other companies that investors deem comparable to ours;</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commencement of, or involvement in, litigation or investigations involving us;</w:t>
      </w:r>
    </w:p>
    <w:p>
      <w:pPr>
        <w:spacing w:after="0" w:line="103"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volume of our Class A common stock available for public sale;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03"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substantial amounts of our Class A common stock by our directors, officers or significant stockholders or the perception that such sales could occur;</w:t>
      </w:r>
    </w:p>
    <w:p>
      <w:pPr>
        <w:spacing w:after="0" w:line="48" w:lineRule="exact"/>
        <w:rPr>
          <w:rFonts w:ascii="Arial" w:cs="Arial" w:eastAsia="Arial" w:hAnsi="Arial"/>
          <w:sz w:val="18"/>
          <w:szCs w:val="18"/>
          <w:color w:val="auto"/>
        </w:rPr>
      </w:pPr>
    </w:p>
    <w:p>
      <w:pPr>
        <w:ind w:left="1800" w:right="119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retail and other individual investors (as distinguished from institutional investors), invest in our Class A common stock;</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sudden increases in the demand for our Class A common stock, including as a result of any “short squeezes”;</w:t>
      </w:r>
    </w:p>
    <w:p>
      <w:pPr>
        <w:spacing w:after="0" w:line="48"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speculative trading that is not primarily motivated by our announcements or the condition of our business;</w:t>
      </w:r>
    </w:p>
    <w:p>
      <w:pPr>
        <w:spacing w:after="0" w:line="48"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“trade wars,” pandemics (such as COVID-19) and acts of war or terrorism;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risk factors listed under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4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regardless of our business, prospects, financial conditions or results of operations. Broad market and industry factors, including, most recently, the impact of the novel coronavirus, COVID-19, and any other global pandemics, as well as general economic, political and market conditions such as recessions or interest rate changes, may seriously affect the market price of our Class A common stock,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w:t>
      </w:r>
    </w:p>
    <w:p>
      <w:pPr>
        <w:spacing w:after="0" w:line="100"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74" w:lineRule="exact"/>
        <w:rPr>
          <w:sz w:val="20"/>
          <w:szCs w:val="20"/>
          <w:color w:val="auto"/>
        </w:rPr>
      </w:pPr>
    </w:p>
    <w:p>
      <w:pPr>
        <w:ind w:left="1260" w:right="899"/>
        <w:spacing w:after="0" w:line="261" w:lineRule="auto"/>
        <w:rPr>
          <w:sz w:val="20"/>
          <w:szCs w:val="20"/>
          <w:color w:val="auto"/>
        </w:rPr>
      </w:pPr>
      <w:r>
        <w:rPr>
          <w:rFonts w:ascii="Arial" w:cs="Arial" w:eastAsia="Arial" w:hAnsi="Arial"/>
          <w:sz w:val="18"/>
          <w:szCs w:val="18"/>
          <w:b w:val="1"/>
          <w:bCs w:val="1"/>
          <w:i w:val="1"/>
          <w:iCs w:val="1"/>
          <w:color w:val="auto"/>
        </w:rPr>
        <w:t>Nasdaq may not continue to list our securities, which could limit investors’ ability to make transactions in our securities and subject us to additional trading restrictions.</w:t>
      </w:r>
    </w:p>
    <w:p>
      <w:pPr>
        <w:spacing w:after="0" w:line="103" w:lineRule="exact"/>
        <w:rPr>
          <w:sz w:val="20"/>
          <w:szCs w:val="20"/>
          <w:color w:val="auto"/>
        </w:rPr>
      </w:pPr>
    </w:p>
    <w:p>
      <w:pPr>
        <w:ind w:left="1260" w:right="719" w:firstLine="360"/>
        <w:spacing w:after="0" w:line="262" w:lineRule="auto"/>
        <w:rPr>
          <w:sz w:val="20"/>
          <w:szCs w:val="20"/>
          <w:color w:val="auto"/>
        </w:rPr>
      </w:pPr>
      <w:r>
        <w:rPr>
          <w:rFonts w:ascii="Arial" w:cs="Arial" w:eastAsia="Arial" w:hAnsi="Arial"/>
          <w:sz w:val="17"/>
          <w:szCs w:val="17"/>
          <w:color w:val="auto"/>
        </w:rPr>
        <w:t>Our Class A common stock and Public Warrants are currently listed on the Nasdaq Global Select Market. There can be no assurance that we will be able to comply with the continued listing standards of Nasdaq. If Nasdaq delists our common stock from trading on its exchange for failure to meet the listing standards, our stockholders could face significant material adverse consequences including:</w:t>
      </w:r>
    </w:p>
    <w:p>
      <w:pPr>
        <w:spacing w:after="0" w:line="64" w:lineRule="exact"/>
        <w:rPr>
          <w:sz w:val="20"/>
          <w:szCs w:val="20"/>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17"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such securities to adhere to more stringent rules and possibly result in a reduced level of trading activity in the secondary trading market for our securities;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1260" w:right="619"/>
        <w:spacing w:after="0" w:line="248" w:lineRule="auto"/>
        <w:rPr>
          <w:sz w:val="20"/>
          <w:szCs w:val="20"/>
          <w:color w:val="auto"/>
        </w:rPr>
      </w:pPr>
      <w:r>
        <w:rPr>
          <w:rFonts w:ascii="Arial" w:cs="Arial" w:eastAsia="Arial" w:hAnsi="Arial"/>
          <w:sz w:val="18"/>
          <w:szCs w:val="18"/>
          <w:b w:val="1"/>
          <w:bCs w:val="1"/>
          <w:i w:val="1"/>
          <w:iCs w:val="1"/>
          <w:color w:val="auto"/>
        </w:rPr>
        <w:t>A significant portion of our Class A common stock is restricted from immediate resale, but may be sold into the market in the future. This could cause the market price of our Class A common stock to drop significantly, even if our business is doing well.</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market price of shares of our Class A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20"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As of immediately after the Closing, we had outstanding (i) 1,618,621,534 shares of our Class A common stock, (ii) warrants to purchase 85,750,000 shares of our Class A common stock, and (iii) options and restricted stock units covering 111,531,080 shares of our Class A common stock.</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Pursuant to the Investor Rights Agreement and our current bylaws, and subject to certain exceptions,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holders of: (i) shares of Class A common stock issued as consideration pursuant to the Merger, (ii) any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assumed Lucid Equity Awards; or (iii) shares of Class A common stock underlying such assumed Lucid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Equity Awards, in each case, are restricted from selling or transferring any of the securities described in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clauses (i), (ii) or (iii). Such restrictions began at the Closing and will end at the date that is 180 days after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Closing. Pursuant to the Investor Rights Agreement, the Sponsor has agreed to similar restrictions for a</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period of 18 months with respect to Class A common stock and Private Placement Warrants held by it.</w:t>
      </w:r>
    </w:p>
    <w:p>
      <w:pPr>
        <w:ind w:left="1260"/>
        <w:spacing w:after="0"/>
        <w:rPr>
          <w:sz w:val="20"/>
          <w:szCs w:val="20"/>
          <w:color w:val="auto"/>
        </w:rPr>
      </w:pPr>
      <w:r>
        <w:rPr>
          <w:rFonts w:ascii="Arial" w:cs="Arial" w:eastAsia="Arial" w:hAnsi="Arial"/>
          <w:sz w:val="17"/>
          <w:szCs w:val="17"/>
          <w:color w:val="auto"/>
        </w:rPr>
        <w:t>However, following the expiration of such lock-up periods, the Sponsor and the other lock-up parties will</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 be restricted from selling our securities held by them, other than by applicable securities laws.</w:t>
      </w:r>
    </w:p>
    <w:p>
      <w:pPr>
        <w:ind w:left="1260"/>
        <w:spacing w:after="0"/>
        <w:rPr>
          <w:sz w:val="20"/>
          <w:szCs w:val="20"/>
          <w:color w:val="auto"/>
        </w:rPr>
      </w:pPr>
      <w:r>
        <w:rPr>
          <w:rFonts w:ascii="Arial" w:cs="Arial" w:eastAsia="Arial" w:hAnsi="Arial"/>
          <w:sz w:val="17"/>
          <w:szCs w:val="17"/>
          <w:color w:val="auto"/>
        </w:rPr>
        <w:t>Additionally, the PIPE Investors will not be restricted from selling any of their shares of Class A common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 after the expiration of the lock-up period applicable to them and described in the section entitled</w:t>
      </w: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Plan of Distribution — Lock-Up Agreements</w:t>
      </w:r>
      <w:r>
        <w:rPr>
          <w:rFonts w:ascii="Arial" w:cs="Arial" w:eastAsia="Arial" w:hAnsi="Arial"/>
          <w:sz w:val="17"/>
          <w:szCs w:val="17"/>
          <w:color w:val="auto"/>
        </w:rPr>
        <w:t>,” other than by applicable securities laws. As such, sales of 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substantial</w:t>
      </w: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48" w:lineRule="auto"/>
        <w:rPr>
          <w:sz w:val="20"/>
          <w:szCs w:val="20"/>
          <w:color w:val="auto"/>
        </w:rPr>
      </w:pPr>
      <w:r>
        <w:rPr>
          <w:rFonts w:ascii="Arial" w:cs="Arial" w:eastAsia="Arial" w:hAnsi="Arial"/>
          <w:sz w:val="18"/>
          <w:szCs w:val="18"/>
          <w:color w:val="auto"/>
        </w:rPr>
        <w:t>number of shares of Class A common stock in the public market could occur at any time. These sales, or the perception in the market that the holders of a large number of shares intend to sell shares, could reduce the market price of Class A common stock.</w:t>
      </w:r>
    </w:p>
    <w:p>
      <w:pPr>
        <w:spacing w:after="0" w:line="101"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In addition, pursuant to the Investor Rights Agreement, the Sponsor, Ayar and certain other parties thereto are entitled to, among other things, certain registration rights, including demand, piggy-back and shelf registration rights, subject to cut-back provisions. We are also required to register additional shares of our common stock pursuant to the PIPE Subscription Agreements and the Warrant Agreement. To satisfy these obligations, we are registering up to 1,422,079,949 shares of Class A common stock pursuant to the registration statement of which this prospectus is a part.</w:t>
      </w:r>
    </w:p>
    <w:p>
      <w:pPr>
        <w:spacing w:after="0" w:line="189" w:lineRule="exact"/>
        <w:rPr>
          <w:sz w:val="20"/>
          <w:szCs w:val="20"/>
          <w:color w:val="auto"/>
        </w:rPr>
      </w:pPr>
    </w:p>
    <w:p>
      <w:pPr>
        <w:jc w:val="both"/>
        <w:ind w:left="1260" w:right="599"/>
        <w:spacing w:after="0" w:line="294" w:lineRule="auto"/>
        <w:rPr>
          <w:sz w:val="20"/>
          <w:szCs w:val="20"/>
          <w:color w:val="auto"/>
        </w:rPr>
      </w:pPr>
      <w:r>
        <w:rPr>
          <w:rFonts w:ascii="Arial" w:cs="Arial" w:eastAsia="Arial" w:hAnsi="Arial"/>
          <w:sz w:val="16"/>
          <w:szCs w:val="16"/>
          <w:b w:val="1"/>
          <w:bCs w:val="1"/>
          <w:i w:val="1"/>
          <w:iCs w:val="1"/>
          <w:color w:val="auto"/>
        </w:rPr>
        <w:t>We are a “controlled company” within the meaning of the applicable rules of Nasdaq and, as a result, qualify for exemptions from certain corporate governance requirements. Our stockholders will not have the same protections afforded to stockholders of companies that are not controlled companies.</w:t>
      </w:r>
    </w:p>
    <w:p>
      <w:pPr>
        <w:spacing w:after="0" w:line="80"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As of the Closing Date, Ayar held approximately 62.7%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as of the date of this prospectus,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w:t>
      </w:r>
    </w:p>
    <w:p>
      <w:pPr>
        <w:spacing w:after="0" w:line="181"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b w:val="1"/>
          <w:bCs w:val="1"/>
          <w:i w:val="1"/>
          <w:iCs w:val="1"/>
          <w:color w:val="auto"/>
        </w:rPr>
        <w:t>The Sponsor, Ayar and the PIPE Investors beneficially own a significant equity interest in us and may take actions that conflict with your interests.</w:t>
      </w:r>
    </w:p>
    <w:p>
      <w:pPr>
        <w:spacing w:after="0" w:line="90"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The interests of Sponsor, Ayar and the PIPE Investors may not align with the interests of our other stockholders. The Sponsor, Ayar and the PIPE Investors are each in the business of making investments in companies and may acquire and hold interests in businesses that compete directly or indirectly with us. The Sponsor, Ayar and the PIPE Investors, and their respective affiliates, may also pursue acquisition opportunities that may be complementary to our business and, as a result, those acquisition opportunities may not be available to us.</w:t>
      </w:r>
    </w:p>
    <w:p>
      <w:pPr>
        <w:spacing w:after="0" w:line="189" w:lineRule="exact"/>
        <w:rPr>
          <w:sz w:val="20"/>
          <w:szCs w:val="20"/>
          <w:color w:val="auto"/>
        </w:rPr>
      </w:pPr>
    </w:p>
    <w:p>
      <w:pPr>
        <w:ind w:left="1260" w:right="859"/>
        <w:spacing w:after="0" w:line="362" w:lineRule="auto"/>
        <w:rPr>
          <w:sz w:val="20"/>
          <w:szCs w:val="20"/>
          <w:color w:val="auto"/>
        </w:rPr>
      </w:pPr>
      <w:r>
        <w:rPr>
          <w:rFonts w:ascii="Arial" w:cs="Arial" w:eastAsia="Arial" w:hAnsi="Arial"/>
          <w:sz w:val="15"/>
          <w:szCs w:val="15"/>
          <w:b w:val="1"/>
          <w:bCs w:val="1"/>
          <w:i w:val="1"/>
          <w:iCs w:val="1"/>
          <w:color w:val="auto"/>
        </w:rPr>
        <w:t>We may issue additional shares of our Class A common stock or other equity securities without your approval, which would dilute your ownership interests and may depress the market price of your shares.</w:t>
      </w:r>
    </w:p>
    <w:p>
      <w:pPr>
        <w:spacing w:after="0" w:line="33" w:lineRule="exact"/>
        <w:rPr>
          <w:sz w:val="20"/>
          <w:szCs w:val="20"/>
          <w:color w:val="auto"/>
        </w:rPr>
      </w:pPr>
    </w:p>
    <w:p>
      <w:pPr>
        <w:ind w:left="1260" w:right="819" w:firstLine="360"/>
        <w:spacing w:after="0" w:line="241" w:lineRule="auto"/>
        <w:rPr>
          <w:sz w:val="20"/>
          <w:szCs w:val="20"/>
          <w:color w:val="auto"/>
        </w:rPr>
      </w:pPr>
      <w:r>
        <w:rPr>
          <w:rFonts w:ascii="Arial" w:cs="Arial" w:eastAsia="Arial" w:hAnsi="Arial"/>
          <w:sz w:val="18"/>
          <w:szCs w:val="18"/>
          <w:color w:val="auto"/>
        </w:rPr>
        <w:t>We may issue additional shares of our Class A common stock or other equity securities of equal or senior rank in the future in connection with, among other things, future acquisitions, repayment of outstanding indebtedness or under our Incentive Plan, without stockholder approval, in a number of circumstances. In connection with the Transactions, we assumed Lucid Equity Awards covering approximately 111.5 million shares of our Class A common stock.</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Our issuance of additional shares of our Class A common stock or other equity securities of equal or senior rank could have the following effects:</w:t>
      </w:r>
    </w:p>
    <w:p>
      <w:pPr>
        <w:spacing w:after="0" w:line="49" w:lineRule="exact"/>
        <w:rPr>
          <w:sz w:val="20"/>
          <w:szCs w:val="20"/>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your proportionate ownership interest in us will decrease;</w:t>
      </w:r>
    </w:p>
    <w:p>
      <w:pPr>
        <w:spacing w:after="0" w:line="117" w:lineRule="exact"/>
        <w:rPr>
          <w:rFonts w:ascii="Arial" w:cs="Arial" w:eastAsia="Arial" w:hAnsi="Arial"/>
          <w:sz w:val="18"/>
          <w:szCs w:val="18"/>
          <w:color w:val="auto"/>
        </w:rPr>
      </w:pPr>
    </w:p>
    <w:p>
      <w:pPr>
        <w:ind w:left="1800" w:right="127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common stock may be diminished; 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market price of our stock may decline.</w:t>
      </w:r>
    </w:p>
    <w:p>
      <w:pPr>
        <w:spacing w:after="0" w:line="225" w:lineRule="exact"/>
        <w:rPr>
          <w:sz w:val="20"/>
          <w:szCs w:val="20"/>
          <w:color w:val="auto"/>
        </w:rPr>
      </w:pPr>
    </w:p>
    <w:p>
      <w:pPr>
        <w:ind w:left="1260" w:right="819"/>
        <w:spacing w:after="0" w:line="261" w:lineRule="auto"/>
        <w:rPr>
          <w:sz w:val="20"/>
          <w:szCs w:val="20"/>
          <w:color w:val="auto"/>
        </w:rPr>
      </w:pPr>
      <w:r>
        <w:rPr>
          <w:rFonts w:ascii="Arial" w:cs="Arial" w:eastAsia="Arial" w:hAnsi="Arial"/>
          <w:sz w:val="18"/>
          <w:szCs w:val="18"/>
          <w:b w:val="1"/>
          <w:bCs w:val="1"/>
          <w:i w:val="1"/>
          <w:iCs w:val="1"/>
          <w:color w:val="auto"/>
        </w:rPr>
        <w:t>Our results of operations may differ significantly from the unaudited pro forma condensed combined financial information included in this prospectus.</w:t>
      </w:r>
    </w:p>
    <w:p>
      <w:pPr>
        <w:spacing w:after="0" w:line="103"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This prospectus includes our unaudited pro forma condensed combined financial statements. Our unaudited pro forma condensed combined statement of loss combines the historical results of operations of Churchill.</w:t>
      </w:r>
    </w:p>
    <w:p>
      <w:pPr>
        <w:spacing w:after="0" w:line="101"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7"/>
          <w:szCs w:val="17"/>
          <w:color w:val="auto"/>
        </w:rPr>
        <w:t>The unaudited pro forma condensed combined financial statements are presented for illustrative purposes only, are based on certain assumptions, address a hypothetical situation and reflect limited historical financial data. Therefore, the unaudited pro forma condensed combined financial statements are not necessarily indicative of the results of operations and financial position that would have been achieved had the business combination been consummated on the dates set forth in such unaudited pro forma condensed combined financial statements, or the future consolidated results of operations or financial position of Lucid Group. Accordingly, our business, assets, cash flows, results of operations and financial condition may differ significantly from those indicated by the unaudited pro forma condensed combined financial statements included in this prospectus. For more information, please see the section entitled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180"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b w:val="1"/>
          <w:bCs w:val="1"/>
          <w:i w:val="1"/>
          <w:iCs w:val="1"/>
          <w:color w:val="auto"/>
        </w:rPr>
        <w:t>There is no guarantee that our warrants will be in the money, and they may expire worthless and the terms of our warrants may be amended.</w:t>
      </w:r>
    </w:p>
    <w:p>
      <w:pPr>
        <w:spacing w:after="0" w:line="103"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exercise price for our warrants is $11.50 per share of Class A common stock. There is no guarantee that the warrants will be in the money at any given time prior to their expiration. If the trading price of our common stock desclines, the warrants may expire worthless.</w:t>
      </w:r>
    </w:p>
    <w:p>
      <w:pPr>
        <w:spacing w:after="0" w:line="182"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103"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We have the ability to redeem outstanding warrants at any time after they become exercisable and prior to their expiration, at a price of $0.01 per warrant, provided that the closing price of our Class A common stock equals or exceeds $18.00 per share (as adjusted for stock splits, stock dividends,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w:t>
      </w:r>
    </w:p>
    <w:p>
      <w:pPr>
        <w:spacing w:after="0" w:line="193"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b w:val="1"/>
          <w:bCs w:val="1"/>
          <w:i w:val="1"/>
          <w:iCs w:val="1"/>
          <w:color w:val="auto"/>
        </w:rPr>
        <w:t>Our only significant asset is our ownership interest in the Lucid business, and such ownership may not be sufficiently profitable or valuable to enable us to satisfy our other financial obligations. We do not anticipate paying any cash dividends for the foreseeable future.</w:t>
      </w:r>
    </w:p>
    <w:p>
      <w:pPr>
        <w:spacing w:after="0" w:line="101" w:lineRule="exact"/>
        <w:rPr>
          <w:sz w:val="20"/>
          <w:szCs w:val="20"/>
          <w:color w:val="auto"/>
        </w:rPr>
      </w:pPr>
    </w:p>
    <w:p>
      <w:pPr>
        <w:ind w:left="1260" w:right="779" w:firstLine="360"/>
        <w:spacing w:after="0" w:line="284" w:lineRule="auto"/>
        <w:rPr>
          <w:sz w:val="20"/>
          <w:szCs w:val="20"/>
          <w:color w:val="auto"/>
        </w:rPr>
      </w:pPr>
      <w:r>
        <w:rPr>
          <w:rFonts w:ascii="Arial" w:cs="Arial" w:eastAsia="Arial" w:hAnsi="Arial"/>
          <w:sz w:val="16"/>
          <w:szCs w:val="16"/>
          <w:color w:val="auto"/>
        </w:rPr>
        <w:t>We do not expect having any direct operations or any significant assets other than our ownership interest in the Lucid business. We will depend on the Lucid business for distributions, loans and other payments to generate the funds necessary to meet our financial obligations, including our expenses as a publicly traded company. The earnings from, or other available assets of, the Lucid business may not be</w:t>
      </w:r>
    </w:p>
    <w:p>
      <w:pPr>
        <w:spacing w:after="0" w:line="3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sufficient to pay dividends or make distributions or loans to enable us to pay any dividends on the common stock or satisfy our other financial obligations.</w:t>
      </w:r>
    </w:p>
    <w:p>
      <w:pPr>
        <w:spacing w:after="0" w:line="36"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In addition, we have never declared or paid cash dividends on its capital stock, and we do not anticipate paying any cash dividends in the foreseeable future. We currently intend to retain its future earnings, if any, for the foreseeable future, to fund the development and growth of our business.</w:t>
      </w:r>
    </w:p>
    <w:p>
      <w:pPr>
        <w:spacing w:after="0" w:line="60" w:lineRule="exact"/>
        <w:rPr>
          <w:sz w:val="20"/>
          <w:szCs w:val="20"/>
          <w:color w:val="auto"/>
        </w:rPr>
      </w:pPr>
    </w:p>
    <w:p>
      <w:pPr>
        <w:jc w:val="both"/>
        <w:ind w:left="1260" w:right="499" w:firstLine="360"/>
        <w:spacing w:after="0" w:line="262" w:lineRule="auto"/>
        <w:rPr>
          <w:sz w:val="20"/>
          <w:szCs w:val="20"/>
          <w:color w:val="auto"/>
        </w:rPr>
      </w:pPr>
      <w:r>
        <w:rPr>
          <w:rFonts w:ascii="Arial" w:cs="Arial" w:eastAsia="Arial" w:hAnsi="Arial"/>
          <w:sz w:val="17"/>
          <w:szCs w:val="17"/>
          <w:color w:val="auto"/>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Class A common stock.</w:t>
      </w:r>
    </w:p>
    <w:p>
      <w:pPr>
        <w:spacing w:after="0" w:line="51"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 xml:space="preserve">Please see the section titled “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 — Liquidity and Capital Resources</w:t>
      </w:r>
      <w:r>
        <w:rPr>
          <w:rFonts w:ascii="Arial" w:cs="Arial" w:eastAsia="Arial" w:hAnsi="Arial"/>
          <w:sz w:val="18"/>
          <w:szCs w:val="18"/>
          <w:color w:val="auto"/>
        </w:rPr>
        <w:t>” for more information.</w:t>
      </w:r>
    </w:p>
    <w:p>
      <w:pPr>
        <w:spacing w:after="0" w:line="171" w:lineRule="exact"/>
        <w:rPr>
          <w:sz w:val="20"/>
          <w:szCs w:val="20"/>
          <w:color w:val="auto"/>
        </w:rPr>
      </w:pPr>
    </w:p>
    <w:p>
      <w:pPr>
        <w:ind w:left="1260" w:right="439"/>
        <w:spacing w:after="0" w:line="308" w:lineRule="auto"/>
        <w:rPr>
          <w:sz w:val="20"/>
          <w:szCs w:val="20"/>
          <w:color w:val="auto"/>
        </w:rPr>
      </w:pPr>
      <w:r>
        <w:rPr>
          <w:rFonts w:ascii="Arial" w:cs="Arial" w:eastAsia="Arial" w:hAnsi="Arial"/>
          <w:sz w:val="15"/>
          <w:szCs w:val="15"/>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6"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spacing w:after="0" w:line="60" w:lineRule="exact"/>
        <w:rPr>
          <w:sz w:val="20"/>
          <w:szCs w:val="20"/>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76"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employees to us or our stockholders;</w:t>
      </w:r>
    </w:p>
    <w:p>
      <w:pPr>
        <w:spacing w:after="0" w:line="21"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48" w:lineRule="exact"/>
        <w:rPr>
          <w:rFonts w:ascii="Arial" w:cs="Arial" w:eastAsia="Arial" w:hAnsi="Arial"/>
          <w:sz w:val="18"/>
          <w:szCs w:val="18"/>
          <w:color w:val="auto"/>
        </w:rPr>
      </w:pPr>
    </w:p>
    <w:p>
      <w:pPr>
        <w:ind w:left="1800" w:right="111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governed by the internal affairs doctrine.</w:t>
      </w:r>
    </w:p>
    <w:p>
      <w:pPr>
        <w:spacing w:after="0" w:line="89" w:lineRule="exact"/>
        <w:rPr>
          <w:sz w:val="20"/>
          <w:szCs w:val="20"/>
          <w:color w:val="auto"/>
        </w:rPr>
      </w:pPr>
    </w:p>
    <w:p>
      <w:pPr>
        <w:ind w:left="1260" w:right="499" w:firstLine="360"/>
        <w:spacing w:after="0" w:line="250" w:lineRule="auto"/>
        <w:rPr>
          <w:sz w:val="20"/>
          <w:szCs w:val="20"/>
          <w:color w:val="auto"/>
        </w:rPr>
      </w:pPr>
      <w:r>
        <w:rPr>
          <w:rFonts w:ascii="Arial" w:cs="Arial" w:eastAsia="Arial" w:hAnsi="Arial"/>
          <w:sz w:val="17"/>
          <w:szCs w:val="17"/>
          <w:color w:val="auto"/>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91" w:lineRule="exact"/>
        <w:rPr>
          <w:sz w:val="20"/>
          <w:szCs w:val="20"/>
          <w:color w:val="auto"/>
        </w:rPr>
      </w:pPr>
    </w:p>
    <w:p>
      <w:pPr>
        <w:ind w:left="1260" w:right="739"/>
        <w:spacing w:after="0" w:line="291" w:lineRule="auto"/>
        <w:rPr>
          <w:sz w:val="20"/>
          <w:szCs w:val="20"/>
          <w:color w:val="auto"/>
        </w:rPr>
      </w:pPr>
      <w:r>
        <w:rPr>
          <w:rFonts w:ascii="Arial" w:cs="Arial" w:eastAsia="Arial" w:hAnsi="Arial"/>
          <w:sz w:val="17"/>
          <w:szCs w:val="17"/>
          <w:b w:val="1"/>
          <w:bCs w:val="1"/>
          <w:i w:val="1"/>
          <w:iCs w:val="1"/>
          <w:color w:val="auto"/>
        </w:rPr>
        <w:t>Some provisions of Delaware law and our current certificate of incorporation and our current bylaws may deter third parties from acquiring us and diminish the value of our common stock.</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current certificate of incorporation and our current bylaws provide for, among other things: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19"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75" w:lineRule="exact"/>
        <w:rPr>
          <w:rFonts w:ascii="Arial" w:cs="Arial" w:eastAsia="Arial" w:hAnsi="Arial"/>
          <w:sz w:val="18"/>
          <w:szCs w:val="18"/>
          <w:color w:val="auto"/>
        </w:rPr>
      </w:pPr>
    </w:p>
    <w:p>
      <w:pPr>
        <w:ind w:left="1800" w:right="639" w:hanging="180"/>
        <w:spacing w:after="0" w:line="342" w:lineRule="auto"/>
        <w:tabs>
          <w:tab w:leader="none" w:pos="1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subject to the Investor Rights Agreement, advance notice for nominations of directors by stockholders and for stockholders to include matters to be considered at stockholder meetings; and</w:t>
      </w:r>
    </w:p>
    <w:p>
      <w:pPr>
        <w:spacing w:after="0" w:line="15" w:lineRule="exact"/>
        <w:rPr>
          <w:rFonts w:ascii="Arial" w:cs="Arial" w:eastAsia="Arial" w:hAnsi="Arial"/>
          <w:sz w:val="16"/>
          <w:szCs w:val="16"/>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4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79" w:lineRule="exact"/>
        <w:rPr>
          <w:sz w:val="20"/>
          <w:szCs w:val="20"/>
          <w:color w:val="auto"/>
        </w:rPr>
      </w:pPr>
    </w:p>
    <w:p>
      <w:pPr>
        <w:ind w:left="1800" w:right="103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75"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16" w:lineRule="exact"/>
        <w:rPr>
          <w:sz w:val="20"/>
          <w:szCs w:val="20"/>
          <w:color w:val="auto"/>
        </w:rPr>
      </w:pPr>
    </w:p>
    <w:p>
      <w:pPr>
        <w:jc w:val="both"/>
        <w:ind w:left="1260" w:right="439" w:firstLine="360"/>
        <w:spacing w:after="0" w:line="271"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ind w:left="1260" w:right="859"/>
        <w:spacing w:after="0" w:line="255" w:lineRule="auto"/>
        <w:rPr>
          <w:sz w:val="20"/>
          <w:szCs w:val="20"/>
          <w:color w:val="auto"/>
        </w:rPr>
      </w:pPr>
      <w:r>
        <w:rPr>
          <w:rFonts w:ascii="Arial" w:cs="Arial" w:eastAsia="Arial" w:hAnsi="Arial"/>
          <w:sz w:val="18"/>
          <w:szCs w:val="18"/>
          <w:color w:val="auto"/>
        </w:rPr>
        <w:t>three years owned, 15% or more of the votes of our outstanding voting stock. For purposes of this provision,” voting stock” means any class or series of stock entitled to vote generally in the election of directors.</w:t>
      </w:r>
    </w:p>
    <w:p>
      <w:pPr>
        <w:spacing w:after="0" w:line="122"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85"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if they are viewed as discouraging future takeover attempts. These provisions could also make it more difficult for stockholders to nominate directors for election to our Board and take other corporate actions.</w:t>
      </w:r>
    </w:p>
    <w:p>
      <w:pPr>
        <w:spacing w:after="0" w:line="178" w:lineRule="exact"/>
        <w:rPr>
          <w:sz w:val="20"/>
          <w:szCs w:val="20"/>
          <w:color w:val="auto"/>
        </w:rPr>
      </w:pPr>
    </w:p>
    <w:p>
      <w:pPr>
        <w:jc w:val="both"/>
        <w:ind w:left="1260" w:right="559"/>
        <w:spacing w:after="0" w:line="311" w:lineRule="auto"/>
        <w:rPr>
          <w:sz w:val="20"/>
          <w:szCs w:val="20"/>
          <w:color w:val="auto"/>
        </w:rPr>
      </w:pPr>
      <w:r>
        <w:rPr>
          <w:rFonts w:ascii="Arial" w:cs="Arial" w:eastAsia="Arial" w:hAnsi="Arial"/>
          <w:sz w:val="16"/>
          <w:szCs w:val="16"/>
          <w:b w:val="1"/>
          <w:bCs w:val="1"/>
          <w:i w:val="1"/>
          <w:iCs w:val="1"/>
          <w:color w:val="auto"/>
        </w:rPr>
        <w:t>Securities or industry analysts may not publish or cease publishing research or reports about us, our business, our market, or change their recommendations regarding our Class A common stock adversely, which could cause the price and trading volume of our Class A common stock to decline.</w:t>
      </w:r>
    </w:p>
    <w:p>
      <w:pPr>
        <w:spacing w:after="0" w:line="81"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may publish about us, our business and operations, our market, or our competitors. Securities and industry analysts do not currently, and may never, publish research on us. If no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Class A common stock would likely decline. If any analyst who may cover us were to cease coverage of us or fail to regularly publish reports on us, we could lose visibility in the financial markets, which could cause our stock price or trading volume to decline.</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All of the shares of Class A common stock and the warrants (including shares of Class A common stock underlying such warrants) offered by the Selling Securityholders pursuant to this prospectus will be sold by the Selling Securityholders for their respective accounts. We will not receive any of the proceeds from these sales.</w:t>
      </w:r>
    </w:p>
    <w:p>
      <w:pPr>
        <w:spacing w:after="0" w:line="119"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We will receive up to an aggregate of approximately $986.1 million from the exercise of all warrants, assuming the exercise in full of all such warrants for cash.</w:t>
      </w:r>
    </w:p>
    <w:p>
      <w:pPr>
        <w:spacing w:after="0" w:line="103"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Unless we inform you otherwise in a prospectus supplement or free writing prospectus, we intend to use the net proceeds from the exercise of such warrants for general corporate purposes, which may include capital expenditures and working capital. Our management will have broad discretion over the use of proceeds from the exercise of the warrants.</w:t>
      </w:r>
    </w:p>
    <w:p>
      <w:pPr>
        <w:spacing w:after="0" w:line="106"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There is no assurance that the holders of the warrants will elect to exercise any or all of the warrants. To the extent that the warrants are exercised on a “cashless basis,” the amount of cash we would receive from the exercise of the warrants will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DETERMINATION OF OFFERING PRICE</w:t>
      </w:r>
    </w:p>
    <w:p>
      <w:pPr>
        <w:spacing w:after="0" w:line="148"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The offering price of the shares of Class A common stock underlying the warrants offered hereby is determined by reference to the exercise price of such warrants of $11.50 per share. The Public Warrants are listed on the Nasdaq Global Select Market under the ticker symbol “LCIDW.”</w:t>
      </w:r>
    </w:p>
    <w:p>
      <w:pPr>
        <w:spacing w:after="0" w:line="116"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We cannot currently determine the price or prices at which shares of our Class A common stock may be sold by the Selling Securityholders under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 Information</w:t>
      </w:r>
    </w:p>
    <w:p>
      <w:pPr>
        <w:spacing w:after="0" w:line="148"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Our Class A common stock and Public Warrants are listed on the Nasdaq Global Select Market under the ticker symbols “LCID” and “LCIDW,” respectively.</w:t>
      </w:r>
    </w:p>
    <w:p>
      <w:pPr>
        <w:spacing w:after="0" w:line="103"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Prior to the consummation of the Transactions, our units, Churchill’s Class A common stock and Public Warrants were listed on the New York Stock Exchange under the symbols “CCIV.U,” “CCIV” and “CCIV WS,” respectively.</w:t>
      </w:r>
    </w:p>
    <w:p>
      <w:pPr>
        <w:spacing w:after="0" w:line="116" w:lineRule="exact"/>
        <w:rPr>
          <w:sz w:val="20"/>
          <w:szCs w:val="20"/>
          <w:color w:val="auto"/>
        </w:rPr>
      </w:pPr>
    </w:p>
    <w:p>
      <w:pPr>
        <w:ind w:left="1260" w:right="1019" w:firstLine="360"/>
        <w:spacing w:after="0" w:line="308" w:lineRule="auto"/>
        <w:rPr>
          <w:sz w:val="20"/>
          <w:szCs w:val="20"/>
          <w:color w:val="auto"/>
        </w:rPr>
      </w:pPr>
      <w:r>
        <w:rPr>
          <w:rFonts w:ascii="Arial" w:cs="Arial" w:eastAsia="Arial" w:hAnsi="Arial"/>
          <w:sz w:val="17"/>
          <w:szCs w:val="17"/>
          <w:color w:val="auto"/>
        </w:rPr>
        <w:t>As of the Closing Date, following the completion of the Transactions, there were approximately 909 holders of record of our Class A common stock and 6 holders of record of our Public Warrants.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We have not paid any cash dividends on our Class A common stock to date. The payment of cash dividends in the future is dependent upon our revenues and earnings, if any, capital requirements, the terms of any indebtedness and general financial condition. The payment of any cash dividends will be within the discretion of the Board at such time. In addition, the Board is not currently contemplating and does not anticipate declaring any stock dividends in the foreseeable future.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2"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In connection with the Transactions, our stockholders approved our Incentive Plan on July 22, 2021, including the ESPP Addendum, which became effective immediately upon the Closing. We intend to file one or more registration statements on Form S-8 under the Securities Act to register the shares of our Class A common stock issued or issuable under the Incentive Plan and the assumed Lucid Options. Any such Form S-8 registration statement will become effective automatically upon filing. Once these shares are registered, they can be sold in the public market upon issuance, subject to applicable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48" w:lineRule="exact"/>
        <w:rPr>
          <w:sz w:val="20"/>
          <w:szCs w:val="20"/>
          <w:color w:val="auto"/>
        </w:rPr>
      </w:pPr>
    </w:p>
    <w:p>
      <w:pPr>
        <w:jc w:val="both"/>
        <w:ind w:left="1260" w:right="579" w:firstLine="360"/>
        <w:spacing w:after="0" w:line="248" w:lineRule="auto"/>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this prospectus. Unless the context otherwise requires, all references in this section to “Lucid Group” refer to Lucid’s business after giving effect to the Transactions.</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The unaudited pro forma condensed combined financial information of Lucid Group has been prepared in accordance with Article 11 of Regulation S-X and presents the combination of the historical financial information of Churchill and Lucid adjusted to give effect to the Transactions and the other related events contemplated by the Merger Agreement.</w:t>
      </w:r>
    </w:p>
    <w:p>
      <w:pPr>
        <w:spacing w:after="0" w:line="120" w:lineRule="exact"/>
        <w:rPr>
          <w:sz w:val="20"/>
          <w:szCs w:val="20"/>
          <w:color w:val="auto"/>
        </w:rPr>
      </w:pPr>
    </w:p>
    <w:p>
      <w:pPr>
        <w:ind w:left="1260" w:right="439" w:firstLine="360"/>
        <w:spacing w:after="0" w:line="284" w:lineRule="auto"/>
        <w:rPr>
          <w:sz w:val="20"/>
          <w:szCs w:val="20"/>
          <w:color w:val="auto"/>
        </w:rPr>
      </w:pPr>
      <w:r>
        <w:rPr>
          <w:rFonts w:ascii="Arial" w:cs="Arial" w:eastAsia="Arial" w:hAnsi="Arial"/>
          <w:sz w:val="16"/>
          <w:szCs w:val="16"/>
          <w:color w:val="auto"/>
        </w:rPr>
        <w:t>The unaudited pro forma condensed combined balance sheet as of June 30, 2021 combines the historical unaudited condensed consolidated balance sheet of Churchill as of June 30, 2021 with the historical unaudited condensed consolidated balance sheet of Lucid as of June 30, 2021 on a pro forma basis as if the Transactions and the other events, summarized below, had been consummated on June 30, 2021.</w:t>
      </w:r>
    </w:p>
    <w:p>
      <w:pPr>
        <w:spacing w:after="0" w:line="7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The unaudited pro forma condensed combined statement of operations for the six months ended June 30, 2021 combines the historical unaudited condensed consolidated statement of operations of Churchill for the six months ended June 30, 2021 with the historical unaudited condensed consolidated statement of operations of Lucid for the six months ended June 30, 2021. The unaudited pro forma condensed combined statement of operations for the year ended December 31, 2020 combines the historical audited statement of operations of Churchill from April 30, 2020 (date of inception) to December 31, 2020 (as restated) with the historical audited consolidated statement of operations of Lucid for the year ended December 31, 2020 on a pro forma basis as if the Transactions and the other events, summarized below, had been consummated on January 1, 2020, the beginning of the earliest period presented.</w:t>
      </w:r>
    </w:p>
    <w:p>
      <w:pPr>
        <w:spacing w:after="0" w:line="116" w:lineRule="exact"/>
        <w:rPr>
          <w:sz w:val="20"/>
          <w:szCs w:val="20"/>
          <w:color w:val="auto"/>
        </w:rPr>
      </w:pPr>
    </w:p>
    <w:p>
      <w:pPr>
        <w:jc w:val="both"/>
        <w:ind w:left="1260" w:right="659" w:firstLine="360"/>
        <w:spacing w:after="0" w:line="248" w:lineRule="auto"/>
        <w:rPr>
          <w:sz w:val="20"/>
          <w:szCs w:val="20"/>
          <w:color w:val="auto"/>
        </w:rPr>
      </w:pPr>
      <w:r>
        <w:rPr>
          <w:rFonts w:ascii="Arial" w:cs="Arial" w:eastAsia="Arial" w:hAnsi="Arial"/>
          <w:sz w:val="18"/>
          <w:szCs w:val="18"/>
          <w:color w:val="auto"/>
        </w:rPr>
        <w:t>The unaudited pro forma condensed combined financial information was derived from and should be read in conjunction with the following historical financial statements and the accompanying notes, which are included elsewhere in this prospectus:</w:t>
      </w:r>
    </w:p>
    <w:p>
      <w:pPr>
        <w:spacing w:after="0" w:line="74" w:lineRule="exact"/>
        <w:rPr>
          <w:sz w:val="20"/>
          <w:szCs w:val="20"/>
          <w:color w:val="auto"/>
        </w:rPr>
      </w:pPr>
    </w:p>
    <w:p>
      <w:pPr>
        <w:ind w:left="1800" w:right="419" w:hanging="180"/>
        <w:spacing w:after="0" w:line="255"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Churchill as of and for the six months ended June 30, 2021 included in Churchill’s Quarterly Report filed on the Form 10-Q filed with the SEC on August 16, 2021, and the historical audited financial statements of Churchill as of December 31, 2020 and for the period from April 30, 2020 (inception) to December 31, 2020 (as restated) included in Churchill’s Annual Report filed on the Form 10-K/A filed with the SEC on May 14, 2021;</w:t>
      </w:r>
    </w:p>
    <w:p>
      <w:pPr>
        <w:spacing w:after="0" w:line="70"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Lucid as of and for the</w:t>
      </w:r>
    </w:p>
    <w:p>
      <w:pPr>
        <w:spacing w:after="0" w:line="23" w:lineRule="exact"/>
        <w:rPr>
          <w:rFonts w:ascii="Arial" w:cs="Arial" w:eastAsia="Arial" w:hAnsi="Arial"/>
          <w:sz w:val="18"/>
          <w:szCs w:val="18"/>
          <w:color w:val="auto"/>
        </w:rPr>
      </w:pPr>
    </w:p>
    <w:p>
      <w:pPr>
        <w:ind w:left="1800" w:right="459"/>
        <w:spacing w:after="0" w:line="260" w:lineRule="auto"/>
        <w:rPr>
          <w:rFonts w:ascii="Arial" w:cs="Arial" w:eastAsia="Arial" w:hAnsi="Arial"/>
          <w:sz w:val="18"/>
          <w:szCs w:val="18"/>
          <w:color w:val="auto"/>
        </w:rPr>
      </w:pPr>
      <w:r>
        <w:rPr>
          <w:rFonts w:ascii="Arial" w:cs="Arial" w:eastAsia="Arial" w:hAnsi="Arial"/>
          <w:sz w:val="18"/>
          <w:szCs w:val="18"/>
          <w:color w:val="auto"/>
        </w:rPr>
        <w:t>six months ended June 30, 2021 and the historical audited consolidated financial statements of Lucid as of and for the year ended December 31, 2020; and</w:t>
      </w:r>
    </w:p>
    <w:p>
      <w:pPr>
        <w:spacing w:after="0" w:line="7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information relating to the Merger Agreement between Churchill and Lucid and the description of certain terms thereof included in this prospectus.</w:t>
      </w:r>
    </w:p>
    <w:p>
      <w:pPr>
        <w:spacing w:after="0" w:line="103"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the section entitled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and other financial information included elsewhere in this prospectus.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Description of the Transactions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Pursuant to the Merger Agreement, Merger Sub merged with and into Lucid, with Lucid surviving the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Merger. Lucid became a wholly owned subsidiary of Churchill and Churchill was immediately renamed</w:t>
      </w:r>
    </w:p>
    <w:p>
      <w:pPr>
        <w:ind w:left="1260"/>
        <w:spacing w:after="0" w:line="234" w:lineRule="auto"/>
        <w:rPr>
          <w:sz w:val="20"/>
          <w:szCs w:val="20"/>
          <w:color w:val="auto"/>
        </w:rPr>
      </w:pPr>
      <w:r>
        <w:rPr>
          <w:rFonts w:ascii="Arial" w:cs="Arial" w:eastAsia="Arial" w:hAnsi="Arial"/>
          <w:sz w:val="18"/>
          <w:szCs w:val="18"/>
          <w:color w:val="auto"/>
        </w:rPr>
        <w:t>“Lucid Group, Inc.” Upon the consummation of the Transactions, all holders of 451,295,965 issued and</w:t>
      </w:r>
    </w:p>
    <w:p>
      <w:pPr>
        <w:ind w:left="1260"/>
        <w:spacing w:after="0" w:line="235" w:lineRule="auto"/>
        <w:rPr>
          <w:sz w:val="20"/>
          <w:szCs w:val="20"/>
          <w:color w:val="auto"/>
        </w:rPr>
      </w:pPr>
      <w:r>
        <w:rPr>
          <w:rFonts w:ascii="Arial" w:cs="Arial" w:eastAsia="Arial" w:hAnsi="Arial"/>
          <w:sz w:val="18"/>
          <w:szCs w:val="18"/>
          <w:color w:val="auto"/>
        </w:rPr>
        <w:t>outstanding Lucid Common Shares received shares of Class A common stock at a deemed value of</w:t>
      </w:r>
    </w:p>
    <w:p>
      <w:pPr>
        <w:ind w:left="1260"/>
        <w:spacing w:after="0" w:line="235" w:lineRule="auto"/>
        <w:rPr>
          <w:sz w:val="20"/>
          <w:szCs w:val="20"/>
          <w:color w:val="auto"/>
        </w:rPr>
      </w:pPr>
      <w:r>
        <w:rPr>
          <w:rFonts w:ascii="Arial" w:cs="Arial" w:eastAsia="Arial" w:hAnsi="Arial"/>
          <w:sz w:val="18"/>
          <w:szCs w:val="18"/>
          <w:color w:val="auto"/>
        </w:rPr>
        <w:t>$10.00 per share after giving effect to the exchange ratio of 2.644 (the “</w:t>
      </w:r>
      <w:r>
        <w:rPr>
          <w:rFonts w:ascii="Arial" w:cs="Arial" w:eastAsia="Arial" w:hAnsi="Arial"/>
          <w:sz w:val="18"/>
          <w:szCs w:val="18"/>
          <w:i w:val="1"/>
          <w:iCs w:val="1"/>
          <w:color w:val="auto"/>
        </w:rPr>
        <w:t>Exchange Ratio</w:t>
      </w:r>
      <w:r>
        <w:rPr>
          <w:rFonts w:ascii="Arial" w:cs="Arial" w:eastAsia="Arial" w:hAnsi="Arial"/>
          <w:sz w:val="18"/>
          <w:szCs w:val="18"/>
          <w:color w:val="auto"/>
        </w:rPr>
        <w:t>”), resulting in</w:t>
      </w:r>
    </w:p>
    <w:p>
      <w:pPr>
        <w:ind w:left="1260"/>
        <w:spacing w:after="0"/>
        <w:rPr>
          <w:sz w:val="20"/>
          <w:szCs w:val="20"/>
          <w:color w:val="auto"/>
        </w:rPr>
      </w:pPr>
      <w:r>
        <w:rPr>
          <w:rFonts w:ascii="Arial" w:cs="Arial" w:eastAsia="Arial" w:hAnsi="Arial"/>
          <w:sz w:val="17"/>
          <w:szCs w:val="17"/>
          <w:color w:val="auto"/>
        </w:rPr>
        <w:t>1,193,226,511 shares of Class A common stock issued and outstanding as of the Closing and all holders of</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42,182,931 issued and outstanding Lucid Equity Awards received Lucid Group Awards covering</w:t>
      </w:r>
    </w:p>
    <w:p>
      <w:pPr>
        <w:ind w:left="1260"/>
        <w:spacing w:after="0"/>
        <w:rPr>
          <w:sz w:val="20"/>
          <w:szCs w:val="20"/>
          <w:color w:val="auto"/>
        </w:rPr>
      </w:pPr>
      <w:r>
        <w:rPr>
          <w:rFonts w:ascii="Arial" w:cs="Arial" w:eastAsia="Arial" w:hAnsi="Arial"/>
          <w:sz w:val="17"/>
          <w:szCs w:val="17"/>
          <w:color w:val="auto"/>
        </w:rPr>
        <w:t>111,531,080 shares of Class A common stock at a deemed value of $10.00 per share after giving effect to</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Exchange Ratio, based on the following events contemplated by the Merger Agreement:</w:t>
      </w: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19" w:hanging="180"/>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cancellation and conversion of all 437,182,072 issued and outstanding Lucid Preferred Shares into 437,182,072 Lucid Common Shares at the conversion rate as calculated pursuant to Lucid’s Memorandum and Articles of Association as of the Effective Time;</w:t>
      </w:r>
    </w:p>
    <w:p>
      <w:pPr>
        <w:spacing w:after="0" w:line="89" w:lineRule="exact"/>
        <w:rPr>
          <w:rFonts w:ascii="Arial" w:cs="Arial" w:eastAsia="Arial" w:hAnsi="Arial"/>
          <w:sz w:val="18"/>
          <w:szCs w:val="18"/>
          <w:color w:val="auto"/>
        </w:rPr>
      </w:pPr>
    </w:p>
    <w:p>
      <w:pPr>
        <w:ind w:left="1800" w:right="579" w:hanging="180"/>
        <w:spacing w:after="0" w:line="286" w:lineRule="auto"/>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surrender and exchange of all 451,295,965 issued and outstanding Lucid Common Shares (including Lucid Common Shares resulting from the conversion of the Lucid Preferred Shares) into 1,193,226,511 shares of Class A common stock as adjusted by the Exchange Ratio;</w:t>
      </w:r>
    </w:p>
    <w:p>
      <w:pPr>
        <w:spacing w:after="0" w:line="70" w:lineRule="exact"/>
        <w:rPr>
          <w:rFonts w:ascii="Arial" w:cs="Arial" w:eastAsia="Arial" w:hAnsi="Arial"/>
          <w:sz w:val="17"/>
          <w:szCs w:val="17"/>
          <w:color w:val="auto"/>
        </w:rPr>
      </w:pPr>
    </w:p>
    <w:p>
      <w:pPr>
        <w:ind w:left="1800" w:right="539" w:hanging="180"/>
        <w:spacing w:after="0" w:line="259"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cancellation and exchange of all 25,764,610 granted and outstanding vested and unvested Lucid Options into 68,121,210 Lucid Group Options exercisable for shares of Class A common stock with the same terms and vesting conditions except for the number of shares exercisable and the exercise price, each of which was adjusted by the Exchange Ratio; and</w:t>
      </w:r>
    </w:p>
    <w:p>
      <w:pPr>
        <w:spacing w:after="0" w:line="92" w:lineRule="exact"/>
        <w:rPr>
          <w:rFonts w:ascii="Arial" w:cs="Arial" w:eastAsia="Arial" w:hAnsi="Arial"/>
          <w:sz w:val="18"/>
          <w:szCs w:val="18"/>
          <w:color w:val="auto"/>
        </w:rPr>
      </w:pPr>
    </w:p>
    <w:p>
      <w:pPr>
        <w:jc w:val="both"/>
        <w:ind w:left="1800" w:right="559" w:hanging="180"/>
        <w:spacing w:after="0" w:line="311" w:lineRule="auto"/>
        <w:tabs>
          <w:tab w:leader="none" w:pos="1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cancellation and exchange of all 16,418,321 granted and outstanding vested and unvested Lucid RSUs into 43,409,870 Lucid Group RSUs for shares of Class A common stock with the same terms and vesting conditions except for the number of shares, which was adjusted by the Exchange Ratio.</w:t>
      </w:r>
    </w:p>
    <w:p>
      <w:pPr>
        <w:spacing w:after="0" w:line="81"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The determination of the 1,193,226,511 shares of Class A common stock immediately issued and outstanding as of the Closing and the Lucid Group Awards covering 111,531,080 shares reserved for the potential future issuance of Class A common stock is summarized below:</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Lucid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Lucid Group</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 and</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Conversion of</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Lucid</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Awards</w:t>
            </w:r>
          </w:p>
        </w:tc>
        <w:tc>
          <w:tcPr>
            <w:tcW w:w="12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Additional Lucid</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Lucid</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Shares and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Shares and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Outstanding</w:t>
            </w:r>
          </w:p>
        </w:tc>
        <w:tc>
          <w:tcPr>
            <w:tcW w:w="12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Capitalization</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Preferred</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Awards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Awards held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12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Activity, net</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Shares into</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Outstanding</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by Lucid</w:t>
            </w:r>
          </w:p>
        </w:tc>
        <w:tc>
          <w:tcPr>
            <w:tcW w:w="0" w:type="dxa"/>
            <w:vAlign w:val="bottom"/>
          </w:tcPr>
          <w:p>
            <w:pPr>
              <w:spacing w:after="0"/>
              <w:rPr>
                <w:sz w:val="1"/>
                <w:szCs w:val="1"/>
                <w:color w:val="auto"/>
              </w:rPr>
            </w:pPr>
          </w:p>
        </w:tc>
      </w:tr>
      <w:tr>
        <w:trPr>
          <w:trHeight w:val="158"/>
        </w:trPr>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3"/>
                <w:szCs w:val="13"/>
                <w:color w:val="auto"/>
              </w:rPr>
            </w:pPr>
          </w:p>
        </w:tc>
        <w:tc>
          <w:tcPr>
            <w:tcW w:w="1100" w:type="dxa"/>
            <w:vAlign w:val="bottom"/>
            <w:gridSpan w:val="3"/>
          </w:tcPr>
          <w:p>
            <w:pPr>
              <w:jc w:val="center"/>
              <w:ind w:right="460"/>
              <w:spacing w:after="0" w:line="158" w:lineRule="exact"/>
              <w:rPr>
                <w:sz w:val="20"/>
                <w:szCs w:val="20"/>
                <w:color w:val="auto"/>
              </w:rPr>
            </w:pPr>
            <w:r>
              <w:rPr>
                <w:rFonts w:ascii="Arial" w:cs="Arial" w:eastAsia="Arial" w:hAnsi="Arial"/>
                <w:sz w:val="14"/>
                <w:szCs w:val="14"/>
                <w:b w:val="1"/>
                <w:bCs w:val="1"/>
                <w:color w:val="auto"/>
                <w:w w:val="97"/>
              </w:rPr>
              <w:t>After</w:t>
            </w:r>
          </w:p>
        </w:tc>
        <w:tc>
          <w:tcPr>
            <w:tcW w:w="12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Common</w:t>
            </w:r>
          </w:p>
        </w:tc>
        <w:tc>
          <w:tcPr>
            <w:tcW w:w="11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Prior to</w:t>
            </w: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3"/>
          </w:tcPr>
          <w:p>
            <w:pPr>
              <w:jc w:val="center"/>
              <w:spacing w:after="0" w:line="230" w:lineRule="exact"/>
              <w:rPr>
                <w:sz w:val="20"/>
                <w:szCs w:val="20"/>
                <w:color w:val="auto"/>
              </w:rPr>
            </w:pPr>
            <w:r>
              <w:rPr>
                <w:rFonts w:ascii="Arial" w:cs="Arial" w:eastAsia="Arial" w:hAnsi="Arial"/>
                <w:sz w:val="14"/>
                <w:szCs w:val="14"/>
                <w:b w:val="1"/>
                <w:bCs w:val="1"/>
                <w:color w:val="auto"/>
                <w:w w:val="85"/>
              </w:rPr>
              <w:t>June 30, 2021</w:t>
            </w:r>
            <w:r>
              <w:rPr>
                <w:rFonts w:ascii="Arial" w:cs="Arial" w:eastAsia="Arial" w:hAnsi="Arial"/>
                <w:sz w:val="21"/>
                <w:szCs w:val="21"/>
                <w:b w:val="1"/>
                <w:bCs w:val="1"/>
                <w:color w:val="auto"/>
                <w:w w:val="85"/>
                <w:vertAlign w:val="superscript"/>
              </w:rPr>
              <w:t>(1)</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Closing</w:t>
            </w: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1"/>
              </w:rPr>
              <w:t>Post Closing</w:t>
            </w:r>
            <w:r>
              <w:rPr>
                <w:rFonts w:ascii="Arial" w:cs="Arial" w:eastAsia="Arial" w:hAnsi="Arial"/>
                <w:sz w:val="21"/>
                <w:szCs w:val="21"/>
                <w:b w:val="1"/>
                <w:bCs w:val="1"/>
                <w:color w:val="auto"/>
                <w:w w:val="81"/>
                <w:vertAlign w:val="superscript"/>
              </w:rPr>
              <w:t>(2)</w:t>
            </w:r>
          </w:p>
        </w:tc>
        <w:tc>
          <w:tcPr>
            <w:tcW w:w="0" w:type="dxa"/>
            <w:vAlign w:val="bottom"/>
          </w:tcPr>
          <w:p>
            <w:pPr>
              <w:spacing w:after="0"/>
              <w:rPr>
                <w:sz w:val="1"/>
                <w:szCs w:val="1"/>
                <w:color w:val="auto"/>
              </w:rPr>
            </w:pPr>
          </w:p>
        </w:tc>
      </w:tr>
      <w:tr>
        <w:trPr>
          <w:trHeight w:val="250"/>
        </w:trPr>
        <w:tc>
          <w:tcPr>
            <w:tcW w:w="24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COMMON SHARES</w:t>
            </w: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440" w:type="dxa"/>
            <w:vAlign w:val="bottom"/>
            <w:gridSpan w:val="3"/>
          </w:tcPr>
          <w:p>
            <w:pPr>
              <w:ind w:left="180"/>
              <w:spacing w:after="0"/>
              <w:rPr>
                <w:sz w:val="20"/>
                <w:szCs w:val="20"/>
                <w:color w:val="auto"/>
              </w:rPr>
            </w:pPr>
            <w:r>
              <w:rPr>
                <w:rFonts w:ascii="Arial" w:cs="Arial" w:eastAsia="Arial" w:hAnsi="Arial"/>
                <w:sz w:val="18"/>
                <w:szCs w:val="18"/>
                <w:color w:val="auto"/>
              </w:rPr>
              <w:t>Common Shares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13,917,981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195,912</w:t>
            </w:r>
          </w:p>
        </w:tc>
        <w:tc>
          <w:tcPr>
            <w:tcW w:w="24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437,182,072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451,295,965</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1,193,226,511</w:t>
            </w:r>
          </w:p>
        </w:tc>
        <w:tc>
          <w:tcPr>
            <w:tcW w:w="0" w:type="dxa"/>
            <w:vAlign w:val="bottom"/>
          </w:tcPr>
          <w:p>
            <w:pPr>
              <w:spacing w:after="0"/>
              <w:rPr>
                <w:sz w:val="1"/>
                <w:szCs w:val="1"/>
                <w:color w:val="auto"/>
              </w:rPr>
            </w:pPr>
          </w:p>
        </w:tc>
      </w:tr>
      <w:tr>
        <w:trPr>
          <w:trHeight w:val="257"/>
        </w:trPr>
        <w:tc>
          <w:tcPr>
            <w:tcW w:w="24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PREFERRED SHARES</w:t>
            </w: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440" w:type="dxa"/>
            <w:vAlign w:val="bottom"/>
            <w:gridSpan w:val="3"/>
          </w:tcPr>
          <w:p>
            <w:pPr>
              <w:ind w:left="180"/>
              <w:spacing w:after="0"/>
              <w:rPr>
                <w:sz w:val="20"/>
                <w:szCs w:val="20"/>
                <w:color w:val="auto"/>
              </w:rPr>
            </w:pPr>
            <w:r>
              <w:rPr>
                <w:rFonts w:ascii="Arial" w:cs="Arial" w:eastAsia="Arial" w:hAnsi="Arial"/>
                <w:sz w:val="18"/>
                <w:szCs w:val="18"/>
                <w:color w:val="auto"/>
              </w:rPr>
              <w:t>Series A Preferred</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40" w:type="dxa"/>
            <w:vAlign w:val="bottom"/>
            <w:gridSpan w:val="3"/>
          </w:tcPr>
          <w:p>
            <w:pPr>
              <w:ind w:left="360"/>
              <w:spacing w:after="0"/>
              <w:rPr>
                <w:sz w:val="20"/>
                <w:szCs w:val="20"/>
                <w:color w:val="auto"/>
              </w:rPr>
            </w:pPr>
            <w:r>
              <w:rPr>
                <w:rFonts w:ascii="Arial" w:cs="Arial" w:eastAsia="Arial" w:hAnsi="Arial"/>
                <w:sz w:val="18"/>
                <w:szCs w:val="18"/>
                <w:color w:val="auto"/>
              </w:rPr>
              <w:t>Shares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12,120,000</w:t>
            </w:r>
          </w:p>
        </w:tc>
        <w:tc>
          <w:tcPr>
            <w:tcW w:w="180" w:type="dxa"/>
            <w:vAlign w:val="bottom"/>
          </w:tcPr>
          <w:p>
            <w:pPr>
              <w:spacing w:after="0"/>
              <w:rPr>
                <w:sz w:val="20"/>
                <w:szCs w:val="20"/>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(12,120,000)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4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Series B Preferred</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44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Shares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8,000,000</w:t>
            </w:r>
          </w:p>
        </w:tc>
        <w:tc>
          <w:tcPr>
            <w:tcW w:w="18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(8,000,000)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40" w:type="dxa"/>
            <w:vAlign w:val="bottom"/>
            <w:gridSpan w:val="3"/>
          </w:tcPr>
          <w:p>
            <w:pPr>
              <w:ind w:left="180"/>
              <w:spacing w:after="0"/>
              <w:rPr>
                <w:sz w:val="20"/>
                <w:szCs w:val="20"/>
                <w:color w:val="auto"/>
              </w:rPr>
            </w:pPr>
            <w:r>
              <w:rPr>
                <w:rFonts w:ascii="Arial" w:cs="Arial" w:eastAsia="Arial" w:hAnsi="Arial"/>
                <w:sz w:val="18"/>
                <w:szCs w:val="18"/>
                <w:color w:val="auto"/>
              </w:rPr>
              <w:t>Series C Preferred</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40" w:type="dxa"/>
            <w:vAlign w:val="bottom"/>
            <w:gridSpan w:val="3"/>
          </w:tcPr>
          <w:p>
            <w:pPr>
              <w:ind w:left="360"/>
              <w:spacing w:after="0"/>
              <w:rPr>
                <w:sz w:val="20"/>
                <w:szCs w:val="20"/>
                <w:color w:val="auto"/>
              </w:rPr>
            </w:pPr>
            <w:r>
              <w:rPr>
                <w:rFonts w:ascii="Arial" w:cs="Arial" w:eastAsia="Arial" w:hAnsi="Arial"/>
                <w:sz w:val="18"/>
                <w:szCs w:val="18"/>
                <w:color w:val="auto"/>
              </w:rPr>
              <w:t>Shares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22,532,244</w:t>
            </w:r>
          </w:p>
        </w:tc>
        <w:tc>
          <w:tcPr>
            <w:tcW w:w="180" w:type="dxa"/>
            <w:vAlign w:val="bottom"/>
          </w:tcPr>
          <w:p>
            <w:pPr>
              <w:spacing w:after="0"/>
              <w:rPr>
                <w:sz w:val="20"/>
                <w:szCs w:val="20"/>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(22,532,244)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4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Series D Preferred</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44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Shares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204,733,847</w:t>
            </w:r>
          </w:p>
        </w:tc>
        <w:tc>
          <w:tcPr>
            <w:tcW w:w="18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(204,733,847)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40" w:type="dxa"/>
            <w:vAlign w:val="bottom"/>
            <w:gridSpan w:val="3"/>
          </w:tcPr>
          <w:p>
            <w:pPr>
              <w:ind w:left="180"/>
              <w:spacing w:after="0"/>
              <w:rPr>
                <w:sz w:val="20"/>
                <w:szCs w:val="20"/>
                <w:color w:val="auto"/>
              </w:rPr>
            </w:pPr>
            <w:r>
              <w:rPr>
                <w:rFonts w:ascii="Arial" w:cs="Arial" w:eastAsia="Arial" w:hAnsi="Arial"/>
                <w:sz w:val="18"/>
                <w:szCs w:val="18"/>
                <w:color w:val="auto"/>
              </w:rPr>
              <w:t>Series E Preferred</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gridSpan w:val="3"/>
          </w:tcPr>
          <w:p>
            <w:pPr>
              <w:ind w:left="360"/>
              <w:spacing w:after="0"/>
              <w:rPr>
                <w:sz w:val="20"/>
                <w:szCs w:val="20"/>
                <w:color w:val="auto"/>
              </w:rPr>
            </w:pPr>
            <w:r>
              <w:rPr>
                <w:rFonts w:ascii="Arial" w:cs="Arial" w:eastAsia="Arial" w:hAnsi="Arial"/>
                <w:sz w:val="18"/>
                <w:szCs w:val="18"/>
                <w:color w:val="auto"/>
              </w:rPr>
              <w:t>Shares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189,795,981</w:t>
            </w:r>
          </w:p>
        </w:tc>
        <w:tc>
          <w:tcPr>
            <w:tcW w:w="180" w:type="dxa"/>
            <w:vAlign w:val="bottom"/>
          </w:tcPr>
          <w:p>
            <w:pPr>
              <w:spacing w:after="0"/>
              <w:rPr>
                <w:sz w:val="20"/>
                <w:szCs w:val="20"/>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(189,795,981)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Common and</w:t>
            </w:r>
          </w:p>
        </w:tc>
        <w:tc>
          <w:tcPr>
            <w:tcW w:w="2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Preferred Shares</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451,100,053</w:t>
            </w: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195,912</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451,295,965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1,193,226,511</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3"/>
          </w:tcPr>
          <w:p>
            <w:pPr>
              <w:ind w:left="180"/>
              <w:spacing w:after="0"/>
              <w:rPr>
                <w:sz w:val="20"/>
                <w:szCs w:val="20"/>
                <w:color w:val="auto"/>
              </w:rPr>
            </w:pPr>
            <w:r>
              <w:rPr>
                <w:rFonts w:ascii="Arial" w:cs="Arial" w:eastAsia="Arial" w:hAnsi="Arial"/>
                <w:sz w:val="18"/>
                <w:szCs w:val="18"/>
                <w:color w:val="auto"/>
              </w:rPr>
              <w:t>Lucid Options</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26,099,336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(334,726)</w:t>
            </w:r>
          </w:p>
        </w:tc>
        <w:tc>
          <w:tcPr>
            <w:tcW w:w="24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25,764,610</w:t>
            </w:r>
          </w:p>
        </w:tc>
        <w:tc>
          <w:tcPr>
            <w:tcW w:w="1040" w:type="dxa"/>
            <w:vAlign w:val="bottom"/>
          </w:tcPr>
          <w:p>
            <w:pPr>
              <w:jc w:val="right"/>
              <w:spacing w:after="0"/>
              <w:rPr>
                <w:sz w:val="20"/>
                <w:szCs w:val="20"/>
                <w:color w:val="auto"/>
              </w:rPr>
            </w:pPr>
            <w:r>
              <w:rPr>
                <w:rFonts w:ascii="Arial" w:cs="Arial" w:eastAsia="Arial" w:hAnsi="Arial"/>
                <w:sz w:val="18"/>
                <w:szCs w:val="18"/>
                <w:color w:val="auto"/>
              </w:rPr>
              <w:t>68,121,210</w:t>
            </w:r>
          </w:p>
        </w:tc>
        <w:tc>
          <w:tcPr>
            <w:tcW w:w="0" w:type="dxa"/>
            <w:vAlign w:val="bottom"/>
          </w:tcPr>
          <w:p>
            <w:pPr>
              <w:spacing w:after="0"/>
              <w:rPr>
                <w:sz w:val="1"/>
                <w:szCs w:val="1"/>
                <w:color w:val="auto"/>
              </w:rPr>
            </w:pPr>
          </w:p>
        </w:tc>
      </w:tr>
      <w:tr>
        <w:trPr>
          <w:trHeight w:val="263"/>
        </w:trPr>
        <w:tc>
          <w:tcPr>
            <w:tcW w:w="2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Lucid RSUs</w:t>
            </w:r>
          </w:p>
        </w:tc>
        <w:tc>
          <w:tcPr>
            <w:tcW w:w="22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15,763,598</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654,723</w:t>
            </w:r>
          </w:p>
        </w:tc>
        <w:tc>
          <w:tcPr>
            <w:tcW w:w="240" w:type="dxa"/>
            <w:vAlign w:val="bottom"/>
            <w:tcBorders>
              <w:right w:val="single" w:sz="8" w:color="CCEEFF"/>
            </w:tcBorders>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16,418,321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43,409,870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Total Lucid Awards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41,862,934</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319,997</w:t>
            </w:r>
          </w:p>
        </w:tc>
        <w:tc>
          <w:tcPr>
            <w:tcW w:w="24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42,182,931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111,531,080</w:t>
            </w:r>
          </w:p>
        </w:tc>
        <w:tc>
          <w:tcPr>
            <w:tcW w:w="0" w:type="dxa"/>
            <w:vAlign w:val="bottom"/>
          </w:tcPr>
          <w:p>
            <w:pPr>
              <w:spacing w:after="0"/>
              <w:rPr>
                <w:sz w:val="1"/>
                <w:szCs w:val="1"/>
                <w:color w:val="auto"/>
              </w:rPr>
            </w:pPr>
          </w:p>
        </w:tc>
      </w:tr>
      <w:tr>
        <w:trPr>
          <w:trHeight w:val="20"/>
        </w:trPr>
        <w:tc>
          <w:tcPr>
            <w:tcW w:w="2440" w:type="dxa"/>
            <w:vAlign w:val="bottom"/>
            <w:tcBorders>
              <w:right w:val="single" w:sz="8" w:color="CCEEFF"/>
            </w:tcBorders>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Lucid Shares and</w:t>
            </w: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440" w:type="dxa"/>
            <w:vAlign w:val="bottom"/>
            <w:tcBorders>
              <w:right w:val="single" w:sz="8" w:color="CCEEFF"/>
            </w:tcBorders>
            <w:gridSpan w:val="3"/>
            <w:vMerge w:val="continue"/>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492,962,987</w:t>
            </w:r>
          </w:p>
        </w:tc>
        <w:tc>
          <w:tcPr>
            <w:tcW w:w="220" w:type="dxa"/>
            <w:vAlign w:val="bottom"/>
            <w:vMerge w:val="restart"/>
            <w:shd w:val="clear" w:color="auto" w:fill="CCEEFF"/>
          </w:tcPr>
          <w:p>
            <w:pPr>
              <w:spacing w:after="0"/>
              <w:rPr>
                <w:sz w:val="19"/>
                <w:szCs w:val="19"/>
                <w:color w:val="auto"/>
              </w:rPr>
            </w:pPr>
          </w:p>
        </w:tc>
        <w:tc>
          <w:tcPr>
            <w:tcW w:w="180" w:type="dxa"/>
            <w:vAlign w:val="bottom"/>
            <w:vMerge w:val="restart"/>
            <w:shd w:val="clear" w:color="auto" w:fill="CCEEFF"/>
          </w:tcPr>
          <w:p>
            <w:pPr>
              <w:spacing w:after="0"/>
              <w:rPr>
                <w:sz w:val="19"/>
                <w:szCs w:val="19"/>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515,909</w:t>
            </w:r>
          </w:p>
        </w:tc>
        <w:tc>
          <w:tcPr>
            <w:tcW w:w="240" w:type="dxa"/>
            <w:vAlign w:val="bottom"/>
            <w:tcBorders>
              <w:right w:val="single" w:sz="8" w:color="CCEEFF"/>
            </w:tcBorders>
            <w:shd w:val="clear" w:color="auto" w:fill="CCEEFF"/>
          </w:tcPr>
          <w:p>
            <w:pPr>
              <w:spacing w:after="0"/>
              <w:rPr>
                <w:sz w:val="19"/>
                <w:szCs w:val="19"/>
                <w:color w:val="auto"/>
              </w:rPr>
            </w:pPr>
          </w:p>
        </w:tc>
        <w:tc>
          <w:tcPr>
            <w:tcW w:w="120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493,478,896</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1,304,757,591</w:t>
            </w:r>
          </w:p>
        </w:tc>
        <w:tc>
          <w:tcPr>
            <w:tcW w:w="0" w:type="dxa"/>
            <w:vAlign w:val="bottom"/>
          </w:tcPr>
          <w:p>
            <w:pPr>
              <w:spacing w:after="0"/>
              <w:rPr>
                <w:sz w:val="1"/>
                <w:szCs w:val="1"/>
                <w:color w:val="auto"/>
              </w:rPr>
            </w:pPr>
          </w:p>
        </w:tc>
      </w:tr>
      <w:tr>
        <w:trPr>
          <w:trHeight w:val="261"/>
        </w:trPr>
        <w:tc>
          <w:tcPr>
            <w:tcW w:w="24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Awards</w:t>
            </w:r>
          </w:p>
        </w:tc>
        <w:tc>
          <w:tcPr>
            <w:tcW w:w="900" w:type="dxa"/>
            <w:vAlign w:val="bottom"/>
            <w:vMerge w:val="continue"/>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180" w:type="dxa"/>
            <w:vAlign w:val="bottom"/>
            <w:vMerge w:val="continue"/>
            <w:shd w:val="clear" w:color="auto" w:fill="CCEEFF"/>
          </w:tcPr>
          <w:p>
            <w:pPr>
              <w:spacing w:after="0"/>
              <w:rPr>
                <w:sz w:val="22"/>
                <w:szCs w:val="22"/>
                <w:color w:val="auto"/>
              </w:rPr>
            </w:pPr>
          </w:p>
        </w:tc>
        <w:tc>
          <w:tcPr>
            <w:tcW w:w="860" w:type="dxa"/>
            <w:vAlign w:val="bottom"/>
            <w:gridSpan w:val="2"/>
            <w:vMerge w:val="continue"/>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200" w:type="dxa"/>
            <w:vAlign w:val="bottom"/>
            <w:tcBorders>
              <w:right w:val="single" w:sz="8" w:color="CCEEFF"/>
            </w:tcBorders>
            <w:gridSpan w:val="2"/>
            <w:vMerge w:val="continue"/>
            <w:shd w:val="clear" w:color="auto" w:fill="CCEEFF"/>
          </w:tcPr>
          <w:p>
            <w:pPr>
              <w:spacing w:after="0"/>
              <w:rPr>
                <w:sz w:val="22"/>
                <w:szCs w:val="22"/>
                <w:color w:val="auto"/>
              </w:rPr>
            </w:pPr>
          </w:p>
        </w:tc>
        <w:tc>
          <w:tcPr>
            <w:tcW w:w="1120" w:type="dxa"/>
            <w:vAlign w:val="bottom"/>
            <w:gridSpan w:val="2"/>
            <w:vMerge w:val="continue"/>
            <w:shd w:val="clear" w:color="auto" w:fill="CCEEFF"/>
          </w:tcPr>
          <w:p>
            <w:pPr>
              <w:spacing w:after="0"/>
              <w:rPr>
                <w:sz w:val="22"/>
                <w:szCs w:val="22"/>
                <w:color w:val="auto"/>
              </w:rPr>
            </w:pPr>
          </w:p>
        </w:tc>
        <w:tc>
          <w:tcPr>
            <w:tcW w:w="104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-419735</wp:posOffset>
            </wp:positionV>
            <wp:extent cx="1460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-419735</wp:posOffset>
            </wp:positionV>
            <wp:extent cx="1454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-419735</wp:posOffset>
            </wp:positionV>
            <wp:extent cx="274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-419735</wp:posOffset>
            </wp:positionV>
            <wp:extent cx="23742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74265" cy="88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-1259205</wp:posOffset>
            </wp:positionV>
            <wp:extent cx="1460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-1259205</wp:posOffset>
            </wp:positionV>
            <wp:extent cx="1454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-1259205</wp:posOffset>
            </wp:positionV>
            <wp:extent cx="274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-1259205</wp:posOffset>
            </wp:positionV>
            <wp:extent cx="23742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74265"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-3265170</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-3265170</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-3265170</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-3265170</wp:posOffset>
            </wp:positionV>
            <wp:extent cx="22542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28" w:lineRule="exact"/>
        <w:rPr>
          <w:sz w:val="20"/>
          <w:szCs w:val="20"/>
          <w:color w:val="auto"/>
        </w:rPr>
      </w:pPr>
    </w:p>
    <w:p>
      <w:pPr>
        <w:ind w:left="1620" w:right="559" w:hanging="360"/>
        <w:spacing w:after="0" w:line="277"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the net capitalization activity of Lucid subsequent to the latest balance sheet date through the period ended July 23, 2021.</w:t>
      </w:r>
    </w:p>
    <w:p>
      <w:pPr>
        <w:spacing w:after="0" w:line="48" w:lineRule="exact"/>
        <w:rPr>
          <w:rFonts w:ascii="Arial" w:cs="Arial" w:eastAsia="Arial" w:hAnsi="Arial"/>
          <w:sz w:val="18"/>
          <w:szCs w:val="18"/>
          <w:color w:val="auto"/>
        </w:rPr>
      </w:pPr>
    </w:p>
    <w:p>
      <w:pPr>
        <w:ind w:left="1620" w:right="439" w:hanging="360"/>
        <w:spacing w:after="0" w:line="286" w:lineRule="auto"/>
        <w:tabs>
          <w:tab w:leader="none" w:pos="1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 the terms of the Merger Agreement, no fractional shares of Class A common stock were issued. Each holder of Lucid Shares entitled to a fraction of a share of Class A common stock had its fractional share rounded up or down to the nearest whole share. Each holder of Lucid Awards entitled to a</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99"/>
        <w:spacing w:after="0" w:line="261" w:lineRule="auto"/>
        <w:rPr>
          <w:sz w:val="20"/>
          <w:szCs w:val="20"/>
          <w:color w:val="auto"/>
        </w:rPr>
      </w:pPr>
      <w:r>
        <w:rPr>
          <w:rFonts w:ascii="Arial" w:cs="Arial" w:eastAsia="Arial" w:hAnsi="Arial"/>
          <w:sz w:val="18"/>
          <w:szCs w:val="18"/>
          <w:color w:val="auto"/>
        </w:rPr>
        <w:t>fraction of a Lucid Group Award covering a share of Class A common stock had its fractional award rounded down to the nearest whole share.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Related Events in Connection with the Transactions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related events that occurred in connection with the Transactions are summarized below:</w:t>
      </w:r>
    </w:p>
    <w:p>
      <w:pPr>
        <w:spacing w:after="0" w:line="117" w:lineRule="exact"/>
        <w:rPr>
          <w:sz w:val="20"/>
          <w:szCs w:val="20"/>
          <w:color w:val="auto"/>
        </w:rPr>
      </w:pPr>
    </w:p>
    <w:p>
      <w:pPr>
        <w:ind w:left="1800" w:right="419" w:hanging="180"/>
        <w:spacing w:after="0" w:line="266"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grant of 11,293,177 Lucid RSUs to Lucid’s CEO under the Lucid 2021 Plan (the “</w:t>
      </w:r>
      <w:r>
        <w:rPr>
          <w:rFonts w:ascii="Arial" w:cs="Arial" w:eastAsia="Arial" w:hAnsi="Arial"/>
          <w:sz w:val="17"/>
          <w:szCs w:val="17"/>
          <w:i w:val="1"/>
          <w:iCs w:val="1"/>
          <w:color w:val="auto"/>
        </w:rPr>
        <w:t>CEO RSU</w:t>
      </w:r>
      <w:r>
        <w:rPr>
          <w:rFonts w:ascii="Arial" w:cs="Arial" w:eastAsia="Arial" w:hAnsi="Arial"/>
          <w:sz w:val="17"/>
          <w:szCs w:val="17"/>
          <w:color w:val="auto"/>
        </w:rPr>
        <w:t xml:space="preserve"> </w:t>
      </w:r>
      <w:r>
        <w:rPr>
          <w:rFonts w:ascii="Arial" w:cs="Arial" w:eastAsia="Arial" w:hAnsi="Arial"/>
          <w:sz w:val="17"/>
          <w:szCs w:val="17"/>
          <w:i w:val="1"/>
          <w:iCs w:val="1"/>
          <w:color w:val="auto"/>
        </w:rPr>
        <w:t>Award</w:t>
      </w:r>
      <w:r>
        <w:rPr>
          <w:rFonts w:ascii="Arial" w:cs="Arial" w:eastAsia="Arial" w:hAnsi="Arial"/>
          <w:sz w:val="17"/>
          <w:szCs w:val="17"/>
          <w:color w:val="auto"/>
        </w:rPr>
        <w:t>”). The CEO RSU Award is comprised of (i) 5,232,507 Lucid RSUs subject to a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which was satisfied upon the Closing and service conditions that will be satisfied over 16 equal quarterly installments (the “</w:t>
      </w:r>
      <w:r>
        <w:rPr>
          <w:rFonts w:ascii="Arial" w:cs="Arial" w:eastAsia="Arial" w:hAnsi="Arial"/>
          <w:sz w:val="17"/>
          <w:szCs w:val="17"/>
          <w:i w:val="1"/>
          <w:iCs w:val="1"/>
          <w:color w:val="auto"/>
        </w:rPr>
        <w:t>CEO Time-Based RSUs</w:t>
      </w:r>
      <w:r>
        <w:rPr>
          <w:rFonts w:ascii="Arial" w:cs="Arial" w:eastAsia="Arial" w:hAnsi="Arial"/>
          <w:sz w:val="17"/>
          <w:szCs w:val="17"/>
          <w:color w:val="auto"/>
        </w:rPr>
        <w:t>”) and (ii) 6,060,670 Lucid RSUs subject to a performance condition which was satisfied upon the Closing and market and service conditions that will be satisfied in five tranches based upon the achievement of certain market capitalization hurdles specified for each tranche set for Lucid Group in the post combination period and subject to the continuous employment of the CEO at each vesting date (the “</w:t>
      </w:r>
      <w:r>
        <w:rPr>
          <w:rFonts w:ascii="Arial" w:cs="Arial" w:eastAsia="Arial" w:hAnsi="Arial"/>
          <w:sz w:val="17"/>
          <w:szCs w:val="17"/>
          <w:i w:val="1"/>
          <w:iCs w:val="1"/>
          <w:color w:val="auto"/>
        </w:rPr>
        <w:t>CEO Performance RSUs</w:t>
      </w:r>
      <w:r>
        <w:rPr>
          <w:rFonts w:ascii="Arial" w:cs="Arial" w:eastAsia="Arial" w:hAnsi="Arial"/>
          <w:sz w:val="17"/>
          <w:szCs w:val="17"/>
          <w:color w:val="auto"/>
        </w:rPr>
        <w:t>”). The first four tranches of the CEO Performance RSUs are equal installments of 1,317,537 RSUs per tranche and the fifth tranche is the remaining 790,522 RSUs. During the first year following the Closing, Lucid Group may be required to withhold a number of shares and remit cash payments as necessary to settle tax withholding obligations for vested awards as based on the fair value of its common stock on the settlement date. No tax withholding or cash remittances have been given effect in the</w:t>
      </w:r>
    </w:p>
    <w:p>
      <w:pPr>
        <w:spacing w:after="0" w:line="5" w:lineRule="exact"/>
        <w:rPr>
          <w:rFonts w:ascii="Arial" w:cs="Arial" w:eastAsia="Arial" w:hAnsi="Arial"/>
          <w:sz w:val="17"/>
          <w:szCs w:val="17"/>
          <w:color w:val="auto"/>
        </w:rPr>
      </w:pPr>
    </w:p>
    <w:p>
      <w:pPr>
        <w:ind w:left="1800" w:right="719"/>
        <w:spacing w:after="0" w:line="260" w:lineRule="auto"/>
        <w:rPr>
          <w:rFonts w:ascii="Arial" w:cs="Arial" w:eastAsia="Arial" w:hAnsi="Arial"/>
          <w:sz w:val="17"/>
          <w:szCs w:val="17"/>
          <w:color w:val="auto"/>
        </w:rPr>
      </w:pPr>
      <w:r>
        <w:rPr>
          <w:rFonts w:ascii="Arial" w:cs="Arial" w:eastAsia="Arial" w:hAnsi="Arial"/>
          <w:sz w:val="18"/>
          <w:szCs w:val="18"/>
          <w:color w:val="auto"/>
        </w:rPr>
        <w:t>pro forma financial information as the decision whether to net settle on behalf of the employee or execute a sell to-cover arrangement has not been determined;</w:t>
      </w:r>
    </w:p>
    <w:p>
      <w:pPr>
        <w:spacing w:after="0" w:line="77" w:lineRule="exact"/>
        <w:rPr>
          <w:rFonts w:ascii="Arial" w:cs="Arial" w:eastAsia="Arial" w:hAnsi="Arial"/>
          <w:sz w:val="17"/>
          <w:szCs w:val="17"/>
          <w:color w:val="auto"/>
        </w:rPr>
      </w:pPr>
    </w:p>
    <w:p>
      <w:pPr>
        <w:ind w:left="1800" w:right="999" w:hanging="180"/>
        <w:spacing w:after="0" w:line="308"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cash award of $2.0 million granted to Lucid’s CEO with a single vesting term based on a performance condition which was satisfied upon the Closing (the “</w:t>
      </w:r>
      <w:r>
        <w:rPr>
          <w:rFonts w:ascii="Arial" w:cs="Arial" w:eastAsia="Arial" w:hAnsi="Arial"/>
          <w:sz w:val="17"/>
          <w:szCs w:val="17"/>
          <w:i w:val="1"/>
          <w:iCs w:val="1"/>
          <w:color w:val="auto"/>
        </w:rPr>
        <w:t>CEO Transaction Bonus</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1800" w:right="719" w:hanging="180"/>
        <w:spacing w:after="0" w:line="255"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grants of 5,125,144 Lucid RSUs to employees in February 2021, March 2021, June 2021, and July 2021 that remain outstanding immediately prior to the Closing with vesting terms based on a performance condition and a service condition. The performance condition was satisfied upon the Closing. The service condition for 25% of the Lucid RSUs will be satisfied 375 days after the Closing and the remaining Lucid RSUs will be satisfied in equal quarterly installments thereafter, subject to continuous employment;</w:t>
      </w:r>
    </w:p>
    <w:p>
      <w:pPr>
        <w:spacing w:after="0" w:line="84"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effectiveness of our amended and restated bylaws, each of which occurred immediately prior to the Effective Time and the closing of the PIPE Investment;</w:t>
      </w:r>
    </w:p>
    <w:p>
      <w:pPr>
        <w:spacing w:after="0" w:line="75" w:lineRule="exact"/>
        <w:rPr>
          <w:rFonts w:ascii="Arial" w:cs="Arial" w:eastAsia="Arial" w:hAnsi="Arial"/>
          <w:sz w:val="18"/>
          <w:szCs w:val="18"/>
          <w:color w:val="auto"/>
        </w:rPr>
      </w:pPr>
    </w:p>
    <w:p>
      <w:pPr>
        <w:ind w:left="1800" w:right="1139" w:hanging="180"/>
        <w:spacing w:after="0" w:line="263"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sale and issuance of 166,666,667 shares of Class A common stock at a purchase price of $15.00 per share for an aggregate purchase price of $2,500.0 million pursuant to the PIPE Subscription Agreements entered in connection with the PIPE Investment;</w:t>
      </w:r>
    </w:p>
    <w:p>
      <w:pPr>
        <w:spacing w:after="0" w:line="62" w:lineRule="exact"/>
        <w:rPr>
          <w:rFonts w:ascii="Arial" w:cs="Arial" w:eastAsia="Arial" w:hAnsi="Arial"/>
          <w:sz w:val="18"/>
          <w:szCs w:val="18"/>
          <w:color w:val="auto"/>
        </w:rPr>
      </w:pPr>
    </w:p>
    <w:p>
      <w:pPr>
        <w:ind w:left="1800" w:right="659" w:hanging="180"/>
        <w:spacing w:after="0" w:line="274"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during the Earnback Period following the Closing, the Sponsor has subjected 17,250,000 shares of issued and outstanding Class A common stock, comprised of three separate tranches of</w:t>
      </w:r>
    </w:p>
    <w:p>
      <w:pPr>
        <w:ind w:left="1800" w:right="639"/>
        <w:spacing w:after="0" w:line="253" w:lineRule="auto"/>
        <w:rPr>
          <w:rFonts w:ascii="Arial" w:cs="Arial" w:eastAsia="Arial" w:hAnsi="Arial"/>
          <w:sz w:val="17"/>
          <w:szCs w:val="17"/>
          <w:color w:val="auto"/>
        </w:rPr>
      </w:pPr>
      <w:r>
        <w:rPr>
          <w:rFonts w:ascii="Arial" w:cs="Arial" w:eastAsia="Arial" w:hAnsi="Arial"/>
          <w:sz w:val="18"/>
          <w:szCs w:val="18"/>
          <w:color w:val="auto"/>
        </w:rPr>
        <w:t>5,750,000 shares per tranche, to potential forfeiture to Lucid Group for no consideration until the occurrence of the respective Earnback Triggering Events. As the Earnback Triggering Events have not yet been achieved, these issued and outstanding Sponsor Earnback Shares are treated as contingently recallable in the pro forma financial information; and</w:t>
      </w:r>
    </w:p>
    <w:p>
      <w:pPr>
        <w:spacing w:after="0" w:line="84" w:lineRule="exact"/>
        <w:rPr>
          <w:rFonts w:ascii="Arial" w:cs="Arial" w:eastAsia="Arial" w:hAnsi="Arial"/>
          <w:sz w:val="17"/>
          <w:szCs w:val="17"/>
          <w:color w:val="auto"/>
        </w:rPr>
      </w:pPr>
    </w:p>
    <w:p>
      <w:pPr>
        <w:ind w:left="1800" w:right="479" w:hanging="180"/>
        <w:spacing w:after="0" w:line="254"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the Earnback Period following the Closing, the Sponsor has subjected 14,783,333 warrants of issued and outstanding Lucid Group Warrants underlying Class A common stock, comprised of three separate tranches of (i) 4,927,778 warrants, (ii) 4,927,778 warrants, and (iii) 4,927,777 warrants, respectively, to potential forfeiture to Lucid Group for no consideration until the occurrence of the respective Earnback Triggering Events. As the Earnback Triggering Events have not yet been achieved, these issued and outstanding Sponsor Earnback Warrants are treated as contingently recallable in the pro forma financial information.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Expected Accounting Treatment of the Transactions</w:t>
      </w:r>
    </w:p>
    <w:p>
      <w:pPr>
        <w:spacing w:after="0" w:line="162"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We expect the Transactions to be accounted for as a reverse recapitalization in accordance with GAAP. Under this method of accounting, Churchill is expected to be treated as the “acquired” company for financial</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41" w:lineRule="auto"/>
        <w:rPr>
          <w:sz w:val="20"/>
          <w:szCs w:val="20"/>
          <w:color w:val="auto"/>
        </w:rPr>
      </w:pPr>
      <w:r>
        <w:rPr>
          <w:rFonts w:ascii="Arial" w:cs="Arial" w:eastAsia="Arial" w:hAnsi="Arial"/>
          <w:sz w:val="18"/>
          <w:szCs w:val="18"/>
          <w:color w:val="auto"/>
        </w:rPr>
        <w:t>reporting purposes. Accordingly, for accounting purposes, the financial statements of Lucid Group will represent a continuation of the financial statements of Lucid with the Transactions treated as the equivalent of Lucid issuing shares for the net assets of Churchill, accompanied by a recapitalization. The net assets of Churchill will be stated at historical cost, with no goodwill or other intangible assets recorded. Operations prior to the Transactions will be those of Lucid in future reports of Lucid Group.</w:t>
      </w:r>
    </w:p>
    <w:p>
      <w:pPr>
        <w:spacing w:after="0" w:line="108"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Lucid has been determined to be the accounting acquirer based on evaluation of the following facts and circumstances under both the no and maximum redemption scenarios:</w:t>
      </w:r>
    </w:p>
    <w:p>
      <w:pPr>
        <w:spacing w:after="0" w:line="63"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Lucid shareholders will have a relative majority of the voting power of Lucid Group;</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board of directors of Lucid Group will have nine members, and Lucid shareholders will have the ability to nominate the majority of the members of the board of directors;</w:t>
      </w:r>
    </w:p>
    <w:p>
      <w:pPr>
        <w:spacing w:after="0" w:line="48"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Lucid’s senior management will comprise the senior management roles of Lucid Group and be responsible for the day-to-day operations;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Lucid Group will assume the Lucid name; and</w:t>
      </w:r>
    </w:p>
    <w:p>
      <w:pPr>
        <w:spacing w:after="0" w:line="103"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intended strategy and operations of Lucid Group will continue Lucid’s current strategy and operations to develop the next generation of electric vehicle technology.</w:t>
      </w:r>
    </w:p>
    <w:p>
      <w:pPr>
        <w:spacing w:after="0" w:line="103"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We expect the contingently forfeitable Sponsor Earnback Shares to be accounted for as equity classified instruments following the Closing as the Earnback Triggering Events that determine the number of Earnback Shares earned upon settlement or forfeited upon expiration only include events and adjustments that are considered solely indexed to the fair value of Class A common stock.</w:t>
      </w:r>
    </w:p>
    <w:p>
      <w:pPr>
        <w:spacing w:after="0" w:line="120"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We expect the Private Placement Warrants held by the Sponsor to remain liability classified instruments following the Closing, which will require the Private Placement Warrants to be recognized at fair value upon the Closing and remeasured to fair value at each balance sheet date in future reporting periods with changes in fair value recorded in the Lucid Group consolidated statement of operations. We also expect the Public Warrants to be reclassified from liability classified instruments to equity classified instruments following the Closing.</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Pro Forma Presentation</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The unaudited pro forma condensed combined financial information has been prepared in accordance with Article 11 of Regulation S- X. The adjustments in the unaudited pro forma condensed combined financial information have been identified and presented to provide relevant information in accordance with GAAP necessary for an illustrative understanding of Lucid Group upon consummation of the Transactions. Assumptions and estimates underlying the unaudited pro forma adjustments set forth in the unaudited pro forma condensed combined financial information are described in the accompanying notes.</w:t>
      </w:r>
    </w:p>
    <w:p>
      <w:pPr>
        <w:spacing w:after="0" w:line="108"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The unaudited pro forma condensed combined financial information has been presented for illustrative purposes only and is not necessarily indicative of the operating results and financial position that would have been achieved had the Transactions occurred on the dates indicated, and does not reflect adjustments for any anticipated synergies, operating efficiencies, tax savings or cost savings. Any cash proceeds remaining after the consummation of the Transactions and the other related events contemplated by the Merger Agreement are expected to be used for general corporate purposes. The unaudited pro forma condensed combined financial information does not purport to project the future operating results or financial position of Lucid Group following the completion of the Transactions. The unaudited pro forma adjustments represent management’s estimates based on information available as of the date of these unaudited pro forma condensed combined financial information and are subject to change as additional information becomes available and analyses are performed. Churchill and Lucid have not had any historical relationship prior to the transactions. Accordingly, no pro forma adjustments were required to eliminate activities between the companies.</w:t>
      </w:r>
    </w:p>
    <w:p>
      <w:pPr>
        <w:spacing w:after="0" w:line="124"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unaudited pro forma condensed combined financial information reflects Churchill stockholders’ approval of the Transactions on July 22, 2021 and the redemption of 21,644 public shares of Churchill’s Class A common stock at approximately $10.00 per share based on trust account figures prior to the Closing on July 23, 2021 for an aggregate payment of $0.2 million.</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summarizes Class A common stock issued and outstanding immediately after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Closing on July 23, 2021:</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Lucid shareholders</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-180340</wp:posOffset>
            </wp:positionV>
            <wp:extent cx="4749165"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Churchill Sponsor</w:t>
      </w:r>
      <w:r>
        <w:rPr>
          <w:rFonts w:ascii="Arial" w:cs="Arial" w:eastAsia="Arial" w:hAnsi="Arial"/>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-18415</wp:posOffset>
            </wp:positionV>
            <wp:extent cx="4749165"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7"/>
          <w:szCs w:val="17"/>
          <w:color w:val="auto"/>
        </w:rPr>
        <w:t>Churchill public stockholders</w:t>
      </w:r>
    </w:p>
    <w:p>
      <w:pPr>
        <w:spacing w:after="0" w:line="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PIPE Investors</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Total</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135255</wp:posOffset>
            </wp:positionV>
            <wp:extent cx="12344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819"/>
        <w:spacing w:after="0"/>
        <w:rPr>
          <w:sz w:val="20"/>
          <w:szCs w:val="20"/>
          <w:color w:val="auto"/>
        </w:rPr>
      </w:pPr>
      <w:r>
        <w:rPr>
          <w:rFonts w:ascii="Arial" w:cs="Arial" w:eastAsia="Arial" w:hAnsi="Arial"/>
          <w:sz w:val="14"/>
          <w:szCs w:val="14"/>
          <w:b w:val="1"/>
          <w:bCs w:val="1"/>
          <w:color w:val="auto"/>
        </w:rPr>
        <w:t>Share Ownership in Lucid</w:t>
      </w:r>
    </w:p>
    <w:p>
      <w:pPr>
        <w:spacing w:after="0" w:line="17" w:lineRule="exact"/>
        <w:rPr>
          <w:sz w:val="20"/>
          <w:szCs w:val="20"/>
          <w:color w:val="auto"/>
        </w:rPr>
      </w:pPr>
    </w:p>
    <w:p>
      <w:pPr>
        <w:jc w:val="center"/>
        <w:ind w:right="819"/>
        <w:spacing w:after="0"/>
        <w:rPr>
          <w:sz w:val="20"/>
          <w:szCs w:val="20"/>
          <w:color w:val="auto"/>
        </w:rPr>
      </w:pPr>
      <w:r>
        <w:rPr>
          <w:rFonts w:ascii="Arial" w:cs="Arial" w:eastAsia="Arial" w:hAnsi="Arial"/>
          <w:sz w:val="14"/>
          <w:szCs w:val="14"/>
          <w:b w:val="1"/>
          <w:bCs w:val="1"/>
          <w:color w:val="auto"/>
        </w:rPr>
        <w:t>Group</w:t>
      </w:r>
    </w:p>
    <w:p>
      <w:pPr>
        <w:spacing w:after="0" w:line="1" w:lineRule="exact"/>
        <w:rPr>
          <w:sz w:val="20"/>
          <w:szCs w:val="20"/>
          <w:color w:val="auto"/>
        </w:rPr>
      </w:pPr>
    </w:p>
    <w:p>
      <w:pPr>
        <w:jc w:val="center"/>
        <w:ind w:right="779"/>
        <w:spacing w:after="0"/>
        <w:rPr>
          <w:sz w:val="20"/>
          <w:szCs w:val="20"/>
          <w:color w:val="auto"/>
        </w:rPr>
      </w:pPr>
      <w:r>
        <w:rPr>
          <w:rFonts w:ascii="Arial" w:cs="Arial" w:eastAsia="Arial" w:hAnsi="Arial"/>
          <w:sz w:val="14"/>
          <w:szCs w:val="14"/>
          <w:b w:val="1"/>
          <w:bCs w:val="1"/>
          <w:color w:val="auto"/>
        </w:rPr>
        <w:t>Pro Forma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2255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jc w:val="right"/>
              <w:ind w:right="135"/>
              <w:spacing w:after="0"/>
              <w:rPr>
                <w:sz w:val="20"/>
                <w:szCs w:val="20"/>
                <w:color w:val="auto"/>
              </w:rPr>
            </w:pPr>
            <w:r>
              <w:rPr>
                <w:rFonts w:ascii="Arial" w:cs="Arial" w:eastAsia="Arial" w:hAnsi="Arial"/>
                <w:sz w:val="14"/>
                <w:szCs w:val="14"/>
                <w:b w:val="1"/>
                <w:bCs w:val="1"/>
                <w:color w:val="auto"/>
              </w:rPr>
              <w:t>Number of</w:t>
            </w:r>
          </w:p>
        </w:tc>
        <w:tc>
          <w:tcPr>
            <w:tcW w:w="7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1040" w:type="dxa"/>
            <w:vAlign w:val="bottom"/>
          </w:tcPr>
          <w:p>
            <w:pPr>
              <w:jc w:val="right"/>
              <w:ind w:right="235"/>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5"/>
          </w:tcPr>
          <w:p>
            <w:pPr>
              <w:jc w:val="center"/>
              <w:ind w:left="116"/>
              <w:spacing w:after="0"/>
              <w:rPr>
                <w:sz w:val="20"/>
                <w:szCs w:val="20"/>
                <w:color w:val="auto"/>
              </w:rPr>
            </w:pPr>
            <w:r>
              <w:rPr>
                <w:rFonts w:ascii="Arial" w:cs="Arial" w:eastAsia="Arial" w:hAnsi="Arial"/>
                <w:sz w:val="14"/>
                <w:szCs w:val="14"/>
                <w:b w:val="1"/>
                <w:bCs w:val="1"/>
                <w:color w:val="auto"/>
                <w:w w:val="91"/>
              </w:rPr>
              <w:t>Ownership</w:t>
            </w:r>
          </w:p>
        </w:tc>
      </w:tr>
      <w:tr>
        <w:trPr>
          <w:trHeight w:val="26"/>
        </w:trPr>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1040" w:type="dxa"/>
            <w:vAlign w:val="bottom"/>
          </w:tcPr>
          <w:p>
            <w:pPr>
              <w:jc w:val="right"/>
              <w:spacing w:after="0"/>
              <w:rPr>
                <w:sz w:val="20"/>
                <w:szCs w:val="20"/>
                <w:color w:val="auto"/>
              </w:rPr>
            </w:pPr>
            <w:r>
              <w:rPr>
                <w:rFonts w:ascii="Arial" w:cs="Arial" w:eastAsia="Arial" w:hAnsi="Arial"/>
                <w:sz w:val="18"/>
                <w:szCs w:val="18"/>
                <w:color w:val="auto"/>
                <w:w w:val="88"/>
              </w:rPr>
              <w:t>1,193,226,511</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73.7%</w:t>
            </w:r>
          </w:p>
        </w:tc>
      </w:tr>
      <w:tr>
        <w:trPr>
          <w:trHeight w:val="270"/>
        </w:trPr>
        <w:tc>
          <w:tcPr>
            <w:tcW w:w="1040" w:type="dxa"/>
            <w:vAlign w:val="bottom"/>
          </w:tcPr>
          <w:p>
            <w:pPr>
              <w:jc w:val="right"/>
              <w:spacing w:after="0"/>
              <w:rPr>
                <w:sz w:val="20"/>
                <w:szCs w:val="20"/>
                <w:color w:val="auto"/>
              </w:rPr>
            </w:pPr>
            <w:r>
              <w:rPr>
                <w:rFonts w:ascii="Arial" w:cs="Arial" w:eastAsia="Arial" w:hAnsi="Arial"/>
                <w:sz w:val="18"/>
                <w:szCs w:val="18"/>
                <w:color w:val="auto"/>
              </w:rPr>
              <w:t>51,750,000</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3.2%</w:t>
            </w:r>
          </w:p>
        </w:tc>
      </w:tr>
      <w:tr>
        <w:trPr>
          <w:trHeight w:val="256"/>
        </w:trPr>
        <w:tc>
          <w:tcPr>
            <w:tcW w:w="1040" w:type="dxa"/>
            <w:vAlign w:val="bottom"/>
          </w:tcPr>
          <w:p>
            <w:pPr>
              <w:jc w:val="right"/>
              <w:spacing w:after="0"/>
              <w:rPr>
                <w:sz w:val="20"/>
                <w:szCs w:val="20"/>
                <w:color w:val="auto"/>
              </w:rPr>
            </w:pPr>
            <w:r>
              <w:rPr>
                <w:rFonts w:ascii="Arial" w:cs="Arial" w:eastAsia="Arial" w:hAnsi="Arial"/>
                <w:sz w:val="18"/>
                <w:szCs w:val="18"/>
                <w:color w:val="auto"/>
              </w:rPr>
              <w:t>206,978,356</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12.8%</w:t>
            </w:r>
          </w:p>
        </w:tc>
      </w:tr>
      <w:tr>
        <w:trPr>
          <w:trHeight w:val="277"/>
        </w:trPr>
        <w:tc>
          <w:tcPr>
            <w:tcW w:w="1040" w:type="dxa"/>
            <w:vAlign w:val="bottom"/>
          </w:tcPr>
          <w:p>
            <w:pPr>
              <w:jc w:val="right"/>
              <w:spacing w:after="0"/>
              <w:rPr>
                <w:sz w:val="20"/>
                <w:szCs w:val="20"/>
                <w:color w:val="auto"/>
              </w:rPr>
            </w:pPr>
            <w:r>
              <w:rPr>
                <w:rFonts w:ascii="Arial" w:cs="Arial" w:eastAsia="Arial" w:hAnsi="Arial"/>
                <w:sz w:val="18"/>
                <w:szCs w:val="18"/>
                <w:color w:val="auto"/>
              </w:rPr>
              <w:t>166,666,667</w:t>
            </w:r>
          </w:p>
        </w:tc>
        <w:tc>
          <w:tcPr>
            <w:tcW w:w="340" w:type="dxa"/>
            <w:vAlign w:val="bottom"/>
            <w:gridSpan w:val="2"/>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8"/>
                <w:szCs w:val="18"/>
                <w:color w:val="auto"/>
                <w:w w:val="88"/>
              </w:rPr>
              <w:t>1,618,621,534</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100.0%</w:t>
            </w:r>
          </w:p>
        </w:tc>
      </w:tr>
    </w:tbl>
    <w:p>
      <w:pPr>
        <w:spacing w:after="0" w:line="230" w:lineRule="exact"/>
        <w:rPr>
          <w:sz w:val="20"/>
          <w:szCs w:val="20"/>
          <w:color w:val="auto"/>
        </w:rPr>
      </w:pPr>
    </w:p>
    <w:p>
      <w:pPr>
        <w:sectPr>
          <w:pgSz w:w="11900" w:h="16838" w:orient="portrait"/>
          <w:cols w:equalWidth="0" w:num="2">
            <w:col w:w="6460" w:space="720"/>
            <w:col w:w="2699"/>
          </w:cols>
          <w:pgMar w:left="580" w:top="132" w:right="1440" w:bottom="1440" w:gutter="0" w:footer="0" w:header="0"/>
          <w:type w:val="continuous"/>
        </w:sectPr>
      </w:pPr>
    </w:p>
    <w:p>
      <w:pPr>
        <w:spacing w:after="0" w:line="160" w:lineRule="exact"/>
        <w:rPr>
          <w:sz w:val="20"/>
          <w:szCs w:val="20"/>
          <w:color w:val="auto"/>
        </w:rPr>
      </w:pPr>
    </w:p>
    <w:p>
      <w:pPr>
        <w:ind w:left="1620" w:right="819" w:hanging="360"/>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Excludes 111,531,080 shares of Class A common stock to be reserved for potential future issuance upon the exercise of Lucid Group Options or settlement of Lucid Group RSUs.</w:t>
      </w:r>
    </w:p>
    <w:p>
      <w:pPr>
        <w:spacing w:after="0" w:line="21" w:lineRule="exact"/>
        <w:rPr>
          <w:rFonts w:ascii="Arial" w:cs="Arial" w:eastAsia="Arial" w:hAnsi="Arial"/>
          <w:sz w:val="18"/>
          <w:szCs w:val="18"/>
          <w:color w:val="auto"/>
        </w:rPr>
      </w:pPr>
    </w:p>
    <w:p>
      <w:pPr>
        <w:ind w:left="1620" w:right="439" w:hanging="360"/>
        <w:spacing w:after="0" w:line="279" w:lineRule="auto"/>
        <w:tabs>
          <w:tab w:leader="none" w:pos="1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51,750,000 shares beneficially owned by the Sponsor includes the 17,250,000 Sponsor Earnback Shares, which have been restricted from transfer, subject to the occurrence of the Earnback Triggering Events during the Earnback Period. Any such shares not released from these transfer restrictions during the Earnback Period will be forfeited back to Lucid Group for no consideration.</w:t>
      </w:r>
    </w:p>
    <w:p>
      <w:pPr>
        <w:spacing w:after="0" w:line="22" w:lineRule="exact"/>
        <w:rPr>
          <w:rFonts w:ascii="Arial" w:cs="Arial" w:eastAsia="Arial" w:hAnsi="Arial"/>
          <w:sz w:val="17"/>
          <w:szCs w:val="17"/>
          <w:color w:val="auto"/>
        </w:rPr>
      </w:pPr>
    </w:p>
    <w:p>
      <w:pPr>
        <w:ind w:left="1620" w:right="479" w:hanging="360"/>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the sale and issuance of 166,666,667 shares of Class A common stock to the PIPE Investors at $15.00 per share, of which Ayar has agreed to purchase 13,333,333 of such shares.</w:t>
      </w:r>
    </w:p>
    <w:p>
      <w:pPr>
        <w:spacing w:after="0" w:line="35" w:lineRule="exact"/>
        <w:rPr>
          <w:rFonts w:ascii="Arial" w:cs="Arial" w:eastAsia="Arial" w:hAnsi="Arial"/>
          <w:sz w:val="18"/>
          <w:szCs w:val="18"/>
          <w:color w:val="auto"/>
        </w:rPr>
      </w:pPr>
    </w:p>
    <w:p>
      <w:pPr>
        <w:ind w:left="1620" w:right="479" w:hanging="360"/>
        <w:spacing w:after="0" w:line="253"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Excludes the 85,750,000 warrants issued and outstanding, which includes the 41,400,000 Public Warrants and the 44,350,000 Private Placement Warrants held by the Sponsor, of which 1,500,000 Private Placement Warrants held by the Sponsor were issued pursuant to the Sponsor exercising the option to convert the unpaid balance of the issued and outstanding Note into Working Capital Warrants at a price of $1.00 per warrant. The 44,350,000 private warrants beneficially owned by the Sponsor includes the 14,783,333 Sponsor Earnback Warrants, which have been restricted from transfer, subject to the occurrence of the Earnback Triggering Events during the Earnback Period. Any such warrants not released from these transfer restrictions during the Earnback Period will be forfeited back to Lucid Group for no consideration.</w:t>
      </w:r>
    </w:p>
    <w:p>
      <w:pPr>
        <w:spacing w:after="0" w:line="115"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The unaudited pro forma condensed combined balance sheet and statements of operations are based on the assumption that there are no exercises of the issued and outstanding warrants issued in connection with the Churchill IPO as such securities are not exercisable until 30 days after the Closing. There are also no adjustments for the issued and outstanding Lucid Group Awards underlying 111,531,080 shares reserved for the potential future issuance of Class A common stock, as such events have not yet occurred.</w:t>
      </w:r>
    </w:p>
    <w:p>
      <w:pPr>
        <w:spacing w:after="0" w:line="109"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If the actual facts are different than these assumptions, then the amounts and shares outstanding in the unaudited pro forma condensed combined financial information will be different and those changes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Transaction</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Historical</w:t>
            </w:r>
          </w:p>
        </w:tc>
        <w:tc>
          <w:tcPr>
            <w:tcW w:w="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Historical</w:t>
            </w: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Accounting</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9"/>
              </w:rPr>
              <w:t>Pro Forma</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2"/>
              </w:rPr>
              <w:t>Churchill</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Lucid</w:t>
            </w: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7"/>
              </w:rPr>
              <w:t>Combined</w:t>
            </w:r>
          </w:p>
        </w:tc>
        <w:tc>
          <w:tcPr>
            <w:tcW w:w="160" w:type="dxa"/>
            <w:vAlign w:val="bottom"/>
            <w:tcBorders>
              <w:bottom w:val="single" w:sz="8" w:color="CCEEFF"/>
            </w:tcBorders>
            <w:gridSpan w:val="2"/>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557,938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2,070,291</w:t>
            </w:r>
          </w:p>
        </w:tc>
        <w:tc>
          <w:tcPr>
            <w:tcW w:w="4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4,952,013</w:t>
            </w:r>
          </w:p>
        </w:tc>
        <w:tc>
          <w:tcPr>
            <w:tcW w:w="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2,500,000</w:t>
            </w:r>
          </w:p>
        </w:tc>
        <w:tc>
          <w:tcPr>
            <w:tcW w:w="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B</w:t>
            </w:r>
          </w:p>
        </w:tc>
        <w:tc>
          <w:tcPr>
            <w:tcW w:w="10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7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(175,000)</w:t>
            </w:r>
          </w:p>
        </w:tc>
        <w:tc>
          <w:tcPr>
            <w:tcW w:w="4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rPr>
              <w:t>C</w:t>
            </w: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D</w:t>
            </w:r>
          </w:p>
        </w:tc>
        <w:tc>
          <w:tcPr>
            <w:tcW w:w="10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7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48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9"/>
              </w:rPr>
              <w:t>E</w:t>
            </w: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27,434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27,434</w:t>
            </w:r>
          </w:p>
        </w:tc>
        <w:tc>
          <w:tcPr>
            <w:tcW w:w="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28,224</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28,224</w:t>
            </w:r>
          </w:p>
        </w:tc>
        <w:tc>
          <w:tcPr>
            <w:tcW w:w="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41,276</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41,951</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26,587</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26,587</w:t>
            </w:r>
          </w:p>
        </w:tc>
        <w:tc>
          <w:tcPr>
            <w:tcW w:w="8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7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780" w:type="dxa"/>
            <w:vAlign w:val="bottom"/>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1,675</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682,444</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4,393,075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5,077,194</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887,774</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887,774</w:t>
            </w:r>
          </w:p>
        </w:tc>
        <w:tc>
          <w:tcPr>
            <w:tcW w:w="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2,070,291</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(2,070,291)</w:t>
            </w:r>
          </w:p>
        </w:tc>
        <w:tc>
          <w:tcPr>
            <w:tcW w:w="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A</w:t>
            </w:r>
          </w:p>
        </w:tc>
        <w:tc>
          <w:tcPr>
            <w:tcW w:w="10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Right-of-use assets</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126,655</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126,655</w:t>
            </w:r>
          </w:p>
        </w:tc>
        <w:tc>
          <w:tcPr>
            <w:tcW w:w="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39,271</w:t>
            </w: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39,271</w:t>
            </w: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7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Pr>
          <w:p>
            <w:pPr>
              <w:spacing w:after="0"/>
              <w:rPr>
                <w:sz w:val="23"/>
                <w:szCs w:val="23"/>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2,071,966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1,736,144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2,322,784</w:t>
            </w:r>
          </w:p>
        </w:tc>
        <w:tc>
          <w:tcPr>
            <w:tcW w:w="34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6,130,894</w:t>
            </w:r>
          </w:p>
        </w:tc>
        <w:tc>
          <w:tcPr>
            <w:tcW w:w="80" w:type="dxa"/>
            <w:vAlign w:val="bottom"/>
            <w:shd w:val="clear" w:color="auto" w:fill="CCEEFF"/>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 PREFERRED SHARES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26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78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 (DEFICIT)</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13,970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14,797</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24,187</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24,187</w:t>
            </w:r>
          </w:p>
        </w:tc>
        <w:tc>
          <w:tcPr>
            <w:tcW w:w="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promissory note – related party,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0"/>
              </w:rPr>
              <w:t>F</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7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of discount</w:t>
            </w:r>
          </w:p>
        </w:tc>
        <w:tc>
          <w:tcPr>
            <w:tcW w:w="1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w:t>
            </w:r>
          </w:p>
        </w:tc>
        <w:tc>
          <w:tcPr>
            <w:tcW w:w="480" w:type="dxa"/>
            <w:vAlign w:val="bottom"/>
            <w:tcBorders>
              <w:right w:val="single" w:sz="8" w:color="CCEEFF"/>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Finance lease liabilities, current portion</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2,572</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159,049</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159,049</w:t>
            </w:r>
          </w:p>
        </w:tc>
        <w:tc>
          <w:tcPr>
            <w:tcW w:w="8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7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780" w:type="dxa"/>
            <w:vAlign w:val="bottom"/>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2,050</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199,778</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(1,200)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200,628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72,450</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(72,450)</w:t>
            </w:r>
          </w:p>
        </w:tc>
        <w:tc>
          <w:tcPr>
            <w:tcW w:w="4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rPr>
              <w:t>C</w:t>
            </w: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1,599,646</w:t>
            </w: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1,500</w:t>
            </w:r>
          </w:p>
        </w:tc>
        <w:tc>
          <w:tcPr>
            <w:tcW w:w="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F</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942,886</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7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(658,260)</w:t>
            </w:r>
          </w:p>
        </w:tc>
        <w:tc>
          <w:tcPr>
            <w:tcW w:w="4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9"/>
              </w:rPr>
              <w:t>G</w:t>
            </w: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Finance lease liabilities, net of current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780" w:type="dxa"/>
            <w:vAlign w:val="bottom"/>
          </w:tcPr>
          <w:p>
            <w:pPr>
              <w:ind w:left="360"/>
              <w:spacing w:after="0"/>
              <w:rPr>
                <w:sz w:val="20"/>
                <w:szCs w:val="20"/>
                <w:color w:val="auto"/>
              </w:rPr>
            </w:pPr>
            <w:r>
              <w:rPr>
                <w:rFonts w:ascii="Arial" w:cs="Arial" w:eastAsia="Arial" w:hAnsi="Arial"/>
                <w:sz w:val="18"/>
                <w:szCs w:val="18"/>
                <w:color w:val="auto"/>
              </w:rPr>
              <w:t>portion</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3,963</w:t>
            </w: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164,547</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164,547</w:t>
            </w:r>
          </w:p>
        </w:tc>
        <w:tc>
          <w:tcPr>
            <w:tcW w:w="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Income tax liabilities</w:t>
            </w:r>
          </w:p>
        </w:tc>
        <w:tc>
          <w:tcPr>
            <w:tcW w:w="10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780" w:type="dxa"/>
            <w:vAlign w:val="bottom"/>
            <w:tcBorders>
              <w:right w:val="single" w:sz="8" w:color="CCEEFF"/>
            </w:tcBorders>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78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1,674,146</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368,531</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(730,410)</w:t>
            </w:r>
          </w:p>
        </w:tc>
        <w:tc>
          <w:tcPr>
            <w:tcW w:w="3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1,312,267</w:t>
            </w:r>
          </w:p>
        </w:tc>
        <w:tc>
          <w:tcPr>
            <w:tcW w:w="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Lucid Preferred Shares</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5,836,785</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(5,836,785)</w:t>
            </w:r>
          </w:p>
        </w:tc>
        <w:tc>
          <w:tcPr>
            <w:tcW w:w="4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rPr>
              <w:t>H</w:t>
            </w: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Churchill’s Class A common stock subject to</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9"/>
              </w:rPr>
              <w:t>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2,070,000</w:t>
            </w: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4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7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(2,069,784)</w:t>
            </w:r>
          </w:p>
        </w:tc>
        <w:tc>
          <w:tcPr>
            <w:tcW w:w="48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9"/>
              </w:rPr>
              <w:t>J</w:t>
            </w: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7"/>
        </w:trPr>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331"/>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-1525270</wp:posOffset>
            </wp:positionV>
            <wp:extent cx="431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-1525270</wp:posOffset>
            </wp:positionV>
            <wp:extent cx="3943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-1525270</wp:posOffset>
            </wp:positionV>
            <wp:extent cx="93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-1525270</wp:posOffset>
            </wp:positionV>
            <wp:extent cx="30175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17520" cy="889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-4371340</wp:posOffset>
            </wp:positionV>
            <wp:extent cx="431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-4371340</wp:posOffset>
            </wp:positionV>
            <wp:extent cx="3943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-4371340</wp:posOffset>
            </wp:positionV>
            <wp:extent cx="93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-4371340</wp:posOffset>
            </wp:positionV>
            <wp:extent cx="30175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17520" cy="889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-7019925</wp:posOffset>
            </wp:positionV>
            <wp:extent cx="43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-7019925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-7019925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-7019925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-7019925</wp:posOffset>
            </wp:positionV>
            <wp:extent cx="30086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0863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3" w:name="page74"/>
    <w:bookmarkEnd w:id="7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Unaudited Pro Forma Condensed Combined Balance Sheet — (continued)</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 thousands)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Transaction</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Historical</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Accounting</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Churchill</w:t>
            </w:r>
          </w:p>
        </w:tc>
        <w:tc>
          <w:tcPr>
            <w:tcW w:w="80" w:type="dxa"/>
            <w:vAlign w:val="bottom"/>
          </w:tcPr>
          <w:p>
            <w:pPr>
              <w:spacing w:after="0"/>
              <w:rPr>
                <w:sz w:val="16"/>
                <w:szCs w:val="16"/>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Lucid</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Adjustments</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Notes</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26"/>
        </w:trPr>
        <w:tc>
          <w:tcPr>
            <w:tcW w:w="37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Lucid Common Shares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600" w:type="dxa"/>
            <w:vAlign w:val="bottom"/>
            <w:gridSpan w:val="3"/>
          </w:tcPr>
          <w:p>
            <w:pPr>
              <w:ind w:left="100"/>
              <w:spacing w:after="0"/>
              <w:rPr>
                <w:sz w:val="20"/>
                <w:szCs w:val="20"/>
                <w:color w:val="auto"/>
              </w:rPr>
            </w:pPr>
            <w:r>
              <w:rPr>
                <w:rFonts w:ascii="Arial" w:cs="Arial" w:eastAsia="Arial" w:hAnsi="Arial"/>
                <w:sz w:val="18"/>
                <w:szCs w:val="18"/>
                <w:b w:val="1"/>
                <w:bCs w:val="1"/>
                <w:color w:val="auto"/>
              </w:rPr>
              <w:t xml:space="preserve">H   </w:t>
            </w:r>
            <w:r>
              <w:rPr>
                <w:rFonts w:ascii="Arial" w:cs="Arial" w:eastAsia="Arial" w:hAnsi="Arial"/>
                <w:sz w:val="18"/>
                <w:szCs w:val="18"/>
                <w:color w:val="auto"/>
              </w:rPr>
              <w:t>$</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I</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Churchill’s Class B common stock</w:t>
            </w:r>
          </w:p>
        </w:tc>
        <w:tc>
          <w:tcPr>
            <w:tcW w:w="8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600" w:type="dxa"/>
            <w:vAlign w:val="bottom"/>
            <w:gridSpan w:val="3"/>
          </w:tcPr>
          <w:p>
            <w:pPr>
              <w:ind w:left="100"/>
              <w:spacing w:after="0"/>
              <w:rPr>
                <w:sz w:val="20"/>
                <w:szCs w:val="20"/>
                <w:color w:val="auto"/>
              </w:rPr>
            </w:pPr>
            <w:r>
              <w:rPr>
                <w:rFonts w:ascii="Arial" w:cs="Arial" w:eastAsia="Arial" w:hAnsi="Arial"/>
                <w:sz w:val="18"/>
                <w:szCs w:val="18"/>
                <w:b w:val="1"/>
                <w:bCs w:val="1"/>
                <w:color w:val="auto"/>
              </w:rPr>
              <w:t>K</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B</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600" w:type="dxa"/>
            <w:vAlign w:val="bottom"/>
            <w:gridSpan w:val="3"/>
          </w:tcPr>
          <w:p>
            <w:pPr>
              <w:ind w:left="100"/>
              <w:spacing w:after="0"/>
              <w:rPr>
                <w:sz w:val="20"/>
                <w:szCs w:val="20"/>
                <w:color w:val="auto"/>
              </w:rPr>
            </w:pPr>
            <w:r>
              <w:rPr>
                <w:rFonts w:ascii="Arial" w:cs="Arial" w:eastAsia="Arial" w:hAnsi="Arial"/>
                <w:sz w:val="18"/>
                <w:szCs w:val="18"/>
                <w:b w:val="1"/>
                <w:bCs w:val="1"/>
                <w:color w:val="auto"/>
              </w:rPr>
              <w:t>I</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J</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600" w:type="dxa"/>
            <w:vAlign w:val="bottom"/>
            <w:gridSpan w:val="3"/>
          </w:tcPr>
          <w:p>
            <w:pPr>
              <w:ind w:left="100"/>
              <w:spacing w:after="0"/>
              <w:rPr>
                <w:sz w:val="20"/>
                <w:szCs w:val="20"/>
                <w:color w:val="auto"/>
              </w:rPr>
            </w:pPr>
            <w:r>
              <w:rPr>
                <w:rFonts w:ascii="Arial" w:cs="Arial" w:eastAsia="Arial" w:hAnsi="Arial"/>
                <w:sz w:val="18"/>
                <w:szCs w:val="18"/>
                <w:b w:val="1"/>
                <w:bCs w:val="1"/>
                <w:color w:val="auto"/>
              </w:rPr>
              <w:t>K</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26,615</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2,499,983</w:t>
            </w: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B</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9,320,459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(98,344)</w:t>
            </w:r>
          </w:p>
        </w:tc>
        <w:tc>
          <w:tcPr>
            <w:tcW w:w="600" w:type="dxa"/>
            <w:vAlign w:val="bottom"/>
            <w:gridSpan w:val="3"/>
          </w:tcPr>
          <w:p>
            <w:pPr>
              <w:ind w:left="100"/>
              <w:spacing w:after="0"/>
              <w:rPr>
                <w:sz w:val="20"/>
                <w:szCs w:val="20"/>
                <w:color w:val="auto"/>
              </w:rPr>
            </w:pPr>
            <w:r>
              <w:rPr>
                <w:rFonts w:ascii="Arial" w:cs="Arial" w:eastAsia="Arial" w:hAnsi="Arial"/>
                <w:sz w:val="18"/>
                <w:szCs w:val="18"/>
                <w:b w:val="1"/>
                <w:bCs w:val="1"/>
                <w:color w:val="auto"/>
              </w:rPr>
              <w:t>C</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F</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658,260</w:t>
            </w:r>
          </w:p>
        </w:tc>
        <w:tc>
          <w:tcPr>
            <w:tcW w:w="600" w:type="dxa"/>
            <w:vAlign w:val="bottom"/>
            <w:gridSpan w:val="3"/>
          </w:tcPr>
          <w:p>
            <w:pPr>
              <w:ind w:left="100"/>
              <w:spacing w:after="0"/>
              <w:rPr>
                <w:sz w:val="20"/>
                <w:szCs w:val="20"/>
                <w:color w:val="auto"/>
              </w:rPr>
            </w:pPr>
            <w:r>
              <w:rPr>
                <w:rFonts w:ascii="Arial" w:cs="Arial" w:eastAsia="Arial" w:hAnsi="Arial"/>
                <w:sz w:val="18"/>
                <w:szCs w:val="18"/>
                <w:b w:val="1"/>
                <w:bCs w:val="1"/>
                <w:color w:val="auto"/>
              </w:rPr>
              <w:t>G</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5,836,741</w:t>
            </w: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H</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600" w:type="dxa"/>
            <w:vAlign w:val="bottom"/>
            <w:gridSpan w:val="3"/>
          </w:tcPr>
          <w:p>
            <w:pPr>
              <w:ind w:left="100"/>
              <w:spacing w:after="0"/>
              <w:rPr>
                <w:sz w:val="20"/>
                <w:szCs w:val="20"/>
                <w:color w:val="auto"/>
              </w:rPr>
            </w:pPr>
            <w:r>
              <w:rPr>
                <w:rFonts w:ascii="Arial" w:cs="Arial" w:eastAsia="Arial" w:hAnsi="Arial"/>
                <w:sz w:val="18"/>
                <w:szCs w:val="18"/>
                <w:b w:val="1"/>
                <w:bCs w:val="1"/>
                <w:color w:val="auto"/>
              </w:rPr>
              <w:t>I</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2,069,763</w:t>
            </w: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J</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(1,672,185)</w:t>
            </w:r>
          </w:p>
        </w:tc>
        <w:tc>
          <w:tcPr>
            <w:tcW w:w="600" w:type="dxa"/>
            <w:vAlign w:val="bottom"/>
            <w:gridSpan w:val="3"/>
          </w:tcPr>
          <w:p>
            <w:pPr>
              <w:ind w:left="100"/>
              <w:spacing w:after="0"/>
              <w:rPr>
                <w:sz w:val="20"/>
                <w:szCs w:val="20"/>
                <w:color w:val="auto"/>
              </w:rPr>
            </w:pPr>
            <w:r>
              <w:rPr>
                <w:rFonts w:ascii="Arial" w:cs="Arial" w:eastAsia="Arial" w:hAnsi="Arial"/>
                <w:sz w:val="18"/>
                <w:szCs w:val="18"/>
                <w:b w:val="1"/>
                <w:bCs w:val="1"/>
                <w:color w:val="auto"/>
              </w:rPr>
              <w:t>L</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(1,672,185)</w:t>
            </w: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(4,495,788)</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(4,206)</w:t>
            </w: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(4,501,994)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600" w:type="dxa"/>
            <w:vAlign w:val="bottom"/>
            <w:gridSpan w:val="3"/>
          </w:tcPr>
          <w:p>
            <w:pPr>
              <w:ind w:left="100"/>
              <w:spacing w:after="0"/>
              <w:rPr>
                <w:sz w:val="20"/>
                <w:szCs w:val="20"/>
                <w:color w:val="auto"/>
              </w:rPr>
            </w:pPr>
            <w:r>
              <w:rPr>
                <w:rFonts w:ascii="Arial" w:cs="Arial" w:eastAsia="Arial" w:hAnsi="Arial"/>
                <w:sz w:val="18"/>
                <w:szCs w:val="18"/>
                <w:b w:val="1"/>
                <w:bCs w:val="1"/>
                <w:color w:val="auto"/>
              </w:rPr>
              <w:t>D</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7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1,672,185</w:t>
            </w: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L</w:t>
            </w:r>
          </w:p>
        </w:tc>
        <w:tc>
          <w:tcPr>
            <w:tcW w:w="78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740" w:type="dxa"/>
            <w:vAlign w:val="bottom"/>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(1,672,180)</w:t>
            </w:r>
          </w:p>
        </w:tc>
        <w:tc>
          <w:tcPr>
            <w:tcW w:w="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(4,469,172)</w:t>
            </w:r>
          </w:p>
        </w:tc>
        <w:tc>
          <w:tcPr>
            <w:tcW w:w="1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10,959,979</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4,818,627</w:t>
            </w:r>
          </w:p>
        </w:tc>
        <w:tc>
          <w:tcPr>
            <w:tcW w:w="0" w:type="dxa"/>
            <w:vAlign w:val="bottom"/>
          </w:tcPr>
          <w:p>
            <w:pPr>
              <w:spacing w:after="0"/>
              <w:rPr>
                <w:sz w:val="1"/>
                <w:szCs w:val="1"/>
                <w:color w:val="auto"/>
              </w:rPr>
            </w:pPr>
          </w:p>
        </w:tc>
      </w:tr>
      <w:tr>
        <w:trPr>
          <w:trHeight w:val="238"/>
        </w:trPr>
        <w:tc>
          <w:tcPr>
            <w:tcW w:w="37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PREFERRED</w:t>
            </w:r>
          </w:p>
        </w:tc>
        <w:tc>
          <w:tcPr>
            <w:tcW w:w="8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SHARES AND STOCKHOLDERS’</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4"/>
              </w:rPr>
              <w:t>2,071,966</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4"/>
              </w:rPr>
              <w:t>1,736,144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7"/>
              </w:rPr>
              <w:t>2,322,784</w:t>
            </w:r>
          </w:p>
        </w:tc>
        <w:tc>
          <w:tcPr>
            <w:tcW w:w="600" w:type="dxa"/>
            <w:vAlign w:val="bottom"/>
            <w:gridSpan w:val="3"/>
            <w:vMerge w:val="restart"/>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6,130,894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7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EQUITY (DEFICIT)</w:t>
            </w:r>
          </w:p>
        </w:tc>
        <w:tc>
          <w:tcPr>
            <w:tcW w:w="80" w:type="dxa"/>
            <w:vAlign w:val="bottom"/>
            <w:vMerge w:val="continue"/>
            <w:shd w:val="clear" w:color="auto" w:fill="CCEEFF"/>
          </w:tcPr>
          <w:p>
            <w:pPr>
              <w:spacing w:after="0"/>
              <w:rPr>
                <w:sz w:val="22"/>
                <w:szCs w:val="22"/>
                <w:color w:val="auto"/>
              </w:rPr>
            </w:pPr>
          </w:p>
        </w:tc>
        <w:tc>
          <w:tcPr>
            <w:tcW w:w="940" w:type="dxa"/>
            <w:vAlign w:val="bottom"/>
            <w:tcBorders>
              <w:right w:val="single" w:sz="8" w:color="CCEEFF"/>
            </w:tcBorders>
            <w:gridSpan w:val="2"/>
            <w:vMerge w:val="continue"/>
            <w:shd w:val="clear" w:color="auto" w:fill="CCEEFF"/>
          </w:tcPr>
          <w:p>
            <w:pPr>
              <w:spacing w:after="0"/>
              <w:rPr>
                <w:sz w:val="22"/>
                <w:szCs w:val="22"/>
                <w:color w:val="auto"/>
              </w:rPr>
            </w:pPr>
          </w:p>
        </w:tc>
        <w:tc>
          <w:tcPr>
            <w:tcW w:w="80" w:type="dxa"/>
            <w:vAlign w:val="bottom"/>
            <w:vMerge w:val="continue"/>
            <w:shd w:val="clear" w:color="auto" w:fill="CCEEFF"/>
          </w:tcPr>
          <w:p>
            <w:pPr>
              <w:spacing w:after="0"/>
              <w:rPr>
                <w:sz w:val="22"/>
                <w:szCs w:val="22"/>
                <w:color w:val="auto"/>
              </w:rPr>
            </w:pPr>
          </w:p>
        </w:tc>
        <w:tc>
          <w:tcPr>
            <w:tcW w:w="940" w:type="dxa"/>
            <w:vAlign w:val="bottom"/>
            <w:tcBorders>
              <w:right w:val="single" w:sz="8" w:color="CCEEFF"/>
            </w:tcBorders>
            <w:gridSpan w:val="2"/>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940" w:type="dxa"/>
            <w:vAlign w:val="bottom"/>
            <w:gridSpan w:val="2"/>
            <w:vMerge w:val="continue"/>
            <w:shd w:val="clear" w:color="auto" w:fill="CCEEFF"/>
          </w:tcPr>
          <w:p>
            <w:pPr>
              <w:spacing w:after="0"/>
              <w:rPr>
                <w:sz w:val="22"/>
                <w:szCs w:val="22"/>
                <w:color w:val="auto"/>
              </w:rPr>
            </w:pPr>
          </w:p>
        </w:tc>
        <w:tc>
          <w:tcPr>
            <w:tcW w:w="600" w:type="dxa"/>
            <w:vAlign w:val="bottom"/>
            <w:gridSpan w:val="3"/>
            <w:vMerge w:val="continue"/>
            <w:shd w:val="clear" w:color="auto" w:fill="CCEEFF"/>
          </w:tcPr>
          <w:p>
            <w:pPr>
              <w:spacing w:after="0"/>
              <w:rPr>
                <w:sz w:val="22"/>
                <w:szCs w:val="22"/>
                <w:color w:val="auto"/>
              </w:rPr>
            </w:pPr>
          </w:p>
        </w:tc>
        <w:tc>
          <w:tcPr>
            <w:tcW w:w="780" w:type="dxa"/>
            <w:vAlign w:val="bottom"/>
            <w:vMerge w:val="continue"/>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5043170</wp:posOffset>
            </wp:positionH>
            <wp:positionV relativeFrom="paragraph">
              <wp:posOffset>-488315</wp:posOffset>
            </wp:positionV>
            <wp:extent cx="4114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-488315</wp:posOffset>
            </wp:positionV>
            <wp:extent cx="946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-488315</wp:posOffset>
            </wp:positionV>
            <wp:extent cx="30175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17520" cy="8890"/>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-3856990</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-3856990</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-3856990</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-3856990</wp:posOffset>
            </wp:positionV>
            <wp:extent cx="30086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Transaction</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Historical</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Historical</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Accounting</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Churchill</w:t>
            </w:r>
          </w:p>
        </w:tc>
        <w:tc>
          <w:tcPr>
            <w:tcW w:w="10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Lucid</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6"/>
              </w:rPr>
              <w:t>Adjustments</w:t>
            </w:r>
          </w:p>
        </w:tc>
        <w:tc>
          <w:tcPr>
            <w:tcW w:w="5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Notes</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6"/>
        </w:trPr>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5320" w:type="dxa"/>
            <w:vAlign w:val="bottom"/>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3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344,171</w:t>
            </w:r>
          </w:p>
        </w:tc>
        <w:tc>
          <w:tcPr>
            <w:tcW w:w="12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26,856</w:t>
            </w:r>
          </w:p>
        </w:tc>
        <w:tc>
          <w:tcPr>
            <w:tcW w:w="8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9"/>
              </w:rPr>
              <w:t>AA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382,346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11,319</w:t>
            </w:r>
          </w:p>
        </w:tc>
        <w:tc>
          <w:tcPr>
            <w:tcW w:w="80" w:type="dxa"/>
            <w:vAlign w:val="bottom"/>
          </w:tcPr>
          <w:p>
            <w:pPr>
              <w:spacing w:after="0"/>
              <w:rPr>
                <w:sz w:val="22"/>
                <w:szCs w:val="22"/>
                <w:color w:val="auto"/>
              </w:rPr>
            </w:pPr>
          </w:p>
        </w:tc>
        <w:tc>
          <w:tcPr>
            <w:tcW w:w="5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BB</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203,924</w:t>
            </w:r>
          </w:p>
        </w:tc>
        <w:tc>
          <w:tcPr>
            <w:tcW w:w="12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16,665</w:t>
            </w:r>
          </w:p>
        </w:tc>
        <w:tc>
          <w:tcPr>
            <w:tcW w:w="8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9"/>
              </w:rPr>
              <w:t>AA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284,728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64,139</w:t>
            </w:r>
          </w:p>
        </w:tc>
        <w:tc>
          <w:tcPr>
            <w:tcW w:w="80" w:type="dxa"/>
            <w:vAlign w:val="bottom"/>
          </w:tcPr>
          <w:p>
            <w:pPr>
              <w:spacing w:after="0"/>
              <w:rPr>
                <w:sz w:val="22"/>
                <w:szCs w:val="22"/>
                <w:color w:val="auto"/>
              </w:rPr>
            </w:pPr>
          </w:p>
        </w:tc>
        <w:tc>
          <w:tcPr>
            <w:tcW w:w="5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BB</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3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548,095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118,979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670,726</w:t>
            </w:r>
          </w:p>
        </w:tc>
        <w:tc>
          <w:tcPr>
            <w:tcW w:w="0" w:type="dxa"/>
            <w:vAlign w:val="bottom"/>
          </w:tcPr>
          <w:p>
            <w:pPr>
              <w:spacing w:after="0"/>
              <w:rPr>
                <w:sz w:val="1"/>
                <w:szCs w:val="1"/>
                <w:color w:val="auto"/>
              </w:rPr>
            </w:pPr>
          </w:p>
        </w:tc>
      </w:tr>
      <w:tr>
        <w:trPr>
          <w:trHeight w:val="20"/>
        </w:trPr>
        <w:tc>
          <w:tcPr>
            <w:tcW w:w="5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(3,652)</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(547,712)</w:t>
            </w: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(118,979)</w:t>
            </w: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forward contracts</w:t>
            </w: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(454,546)</w:t>
            </w: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(454,546)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tcPr>
          <w:p>
            <w:pPr>
              <w:ind w:left="180"/>
              <w:spacing w:after="0"/>
              <w:rPr>
                <w:sz w:val="20"/>
                <w:szCs w:val="20"/>
                <w:color w:val="auto"/>
              </w:rPr>
            </w:pPr>
            <w:r>
              <w:rPr>
                <w:rFonts w:ascii="Arial" w:cs="Arial" w:eastAsia="Arial" w:hAnsi="Arial"/>
                <w:sz w:val="18"/>
                <w:szCs w:val="18"/>
                <w:color w:val="auto"/>
              </w:rPr>
              <w:t>Change in fair value of convertible preferred share warrant</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color w:val="auto"/>
              </w:rPr>
              <w:t>liability</w:t>
            </w:r>
          </w:p>
        </w:tc>
        <w:tc>
          <w:tcPr>
            <w:tcW w:w="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(6,976)</w:t>
            </w: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56"/>
        </w:trPr>
        <w:tc>
          <w:tcPr>
            <w:tcW w:w="5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(1,399,754)</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595,332</w:t>
            </w:r>
          </w:p>
        </w:tc>
        <w:tc>
          <w:tcPr>
            <w:tcW w:w="8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9"/>
              </w:rPr>
              <w:t>CC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5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 excess fair value of conversion liability</w:t>
            </w: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(56,192)</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tcPr>
          <w:p>
            <w:pPr>
              <w:ind w:left="180"/>
              <w:spacing w:after="0"/>
              <w:rPr>
                <w:sz w:val="20"/>
                <w:szCs w:val="20"/>
                <w:color w:val="auto"/>
              </w:rPr>
            </w:pPr>
            <w:r>
              <w:rPr>
                <w:rFonts w:ascii="Arial" w:cs="Arial" w:eastAsia="Arial" w:hAnsi="Arial"/>
                <w:sz w:val="18"/>
                <w:szCs w:val="18"/>
                <w:color w:val="auto"/>
              </w:rPr>
              <w:t>Interest expense – amortization of debt discount</w:t>
            </w:r>
          </w:p>
        </w:tc>
        <w:tc>
          <w:tcPr>
            <w:tcW w:w="8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57"/>
        </w:trPr>
        <w:tc>
          <w:tcPr>
            <w:tcW w:w="5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b w:val="1"/>
                <w:bCs w:val="1"/>
                <w:color w:val="auto"/>
              </w:rPr>
              <w:t>DD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32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5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3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(1,456,941)</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(461,957)</w:t>
            </w:r>
          </w:p>
        </w:tc>
        <w:tc>
          <w:tcPr>
            <w:tcW w:w="12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595,127</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(1,323,771)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320" w:type="dxa"/>
            <w:vAlign w:val="bottom"/>
          </w:tcPr>
          <w:p>
            <w:pPr>
              <w:spacing w:after="0"/>
              <w:rPr>
                <w:sz w:val="20"/>
                <w:szCs w:val="20"/>
                <w:color w:val="auto"/>
              </w:rPr>
            </w:pPr>
            <w:r>
              <w:rPr>
                <w:rFonts w:ascii="Arial" w:cs="Arial" w:eastAsia="Arial" w:hAnsi="Arial"/>
                <w:sz w:val="18"/>
                <w:szCs w:val="18"/>
                <w:color w:val="auto"/>
              </w:rPr>
              <w:t>Loss before provision for (benefit from) income taxes</w:t>
            </w:r>
          </w:p>
        </w:tc>
        <w:tc>
          <w:tcPr>
            <w:tcW w:w="8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(1,460,593)</w:t>
            </w:r>
          </w:p>
        </w:tc>
        <w:tc>
          <w:tcPr>
            <w:tcW w:w="10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(1,009,669)</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476,148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(1,994,114)</w:t>
            </w:r>
          </w:p>
        </w:tc>
        <w:tc>
          <w:tcPr>
            <w:tcW w:w="0" w:type="dxa"/>
            <w:vAlign w:val="bottom"/>
          </w:tcPr>
          <w:p>
            <w:pPr>
              <w:spacing w:after="0"/>
              <w:rPr>
                <w:sz w:val="1"/>
                <w:szCs w:val="1"/>
                <w:color w:val="auto"/>
              </w:rPr>
            </w:pPr>
          </w:p>
        </w:tc>
      </w:tr>
      <w:tr>
        <w:trPr>
          <w:trHeight w:val="290"/>
        </w:trPr>
        <w:tc>
          <w:tcPr>
            <w:tcW w:w="5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3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(1,460,619)</w:t>
            </w:r>
          </w:p>
        </w:tc>
        <w:tc>
          <w:tcPr>
            <w:tcW w:w="10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(1,009,678)</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476,148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(1,994,149)</w:t>
            </w:r>
          </w:p>
        </w:tc>
        <w:tc>
          <w:tcPr>
            <w:tcW w:w="0" w:type="dxa"/>
            <w:vAlign w:val="bottom"/>
          </w:tcPr>
          <w:p>
            <w:pPr>
              <w:spacing w:after="0"/>
              <w:rPr>
                <w:sz w:val="1"/>
                <w:szCs w:val="1"/>
                <w:color w:val="auto"/>
              </w:rPr>
            </w:pPr>
          </w:p>
        </w:tc>
      </w:tr>
      <w:tr>
        <w:trPr>
          <w:trHeight w:val="256"/>
        </w:trPr>
        <w:tc>
          <w:tcPr>
            <w:tcW w:w="5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Deemed dividend related to the issuance of Series E convertible</w:t>
            </w:r>
          </w:p>
        </w:tc>
        <w:tc>
          <w:tcPr>
            <w:tcW w:w="80" w:type="dxa"/>
            <w:vAlign w:val="bottom"/>
            <w:shd w:val="clear" w:color="auto" w:fill="CCEEFF"/>
          </w:tcPr>
          <w:p>
            <w:pPr>
              <w:spacing w:after="0"/>
              <w:rPr>
                <w:sz w:val="22"/>
                <w:szCs w:val="2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3"/>
              </w:rPr>
              <w:t>(2,167,332)</w:t>
            </w:r>
          </w:p>
        </w:tc>
        <w:tc>
          <w:tcPr>
            <w:tcW w:w="120" w:type="dxa"/>
            <w:vAlign w:val="bottom"/>
            <w:shd w:val="clear" w:color="auto" w:fill="CCEEFF"/>
          </w:tcPr>
          <w:p>
            <w:pPr>
              <w:spacing w:after="0"/>
              <w:rPr>
                <w:sz w:val="22"/>
                <w:szCs w:val="2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(2,167,332)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shares</w:t>
            </w: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32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(1,460,619)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(3,177,010)</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476,148</w:t>
            </w:r>
          </w:p>
        </w:tc>
        <w:tc>
          <w:tcPr>
            <w:tcW w:w="80" w:type="dxa"/>
            <w:vAlign w:val="bottom"/>
          </w:tcPr>
          <w:p>
            <w:pPr>
              <w:spacing w:after="0"/>
              <w:rPr>
                <w:sz w:val="24"/>
                <w:szCs w:val="24"/>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(4,161,481)</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Net loss per share attributable to common stockholders – basic and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(243.59)</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32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8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58,496,884</w:t>
            </w:r>
          </w:p>
        </w:tc>
        <w:tc>
          <w:tcPr>
            <w:tcW w:w="1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13,042,653</w:t>
            </w:r>
          </w:p>
        </w:tc>
        <w:tc>
          <w:tcPr>
            <w:tcW w:w="12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1,532,149,152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-1722755</wp:posOffset>
            </wp:positionV>
            <wp:extent cx="3429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-1722755</wp:posOffset>
            </wp:positionV>
            <wp:extent cx="59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-1722755</wp:posOffset>
            </wp:positionV>
            <wp:extent cx="40119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11930" cy="889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-3531235</wp:posOffset>
            </wp:positionV>
            <wp:extent cx="3429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-3531235</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-3531235</wp:posOffset>
            </wp:positionV>
            <wp:extent cx="40119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011930"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-4902835</wp:posOffset>
            </wp:positionV>
            <wp:extent cx="3429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-4902835</wp:posOffset>
            </wp:positionV>
            <wp:extent cx="59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-4902835</wp:posOffset>
            </wp:positionV>
            <wp:extent cx="40119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11930" cy="8890"/>
                    </a:xfrm>
                    <a:prstGeom prst="rect">
                      <a:avLst/>
                    </a:prstGeom>
                    <a:noFill/>
                  </pic:spPr>
                </pic:pic>
              </a:graphicData>
            </a:graphic>
          </wp:anchor>
        </w:drawing>
        <w:drawing>
          <wp:anchor simplePos="0" relativeHeight="251657728" behindDoc="1" locked="0" layoutInCell="0" allowOverlap="1">
            <wp:simplePos x="0" y="0"/>
            <wp:positionH relativeFrom="column">
              <wp:posOffset>5711825</wp:posOffset>
            </wp:positionH>
            <wp:positionV relativeFrom="paragraph">
              <wp:posOffset>-5253990</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-5253990</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-5253990</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-5253990</wp:posOffset>
            </wp:positionV>
            <wp:extent cx="40030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132" w:right="1039" w:bottom="1440" w:gutter="0" w:footer="0" w:header="0"/>
        </w:sectPr>
      </w:pPr>
    </w:p>
    <w:bookmarkStart w:id="75" w:name="page76"/>
    <w:bookmarkEnd w:id="7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For the Year Ended December 31, 2020</w:t>
      </w:r>
    </w:p>
    <w:p>
      <w:pPr>
        <w:ind w:left="36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Historical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Transaction</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Churchill</w:t>
            </w:r>
          </w:p>
        </w:tc>
        <w:tc>
          <w:tcPr>
            <w:tcW w:w="88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Historical</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Accounting</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ind w:right="15"/>
              <w:spacing w:after="0"/>
              <w:rPr>
                <w:sz w:val="20"/>
                <w:szCs w:val="20"/>
                <w:color w:val="auto"/>
              </w:rPr>
            </w:pPr>
            <w:r>
              <w:rPr>
                <w:rFonts w:ascii="Arial" w:cs="Arial" w:eastAsia="Arial" w:hAnsi="Arial"/>
                <w:sz w:val="14"/>
                <w:szCs w:val="14"/>
                <w:b w:val="1"/>
                <w:bCs w:val="1"/>
                <w:color w:val="auto"/>
                <w:w w:val="88"/>
              </w:rPr>
              <w:t>(As Restated)</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Lucid</w:t>
            </w: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Adjustments</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Notes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Combined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3,976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7"/>
                <w:szCs w:val="17"/>
                <w:color w:val="auto"/>
              </w:rPr>
              <w:t>Cost of revenue</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3,070</w:t>
            </w: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3,070</w:t>
            </w:r>
          </w:p>
        </w:tc>
        <w:tc>
          <w:tcPr>
            <w:tcW w:w="0" w:type="dxa"/>
            <w:vAlign w:val="bottom"/>
          </w:tcPr>
          <w:p>
            <w:pPr>
              <w:spacing w:after="0"/>
              <w:rPr>
                <w:sz w:val="1"/>
                <w:szCs w:val="1"/>
                <w:color w:val="auto"/>
              </w:rPr>
            </w:pPr>
          </w:p>
        </w:tc>
      </w:tr>
      <w:tr>
        <w:trPr>
          <w:trHeight w:val="20"/>
        </w:trPr>
        <w:tc>
          <w:tcPr>
            <w:tcW w:w="3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Gross profit</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511,110</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102,214</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AA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55,451</w:t>
            </w:r>
          </w:p>
        </w:tc>
        <w:tc>
          <w:tcPr>
            <w:tcW w:w="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b w:val="1"/>
                <w:bCs w:val="1"/>
                <w:color w:val="auto"/>
              </w:rPr>
              <w:t>BB</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CC</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89,023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63,426</w:t>
            </w:r>
          </w:p>
        </w:tc>
        <w:tc>
          <w:tcPr>
            <w:tcW w:w="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b w:val="1"/>
                <w:bCs w:val="1"/>
                <w:color w:val="auto"/>
              </w:rPr>
              <w:t>AA</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472,576</w:t>
            </w: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314,221</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BB</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1,700</w:t>
            </w:r>
          </w:p>
        </w:tc>
        <w:tc>
          <w:tcPr>
            <w:tcW w:w="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b w:val="1"/>
                <w:bCs w:val="1"/>
                <w:color w:val="auto"/>
              </w:rPr>
              <w:t>CC</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4,206</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DD</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7"/>
                <w:szCs w:val="17"/>
                <w:color w:val="auto"/>
              </w:rPr>
              <w:t>Formation and operating costs</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2,976</w:t>
            </w:r>
          </w:p>
        </w:tc>
        <w:tc>
          <w:tcPr>
            <w:tcW w:w="10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2,976</w:t>
            </w:r>
          </w:p>
        </w:tc>
        <w:tc>
          <w:tcPr>
            <w:tcW w:w="0" w:type="dxa"/>
            <w:vAlign w:val="bottom"/>
          </w:tcPr>
          <w:p>
            <w:pPr>
              <w:spacing w:after="0"/>
              <w:rPr>
                <w:sz w:val="1"/>
                <w:szCs w:val="1"/>
                <w:color w:val="auto"/>
              </w:rPr>
            </w:pPr>
          </w:p>
        </w:tc>
      </w:tr>
      <w:tr>
        <w:trPr>
          <w:trHeight w:val="20"/>
        </w:trPr>
        <w:tc>
          <w:tcPr>
            <w:tcW w:w="3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2,976</w:t>
            </w: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600,133</w:t>
            </w: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541,518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7"/>
                <w:szCs w:val="17"/>
                <w:color w:val="auto"/>
              </w:rPr>
              <w:t>Loss from operations</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(2,976)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8"/>
              </w:rPr>
              <w:t>(599,227)</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(541,518)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(1,143,721)</w:t>
            </w: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7"/>
                <w:szCs w:val="17"/>
                <w:color w:val="auto"/>
              </w:rPr>
              <w:t>Change in fair value of forward contracts</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8"/>
              </w:rPr>
              <w:t>(118,382)</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(118,382)</w:t>
            </w:r>
          </w:p>
        </w:tc>
        <w:tc>
          <w:tcPr>
            <w:tcW w:w="0" w:type="dxa"/>
            <w:vAlign w:val="bottom"/>
          </w:tcPr>
          <w:p>
            <w:pPr>
              <w:spacing w:after="0"/>
              <w:rPr>
                <w:sz w:val="1"/>
                <w:szCs w:val="1"/>
                <w:color w:val="auto"/>
              </w:rPr>
            </w:pPr>
          </w:p>
        </w:tc>
      </w:tr>
      <w:tr>
        <w:trPr>
          <w:trHeight w:val="189"/>
        </w:trPr>
        <w:tc>
          <w:tcPr>
            <w:tcW w:w="3940" w:type="dxa"/>
            <w:vAlign w:val="bottom"/>
            <w:tcBorders>
              <w:right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color w:val="auto"/>
                <w:w w:val="98"/>
              </w:rPr>
              <w:t>Change in fair value of convertible preferred share</w:t>
            </w: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(1,205)</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Borders>
              <w:right w:val="single" w:sz="8" w:color="CCEEFF"/>
            </w:tcBorders>
            <w:shd w:val="clear" w:color="auto" w:fill="CCEEFF"/>
          </w:tcPr>
          <w:p>
            <w:pPr>
              <w:ind w:left="340"/>
              <w:spacing w:after="0" w:line="189" w:lineRule="exact"/>
              <w:rPr>
                <w:sz w:val="20"/>
                <w:szCs w:val="20"/>
                <w:color w:val="auto"/>
              </w:rPr>
            </w:pPr>
            <w:r>
              <w:rPr>
                <w:rFonts w:ascii="Arial" w:cs="Arial" w:eastAsia="Arial" w:hAnsi="Arial"/>
                <w:sz w:val="17"/>
                <w:szCs w:val="17"/>
                <w:color w:val="auto"/>
              </w:rPr>
              <w:t>warrant liability</w:t>
            </w: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(58,779)</w:t>
            </w:r>
          </w:p>
        </w:tc>
        <w:tc>
          <w:tcPr>
            <w:tcW w:w="10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22,356</w:t>
            </w:r>
          </w:p>
        </w:tc>
        <w:tc>
          <w:tcPr>
            <w:tcW w:w="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b w:val="1"/>
                <w:bCs w:val="1"/>
                <w:color w:val="auto"/>
              </w:rPr>
              <w:t>EE</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(36,423)</w:t>
            </w: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Transaction costs</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(2,168)</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89"/>
        </w:trPr>
        <w:tc>
          <w:tcPr>
            <w:tcW w:w="3940" w:type="dxa"/>
            <w:vAlign w:val="bottom"/>
            <w:tcBorders>
              <w:right w:val="single" w:sz="8" w:color="CCEEFF"/>
            </w:tcBorders>
            <w:shd w:val="clear" w:color="auto" w:fill="CCEEFF"/>
          </w:tcPr>
          <w:p>
            <w:pPr>
              <w:ind w:left="340"/>
              <w:spacing w:after="0" w:line="189" w:lineRule="exact"/>
              <w:rPr>
                <w:sz w:val="20"/>
                <w:szCs w:val="20"/>
                <w:color w:val="auto"/>
              </w:rPr>
            </w:pPr>
            <w:r>
              <w:rPr>
                <w:rFonts w:ascii="Arial" w:cs="Arial" w:eastAsia="Arial" w:hAnsi="Arial"/>
                <w:sz w:val="17"/>
                <w:szCs w:val="17"/>
                <w:color w:val="auto"/>
                <w:w w:val="99"/>
              </w:rPr>
              <w:t>Interest earned on marketable securities held in</w:t>
            </w: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(531)</w:t>
            </w:r>
          </w:p>
        </w:tc>
        <w:tc>
          <w:tcPr>
            <w:tcW w:w="460" w:type="dxa"/>
            <w:vAlign w:val="bottom"/>
            <w:gridSpan w:val="2"/>
            <w:vMerge w:val="restart"/>
            <w:shd w:val="clear" w:color="auto" w:fill="CCEEFF"/>
          </w:tcPr>
          <w:p>
            <w:pPr>
              <w:ind w:left="60"/>
              <w:spacing w:after="0"/>
              <w:rPr>
                <w:sz w:val="20"/>
                <w:szCs w:val="20"/>
                <w:color w:val="auto"/>
              </w:rPr>
            </w:pPr>
            <w:r>
              <w:rPr>
                <w:rFonts w:ascii="Arial" w:cs="Arial" w:eastAsia="Arial" w:hAnsi="Arial"/>
                <w:sz w:val="17"/>
                <w:szCs w:val="17"/>
                <w:b w:val="1"/>
                <w:bCs w:val="1"/>
                <w:color w:val="auto"/>
              </w:rPr>
              <w:t>FF</w:t>
            </w:r>
          </w:p>
        </w:tc>
        <w:tc>
          <w:tcPr>
            <w:tcW w:w="1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Borders>
              <w:right w:val="single" w:sz="8" w:color="CCEEFF"/>
            </w:tcBorders>
            <w:shd w:val="clear" w:color="auto" w:fill="CCEEFF"/>
          </w:tcPr>
          <w:p>
            <w:pPr>
              <w:ind w:left="520"/>
              <w:spacing w:after="0" w:line="189" w:lineRule="exact"/>
              <w:rPr>
                <w:sz w:val="20"/>
                <w:szCs w:val="20"/>
                <w:color w:val="auto"/>
              </w:rPr>
            </w:pPr>
            <w:r>
              <w:rPr>
                <w:rFonts w:ascii="Arial" w:cs="Arial" w:eastAsia="Arial" w:hAnsi="Arial"/>
                <w:sz w:val="17"/>
                <w:szCs w:val="17"/>
                <w:color w:val="auto"/>
              </w:rPr>
              <w:t>trust account</w:t>
            </w: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340"/>
              <w:spacing w:after="0" w:line="189" w:lineRule="exact"/>
              <w:rPr>
                <w:sz w:val="20"/>
                <w:szCs w:val="20"/>
                <w:color w:val="auto"/>
              </w:rPr>
            </w:pPr>
            <w:r>
              <w:rPr>
                <w:rFonts w:ascii="Arial" w:cs="Arial" w:eastAsia="Arial" w:hAnsi="Arial"/>
                <w:sz w:val="17"/>
                <w:szCs w:val="17"/>
                <w:color w:val="auto"/>
                <w:w w:val="98"/>
              </w:rPr>
              <w:t>Unrealized loss on marketable securities held in</w:t>
            </w:r>
          </w:p>
        </w:tc>
        <w:tc>
          <w:tcPr>
            <w:tcW w:w="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6"/>
                <w:szCs w:val="16"/>
                <w:color w:val="auto"/>
              </w:rPr>
            </w:pP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(5)</w:t>
            </w:r>
          </w:p>
        </w:tc>
        <w:tc>
          <w:tcPr>
            <w:tcW w:w="46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FF</w:t>
            </w:r>
          </w:p>
        </w:tc>
        <w:tc>
          <w:tcPr>
            <w:tcW w:w="100" w:type="dxa"/>
            <w:vAlign w:val="bottom"/>
          </w:tcPr>
          <w:p>
            <w:pPr>
              <w:spacing w:after="0"/>
              <w:rPr>
                <w:sz w:val="16"/>
                <w:szCs w:val="16"/>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940" w:type="dxa"/>
            <w:vAlign w:val="bottom"/>
          </w:tcPr>
          <w:p>
            <w:pPr>
              <w:ind w:left="520"/>
              <w:spacing w:after="0" w:line="189" w:lineRule="exact"/>
              <w:rPr>
                <w:sz w:val="20"/>
                <w:szCs w:val="20"/>
                <w:color w:val="auto"/>
              </w:rPr>
            </w:pPr>
            <w:r>
              <w:rPr>
                <w:rFonts w:ascii="Arial" w:cs="Arial" w:eastAsia="Arial" w:hAnsi="Arial"/>
                <w:sz w:val="17"/>
                <w:szCs w:val="17"/>
                <w:color w:val="auto"/>
              </w:rPr>
              <w:t>trust account</w:t>
            </w: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expense</w:t>
            </w:r>
          </w:p>
        </w:tc>
        <w:tc>
          <w:tcPr>
            <w:tcW w:w="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tcPr>
          <w:p>
            <w:pPr>
              <w:ind w:left="340"/>
              <w:spacing w:after="0"/>
              <w:rPr>
                <w:sz w:val="20"/>
                <w:szCs w:val="20"/>
                <w:color w:val="auto"/>
              </w:rPr>
            </w:pPr>
            <w:r>
              <w:rPr>
                <w:rFonts w:ascii="Arial" w:cs="Arial" w:eastAsia="Arial" w:hAnsi="Arial"/>
                <w:sz w:val="17"/>
                <w:szCs w:val="17"/>
                <w:color w:val="auto"/>
              </w:rPr>
              <w:t>Total other expense, net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(60,411)</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8"/>
              </w:rPr>
              <w:t>(120,341)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21,820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(158,932)</w:t>
            </w:r>
          </w:p>
        </w:tc>
        <w:tc>
          <w:tcPr>
            <w:tcW w:w="0" w:type="dxa"/>
            <w:vAlign w:val="bottom"/>
          </w:tcPr>
          <w:p>
            <w:pPr>
              <w:spacing w:after="0"/>
              <w:rPr>
                <w:sz w:val="1"/>
                <w:szCs w:val="1"/>
                <w:color w:val="auto"/>
              </w:rPr>
            </w:pPr>
          </w:p>
        </w:tc>
      </w:tr>
      <w:tr>
        <w:trPr>
          <w:trHeight w:val="20"/>
        </w:trPr>
        <w:tc>
          <w:tcPr>
            <w:tcW w:w="39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7"/>
                <w:szCs w:val="17"/>
                <w:color w:val="auto"/>
              </w:rPr>
              <w:t>Loss before provision for (benefit from)</w:t>
            </w: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40" w:type="dxa"/>
            <w:vAlign w:val="bottom"/>
            <w:tcBorders>
              <w:right w:val="single" w:sz="8" w:color="CCEEFF"/>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(63,387)</w:t>
            </w:r>
          </w:p>
        </w:tc>
        <w:tc>
          <w:tcPr>
            <w:tcW w:w="100" w:type="dxa"/>
            <w:vAlign w:val="bottom"/>
            <w:shd w:val="clear" w:color="auto" w:fill="CCEEFF"/>
          </w:tcPr>
          <w:p>
            <w:pPr>
              <w:spacing w:after="0"/>
              <w:rPr>
                <w:sz w:val="15"/>
                <w:szCs w:val="15"/>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98"/>
              </w:rPr>
              <w:t>(719,568)</w:t>
            </w:r>
          </w:p>
        </w:tc>
        <w:tc>
          <w:tcPr>
            <w:tcW w:w="10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w w:val="87"/>
              </w:rPr>
              <w:t>(519,698)</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(1,302,653)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tcBorders>
              <w:right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color w:val="auto"/>
              </w:rPr>
              <w:t>income taxes</w:t>
            </w: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7"/>
                <w:szCs w:val="17"/>
                <w:color w:val="auto"/>
              </w:rPr>
              <w:t>Provision for (benefit from) income taxes</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
        </w:trPr>
        <w:tc>
          <w:tcPr>
            <w:tcW w:w="3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and comprehensive loss</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(63,468)</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(719,380)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(519,698)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7"/>
                <w:szCs w:val="17"/>
                <w:color w:val="auto"/>
              </w:rPr>
              <w:t>Deemed contribution related to repurchase of Lucid</w:t>
            </w:r>
          </w:p>
        </w:tc>
        <w:tc>
          <w:tcPr>
            <w:tcW w:w="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6"/>
                <w:szCs w:val="16"/>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(1,000)</w:t>
            </w:r>
          </w:p>
        </w:tc>
        <w:tc>
          <w:tcPr>
            <w:tcW w:w="46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GG</w:t>
            </w:r>
          </w:p>
        </w:tc>
        <w:tc>
          <w:tcPr>
            <w:tcW w:w="100" w:type="dxa"/>
            <w:vAlign w:val="bottom"/>
          </w:tcPr>
          <w:p>
            <w:pPr>
              <w:spacing w:after="0"/>
              <w:rPr>
                <w:sz w:val="16"/>
                <w:szCs w:val="16"/>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940" w:type="dxa"/>
            <w:vAlign w:val="bottom"/>
          </w:tcPr>
          <w:p>
            <w:pPr>
              <w:ind w:left="180"/>
              <w:spacing w:after="0" w:line="189" w:lineRule="exact"/>
              <w:rPr>
                <w:sz w:val="20"/>
                <w:szCs w:val="20"/>
                <w:color w:val="auto"/>
              </w:rPr>
            </w:pPr>
            <w:r>
              <w:rPr>
                <w:rFonts w:ascii="Arial" w:cs="Arial" w:eastAsia="Arial" w:hAnsi="Arial"/>
                <w:sz w:val="17"/>
                <w:szCs w:val="17"/>
                <w:color w:val="auto"/>
              </w:rPr>
              <w:t>Series B Preferred Shares</w:t>
            </w: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Deemed contribution related to repurchase of Lucid</w:t>
            </w: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12,784</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(12,784)</w:t>
            </w:r>
          </w:p>
        </w:tc>
        <w:tc>
          <w:tcPr>
            <w:tcW w:w="460" w:type="dxa"/>
            <w:vAlign w:val="bottom"/>
            <w:gridSpan w:val="2"/>
            <w:vMerge w:val="restart"/>
            <w:shd w:val="clear" w:color="auto" w:fill="CCEEFF"/>
          </w:tcPr>
          <w:p>
            <w:pPr>
              <w:ind w:left="60"/>
              <w:spacing w:after="0"/>
              <w:rPr>
                <w:sz w:val="20"/>
                <w:szCs w:val="20"/>
                <w:color w:val="auto"/>
              </w:rPr>
            </w:pPr>
            <w:r>
              <w:rPr>
                <w:rFonts w:ascii="Arial" w:cs="Arial" w:eastAsia="Arial" w:hAnsi="Arial"/>
                <w:sz w:val="17"/>
                <w:szCs w:val="17"/>
                <w:b w:val="1"/>
                <w:bCs w:val="1"/>
                <w:color w:val="auto"/>
              </w:rPr>
              <w:t>GG</w:t>
            </w:r>
          </w:p>
        </w:tc>
        <w:tc>
          <w:tcPr>
            <w:tcW w:w="1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Borders>
              <w:right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color w:val="auto"/>
              </w:rPr>
              <w:t>Series C Preferred Shares</w:t>
            </w: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7"/>
                <w:szCs w:val="17"/>
                <w:color w:val="auto"/>
              </w:rPr>
              <w:t>Net loss attributable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(63,468)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w w:val="96"/>
              </w:rPr>
              <w:t xml:space="preserve">(705,596) </w:t>
            </w:r>
            <w:r>
              <w:rPr>
                <w:rFonts w:ascii="Arial" w:cs="Arial" w:eastAsia="Arial" w:hAnsi="Arial"/>
                <w:sz w:val="17"/>
                <w:szCs w:val="17"/>
                <w:u w:val="single" w:color="auto"/>
                <w:color w:val="auto"/>
                <w:w w:val="96"/>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(533,482)</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(1,302,546)</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line="155" w:lineRule="exact"/>
              <w:rPr>
                <w:sz w:val="20"/>
                <w:szCs w:val="20"/>
                <w:color w:val="auto"/>
              </w:rPr>
            </w:pPr>
            <w:r>
              <w:rPr>
                <w:rFonts w:ascii="Arial" w:cs="Arial" w:eastAsia="Arial" w:hAnsi="Arial"/>
                <w:sz w:val="17"/>
                <w:szCs w:val="17"/>
                <w:color w:val="auto"/>
              </w:rPr>
              <w:t>Net loss per share attributable to common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940" w:type="dxa"/>
            <w:vAlign w:val="bottom"/>
            <w:vMerge w:val="continue"/>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(1.02)</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(75.15)</w:t>
            </w:r>
          </w:p>
        </w:tc>
        <w:tc>
          <w:tcPr>
            <w:tcW w:w="100" w:type="dxa"/>
            <w:vAlign w:val="bottom"/>
            <w:vMerge w:val="restart"/>
          </w:tcPr>
          <w:p>
            <w:pPr>
              <w:spacing w:after="0"/>
              <w:rPr>
                <w:sz w:val="20"/>
                <w:szCs w:val="20"/>
                <w:color w:val="auto"/>
              </w:rPr>
            </w:pPr>
            <w:r>
              <w:rPr>
                <w:rFonts w:ascii="Arial" w:cs="Arial" w:eastAsia="Arial" w:hAnsi="Arial"/>
                <w:sz w:val="17"/>
                <w:szCs w:val="17"/>
                <w:color w:val="auto"/>
                <w:w w:val="84"/>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vMerge w:val="restart"/>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189"/>
        </w:trPr>
        <w:tc>
          <w:tcPr>
            <w:tcW w:w="3940" w:type="dxa"/>
            <w:vAlign w:val="bottom"/>
          </w:tcPr>
          <w:p>
            <w:pPr>
              <w:ind w:left="180"/>
              <w:spacing w:after="0" w:line="189" w:lineRule="exact"/>
              <w:rPr>
                <w:sz w:val="20"/>
                <w:szCs w:val="20"/>
                <w:color w:val="auto"/>
              </w:rPr>
            </w:pPr>
            <w:r>
              <w:rPr>
                <w:rFonts w:ascii="Arial" w:cs="Arial" w:eastAsia="Arial" w:hAnsi="Arial"/>
                <w:sz w:val="17"/>
                <w:szCs w:val="17"/>
                <w:color w:val="auto"/>
              </w:rPr>
              <w:t>stockholders – basic and diluted</w:t>
            </w:r>
          </w:p>
        </w:tc>
        <w:tc>
          <w:tcPr>
            <w:tcW w:w="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7"/>
                <w:szCs w:val="17"/>
                <w:color w:val="auto"/>
              </w:rPr>
              <w:t>Weighted average shares outstanding – basic</w:t>
            </w:r>
          </w:p>
        </w:tc>
        <w:tc>
          <w:tcPr>
            <w:tcW w:w="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w w:val="98"/>
              </w:rPr>
              <w:t>62,139,948</w:t>
            </w:r>
          </w:p>
        </w:tc>
        <w:tc>
          <w:tcPr>
            <w:tcW w:w="100" w:type="dxa"/>
            <w:vAlign w:val="bottom"/>
          </w:tcPr>
          <w:p>
            <w:pPr>
              <w:spacing w:after="0"/>
              <w:rPr>
                <w:sz w:val="16"/>
                <w:szCs w:val="16"/>
                <w:color w:val="auto"/>
              </w:rPr>
            </w:pP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auto"/>
                <w:w w:val="87"/>
              </w:rPr>
              <w:t>9,389,540</w:t>
            </w:r>
          </w:p>
        </w:tc>
        <w:tc>
          <w:tcPr>
            <w:tcW w:w="100" w:type="dxa"/>
            <w:vAlign w:val="bottom"/>
          </w:tcPr>
          <w:p>
            <w:pPr>
              <w:spacing w:after="0"/>
              <w:rPr>
                <w:sz w:val="16"/>
                <w:szCs w:val="16"/>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w w:val="88"/>
              </w:rPr>
              <w:t>1,076,158,884</w:t>
            </w:r>
          </w:p>
        </w:tc>
        <w:tc>
          <w:tcPr>
            <w:tcW w:w="0" w:type="dxa"/>
            <w:vAlign w:val="bottom"/>
          </w:tcPr>
          <w:p>
            <w:pPr>
              <w:spacing w:after="0"/>
              <w:rPr>
                <w:sz w:val="1"/>
                <w:szCs w:val="1"/>
                <w:color w:val="auto"/>
              </w:rPr>
            </w:pPr>
          </w:p>
        </w:tc>
      </w:tr>
      <w:tr>
        <w:trPr>
          <w:trHeight w:val="189"/>
        </w:trPr>
        <w:tc>
          <w:tcPr>
            <w:tcW w:w="3940" w:type="dxa"/>
            <w:vAlign w:val="bottom"/>
          </w:tcPr>
          <w:p>
            <w:pPr>
              <w:ind w:left="180"/>
              <w:spacing w:after="0" w:line="189" w:lineRule="exact"/>
              <w:rPr>
                <w:sz w:val="20"/>
                <w:szCs w:val="20"/>
                <w:color w:val="auto"/>
              </w:rPr>
            </w:pPr>
            <w:r>
              <w:rPr>
                <w:rFonts w:ascii="Arial" w:cs="Arial" w:eastAsia="Arial" w:hAnsi="Arial"/>
                <w:sz w:val="17"/>
                <w:szCs w:val="17"/>
                <w:color w:val="auto"/>
              </w:rPr>
              <w:t>and diluted</w:t>
            </w: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w w:val="96"/>
              </w:rPr>
              <w:t>Net income per share, Class A common stock subject</w:t>
            </w: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940" w:type="dxa"/>
            <w:vAlign w:val="bottom"/>
            <w:tcBorders>
              <w:right w:val="single" w:sz="8" w:color="CCEEFF"/>
            </w:tcBorders>
            <w:shd w:val="clear" w:color="auto" w:fill="CCEEFF"/>
          </w:tcPr>
          <w:p>
            <w:pPr>
              <w:ind w:left="180"/>
              <w:spacing w:after="0" w:line="162" w:lineRule="exact"/>
              <w:rPr>
                <w:sz w:val="20"/>
                <w:szCs w:val="20"/>
                <w:color w:val="auto"/>
              </w:rPr>
            </w:pPr>
            <w:r>
              <w:rPr>
                <w:rFonts w:ascii="Arial" w:cs="Arial" w:eastAsia="Arial" w:hAnsi="Arial"/>
                <w:sz w:val="17"/>
                <w:szCs w:val="17"/>
                <w:color w:val="auto"/>
              </w:rPr>
              <w:t>to possible redemption – basic</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40" w:type="dxa"/>
            <w:vAlign w:val="bottom"/>
            <w:tcBorders>
              <w:right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color w:val="auto"/>
              </w:rPr>
              <w:t>and diluted</w:t>
            </w:r>
          </w:p>
        </w:tc>
        <w:tc>
          <w:tcPr>
            <w:tcW w:w="80" w:type="dxa"/>
            <w:vAlign w:val="bottom"/>
            <w:vMerge w:val="continue"/>
            <w:shd w:val="clear" w:color="auto" w:fill="CCEEFF"/>
          </w:tcPr>
          <w:p>
            <w:pPr>
              <w:spacing w:after="0"/>
              <w:rPr>
                <w:sz w:val="16"/>
                <w:szCs w:val="16"/>
                <w:color w:val="auto"/>
              </w:rPr>
            </w:pPr>
          </w:p>
        </w:tc>
        <w:tc>
          <w:tcPr>
            <w:tcW w:w="94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7"/>
                <w:szCs w:val="17"/>
                <w:color w:val="auto"/>
              </w:rPr>
              <w:t>Weighted average shares outstanding, Class 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180"/>
              <w:spacing w:after="0" w:line="162" w:lineRule="exact"/>
              <w:rPr>
                <w:sz w:val="20"/>
                <w:szCs w:val="20"/>
                <w:color w:val="auto"/>
              </w:rPr>
            </w:pPr>
            <w:r>
              <w:rPr>
                <w:rFonts w:ascii="Arial" w:cs="Arial" w:eastAsia="Arial" w:hAnsi="Arial"/>
                <w:sz w:val="17"/>
                <w:szCs w:val="17"/>
                <w:color w:val="auto"/>
              </w:rPr>
              <w:t>common stock subject to possible redemption –</w:t>
            </w:r>
          </w:p>
        </w:tc>
        <w:tc>
          <w:tcPr>
            <w:tcW w:w="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w w:val="88"/>
              </w:rPr>
              <w:t>188,268,610</w:t>
            </w:r>
          </w:p>
        </w:tc>
        <w:tc>
          <w:tcPr>
            <w:tcW w:w="100" w:type="dxa"/>
            <w:vAlign w:val="bottom"/>
          </w:tcPr>
          <w:p>
            <w:pPr>
              <w:spacing w:after="0"/>
              <w:rPr>
                <w:sz w:val="14"/>
                <w:szCs w:val="14"/>
                <w:color w:val="auto"/>
              </w:rPr>
            </w:pP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940" w:type="dxa"/>
            <w:vAlign w:val="bottom"/>
          </w:tcPr>
          <w:p>
            <w:pPr>
              <w:ind w:left="180"/>
              <w:spacing w:after="0" w:line="189" w:lineRule="exact"/>
              <w:rPr>
                <w:sz w:val="20"/>
                <w:szCs w:val="20"/>
                <w:color w:val="auto"/>
              </w:rPr>
            </w:pPr>
            <w:r>
              <w:rPr>
                <w:rFonts w:ascii="Arial" w:cs="Arial" w:eastAsia="Arial" w:hAnsi="Arial"/>
                <w:sz w:val="17"/>
                <w:szCs w:val="17"/>
                <w:color w:val="auto"/>
              </w:rPr>
              <w:t>basic and diluted</w:t>
            </w: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w w:val="97"/>
              </w:rPr>
              <w:t>Net loss per share, non-redeemable common stock –</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Borders>
              <w:right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color w:val="auto"/>
              </w:rPr>
              <w:t>basic and diluted</w:t>
            </w:r>
          </w:p>
        </w:tc>
        <w:tc>
          <w:tcPr>
            <w:tcW w:w="80" w:type="dxa"/>
            <w:vAlign w:val="bottom"/>
            <w:vMerge w:val="continue"/>
            <w:shd w:val="clear" w:color="auto" w:fill="CCEEFF"/>
          </w:tcPr>
          <w:p>
            <w:pPr>
              <w:spacing w:after="0"/>
              <w:rPr>
                <w:sz w:val="16"/>
                <w:szCs w:val="16"/>
                <w:color w:val="auto"/>
              </w:rPr>
            </w:pPr>
          </w:p>
        </w:tc>
        <w:tc>
          <w:tcPr>
            <w:tcW w:w="94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7"/>
                <w:szCs w:val="17"/>
                <w:color w:val="auto"/>
              </w:rPr>
              <w:t>Weighted average shares outstanding,</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940" w:type="dxa"/>
            <w:vAlign w:val="bottom"/>
          </w:tcPr>
          <w:p>
            <w:pPr>
              <w:ind w:left="180"/>
              <w:spacing w:after="0" w:line="162" w:lineRule="exact"/>
              <w:rPr>
                <w:sz w:val="20"/>
                <w:szCs w:val="20"/>
                <w:color w:val="auto"/>
              </w:rPr>
            </w:pPr>
            <w:r>
              <w:rPr>
                <w:rFonts w:ascii="Arial" w:cs="Arial" w:eastAsia="Arial" w:hAnsi="Arial"/>
                <w:sz w:val="17"/>
                <w:szCs w:val="17"/>
                <w:color w:val="auto"/>
              </w:rPr>
              <w:t>non-redeemable common stock – basic</w:t>
            </w:r>
          </w:p>
        </w:tc>
        <w:tc>
          <w:tcPr>
            <w:tcW w:w="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w w:val="98"/>
              </w:rPr>
              <w:t>62,139,948</w:t>
            </w:r>
          </w:p>
        </w:tc>
        <w:tc>
          <w:tcPr>
            <w:tcW w:w="100" w:type="dxa"/>
            <w:vAlign w:val="bottom"/>
          </w:tcPr>
          <w:p>
            <w:pPr>
              <w:spacing w:after="0"/>
              <w:rPr>
                <w:sz w:val="14"/>
                <w:szCs w:val="14"/>
                <w:color w:val="auto"/>
              </w:rPr>
            </w:pP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7"/>
                <w:szCs w:val="17"/>
                <w:color w:val="auto"/>
              </w:rPr>
              <w:t>and diluted</w:t>
            </w: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-1739900</wp:posOffset>
            </wp:positionV>
            <wp:extent cx="5212080" cy="214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-2536825</wp:posOffset>
            </wp:positionV>
            <wp:extent cx="3689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-2536825</wp:posOffset>
            </wp:positionV>
            <wp:extent cx="596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-2536825</wp:posOffset>
            </wp:positionV>
            <wp:extent cx="31457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45790" cy="8890"/>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-2931160</wp:posOffset>
            </wp:positionV>
            <wp:extent cx="3689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-2931160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-2931160</wp:posOffset>
            </wp:positionV>
            <wp:extent cx="31457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-4937125</wp:posOffset>
            </wp:positionV>
            <wp:extent cx="3689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-4937125</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-4937125</wp:posOffset>
            </wp:positionV>
            <wp:extent cx="31457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-6325870</wp:posOffset>
            </wp:positionV>
            <wp:extent cx="3689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-6325870</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-6325870</wp:posOffset>
            </wp:positionV>
            <wp:extent cx="31457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-6617335</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-6617335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-6617335</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-6617335</wp:posOffset>
            </wp:positionV>
            <wp:extent cx="31375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12" w:lineRule="exact"/>
        <w:rPr>
          <w:sz w:val="20"/>
          <w:szCs w:val="20"/>
          <w:color w:val="auto"/>
        </w:rPr>
      </w:pPr>
    </w:p>
    <w:p>
      <w:pPr>
        <w:ind w:left="1620" w:hanging="360"/>
        <w:spacing w:after="0"/>
        <w:tabs>
          <w:tab w:leader="none" w:pos="16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We expect that Transactions to be accounted for as a reverse recapitalization in accordance with GAAP. Under this method of accounting, Churchill is expected to be treated as the “acquired” company for financial reporting purposes. Accordingly, for accounting purposes, the financial statements of Lucid Group will represent a continuation of the financial statements of Lucid with the Transactions treated as the equivalent of Lucid issuing shares for the net assets of Churchill, accompanied by a recapitalization. The net assets of Churchill will be stated at historical cost, with no goodwill or other intangible assets recorded. Operations prior to the Transactions will be presented as those of Lucid in future reports of Lucid Group.</w:t>
      </w:r>
    </w:p>
    <w:p>
      <w:pPr>
        <w:spacing w:after="0" w:line="112"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The unaudited pro forma condensed combined balance sheet as of June 30, 2021 gives pro forma effect to the Transactions and the other events as if consummated on June 30, 2021. The unaudited pro forma condensed combined statement of operations for the six months ended June 30, 2021 and for the year ended December 31, 2020 gives pro forma effect to the Transactions and the other events as if consummated on January 1, 2020, the beginning of the earliest period presented.</w:t>
      </w:r>
    </w:p>
    <w:p>
      <w:pPr>
        <w:spacing w:after="0" w:line="108" w:lineRule="exact"/>
        <w:rPr>
          <w:sz w:val="20"/>
          <w:szCs w:val="20"/>
          <w:color w:val="auto"/>
        </w:rPr>
      </w:pPr>
    </w:p>
    <w:p>
      <w:pPr>
        <w:jc w:val="both"/>
        <w:ind w:left="1260" w:right="659" w:firstLine="360"/>
        <w:spacing w:after="0" w:line="248" w:lineRule="auto"/>
        <w:rPr>
          <w:sz w:val="20"/>
          <w:szCs w:val="20"/>
          <w:color w:val="auto"/>
        </w:rPr>
      </w:pPr>
      <w:r>
        <w:rPr>
          <w:rFonts w:ascii="Arial" w:cs="Arial" w:eastAsia="Arial" w:hAnsi="Arial"/>
          <w:sz w:val="18"/>
          <w:szCs w:val="18"/>
          <w:color w:val="auto"/>
        </w:rPr>
        <w:t>The unaudited pro forma condensed combined financial information was derived from and should be read in conjunction with the following historical financial statements and the accompanying notes, which are included elsewhere in this prospectus:</w:t>
      </w:r>
    </w:p>
    <w:p>
      <w:pPr>
        <w:spacing w:after="0" w:line="74" w:lineRule="exact"/>
        <w:rPr>
          <w:sz w:val="20"/>
          <w:szCs w:val="20"/>
          <w:color w:val="auto"/>
        </w:rPr>
      </w:pPr>
    </w:p>
    <w:p>
      <w:pPr>
        <w:ind w:left="1800" w:right="419" w:hanging="180"/>
        <w:spacing w:after="0" w:line="255"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Churchill as of and for the six months ended June 30, 2021 included in Churchill’s Quarterly Report filed on the Form 10-Q filed with the SEC on August 16, 2021, and the historical audited financial statements of Churchill as of December 31, 2020 and for the period from April 31, 2020 (inception) to December 31, 2020 (as restated) included in Churchill’s Annual Report filed on the Form 10-K/A filed with the SEC on May 14, 2021;</w:t>
      </w:r>
    </w:p>
    <w:p>
      <w:pPr>
        <w:spacing w:after="0" w:line="70"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Lucid as of and for the</w:t>
      </w:r>
    </w:p>
    <w:p>
      <w:pPr>
        <w:spacing w:after="0" w:line="23" w:lineRule="exact"/>
        <w:rPr>
          <w:rFonts w:ascii="Arial" w:cs="Arial" w:eastAsia="Arial" w:hAnsi="Arial"/>
          <w:sz w:val="18"/>
          <w:szCs w:val="18"/>
          <w:color w:val="auto"/>
        </w:rPr>
      </w:pPr>
    </w:p>
    <w:p>
      <w:pPr>
        <w:ind w:left="1800" w:right="459"/>
        <w:spacing w:after="0" w:line="260" w:lineRule="auto"/>
        <w:rPr>
          <w:rFonts w:ascii="Arial" w:cs="Arial" w:eastAsia="Arial" w:hAnsi="Arial"/>
          <w:sz w:val="18"/>
          <w:szCs w:val="18"/>
          <w:color w:val="auto"/>
        </w:rPr>
      </w:pPr>
      <w:r>
        <w:rPr>
          <w:rFonts w:ascii="Arial" w:cs="Arial" w:eastAsia="Arial" w:hAnsi="Arial"/>
          <w:sz w:val="18"/>
          <w:szCs w:val="18"/>
          <w:color w:val="auto"/>
        </w:rPr>
        <w:t>six months ended June 30, 2021 and the historical audited consolidated financial statements of Lucid as of and for the year ended December 31, 2020; and</w:t>
      </w:r>
    </w:p>
    <w:p>
      <w:pPr>
        <w:spacing w:after="0" w:line="7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information relating to the Merger Agreement between Churchill and Lucid and the description of certain terms thereof included in this prospectus.</w:t>
      </w:r>
      <w:r>
        <w:rPr>
          <w:rFonts w:ascii="Arial" w:cs="Arial" w:eastAsia="Arial" w:hAnsi="Arial"/>
          <w:sz w:val="18"/>
          <w:szCs w:val="18"/>
          <w:i w:val="1"/>
          <w:iCs w:val="1"/>
          <w:color w:val="auto"/>
        </w:rPr>
        <w:t>.”</w:t>
      </w:r>
    </w:p>
    <w:p>
      <w:pPr>
        <w:spacing w:after="0" w:line="103"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the sections entitled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and other financial information included elsewhere in this prospectus.</w:t>
      </w:r>
    </w:p>
    <w:p>
      <w:pPr>
        <w:spacing w:after="0" w:line="101"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6"/>
          <w:szCs w:val="16"/>
          <w:color w:val="auto"/>
        </w:rPr>
        <w:t>Management has made significant estimates and assumptions in its determination of the pro forma adjustments based on information available as of the date of this prospectus. As the unaudited pro forma condensed combined financial information has been prepared based on these preliminary estimates, the final amounts recorded may differ materially from the information presented as additional information becomes available. Management considers this basis of presentation to be reasonable under the circumstances.</w:t>
      </w:r>
    </w:p>
    <w:p>
      <w:pPr>
        <w:spacing w:after="0" w:line="92"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One-time direct and incremental transaction costs in connection with the Transactions incurred prior to, or concurrent with, the Closing are treated as cash settled upon the Closing. Under the expected reverse recapitalization accounting treatment, one-time direct and incremental transaction costs, including costs related to the PIPE Investment and the deferred underwriting fees related to the Churchill IPO, incurred by Churchill are reflected in the unaudited pro forma condensed combined balance sheet as a direct reduction of the proceeds remitted to Lucid Group from Churchill. One- time direct and incremental transaction costs incurred by Lucid were allocated on a relative fair value basis between equity and liability classified instruments deemed to be issued for financial reporting purposes at the Closing by Lucid Group. Lucid’s transaction costs allocable to equity classified instruments, including the common stock and the Public Warrants, are reflected in the unaudited pro forma condensed combined balance sheet as a direct reduction to Lucid Group’s additional paid-in capital of the proceeds remitted to Lucid Group from Churchill. Lucid’s transaction costs allocable to liability classified instruments measured at fair value, including the Private Placement Warrants, are charged to the unaudited pro forma condensed combined statement of operations upon the Closing.</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hanging="360"/>
        <w:spacing w:after="0"/>
        <w:tabs>
          <w:tab w:leader="none" w:pos="16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Financial Information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Adjustments to Unaudited Pro Forma Condensed Combined Balance Sheet</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adjustments included in the unaudited pro forma condensed combined balance sheet as of June 30,</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2021 are as follows:</w:t>
      </w:r>
    </w:p>
    <w:p>
      <w:pPr>
        <w:spacing w:after="0" w:line="143" w:lineRule="exact"/>
        <w:rPr>
          <w:sz w:val="20"/>
          <w:szCs w:val="20"/>
          <w:color w:val="auto"/>
        </w:rPr>
      </w:pPr>
    </w:p>
    <w:p>
      <w:pPr>
        <w:jc w:val="both"/>
        <w:ind w:left="1980" w:right="719" w:hanging="360"/>
        <w:spacing w:after="0" w:line="263"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Reflects the liquidation and reclassification of $2,070.3 million of investments held in the trust account to cash and cash equivalents that becomes available for general corporate use by Lucid Group.</w:t>
      </w:r>
    </w:p>
    <w:p>
      <w:pPr>
        <w:spacing w:after="0" w:line="116" w:lineRule="exact"/>
        <w:rPr>
          <w:rFonts w:ascii="Arial" w:cs="Arial" w:eastAsia="Arial" w:hAnsi="Arial"/>
          <w:sz w:val="18"/>
          <w:szCs w:val="18"/>
          <w:color w:val="auto"/>
        </w:rPr>
      </w:pPr>
    </w:p>
    <w:p>
      <w:pPr>
        <w:ind w:left="1980" w:right="479" w:hanging="360"/>
        <w:spacing w:after="0" w:line="279" w:lineRule="auto"/>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Reflects the proceeds of $2,500.0 million from the sale and issuance of 166,666,667 shares of Class A common stock, of which Ayar purchased 13,333,333 of such shares, at a purchase price of $15.00 per share pursuant to the PIPE Subscription Agreements entered in connection with the PIPE Investment. Refer to tickmark (C) for the treatment of the associated transaction costs.</w:t>
      </w:r>
    </w:p>
    <w:p>
      <w:pPr>
        <w:spacing w:after="0" w:line="90" w:lineRule="exact"/>
        <w:rPr>
          <w:rFonts w:ascii="Arial" w:cs="Arial" w:eastAsia="Arial" w:hAnsi="Arial"/>
          <w:sz w:val="17"/>
          <w:szCs w:val="17"/>
          <w:color w:val="auto"/>
        </w:rPr>
      </w:pPr>
    </w:p>
    <w:p>
      <w:pPr>
        <w:ind w:left="1980" w:hanging="360"/>
        <w:spacing w:after="0"/>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the cash disbursement for the estimated direct and incremental transaction costs of</w:t>
      </w:r>
    </w:p>
    <w:p>
      <w:pPr>
        <w:spacing w:after="0" w:line="34" w:lineRule="exact"/>
        <w:rPr>
          <w:rFonts w:ascii="Arial" w:cs="Arial" w:eastAsia="Arial" w:hAnsi="Arial"/>
          <w:sz w:val="17"/>
          <w:szCs w:val="17"/>
          <w:color w:val="auto"/>
        </w:rPr>
      </w:pPr>
    </w:p>
    <w:p>
      <w:pPr>
        <w:ind w:left="1980" w:right="439"/>
        <w:spacing w:after="0" w:line="252" w:lineRule="auto"/>
        <w:rPr>
          <w:rFonts w:ascii="Arial" w:cs="Arial" w:eastAsia="Arial" w:hAnsi="Arial"/>
          <w:sz w:val="17"/>
          <w:szCs w:val="17"/>
          <w:color w:val="auto"/>
        </w:rPr>
      </w:pPr>
      <w:r>
        <w:rPr>
          <w:rFonts w:ascii="Arial" w:cs="Arial" w:eastAsia="Arial" w:hAnsi="Arial"/>
          <w:sz w:val="18"/>
          <w:szCs w:val="18"/>
          <w:color w:val="auto"/>
        </w:rPr>
        <w:t>$175.0 million incurred prior to, or concurrent with the Closing by Churchill, including the PIPE Investment and the deferred underwriting fees related to the Churchill IPO, and Lucid in connection with the Transactions. Of the estimated $47.0 million transaction costs incurred by Lucid, $42.8 million is allocable to common stock issued and is recognized as a direct reduction to additional paid-in capital and the remaining $4.2 million allocable to issued warrants classified as liabilities were charged to the unaudited pro forma condensed combined statement of operations upon the Closing.</w:t>
      </w:r>
    </w:p>
    <w:p>
      <w:pPr>
        <w:spacing w:after="0" w:line="124" w:lineRule="exact"/>
        <w:rPr>
          <w:rFonts w:ascii="Arial" w:cs="Arial" w:eastAsia="Arial" w:hAnsi="Arial"/>
          <w:sz w:val="17"/>
          <w:szCs w:val="17"/>
          <w:color w:val="auto"/>
        </w:rPr>
      </w:pPr>
    </w:p>
    <w:p>
      <w:pPr>
        <w:ind w:left="1980" w:hanging="360"/>
        <w:spacing w:after="0"/>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Reflects the $2.0 million cash disbursement for the CEO Transaction Bonus paid upon the Closing.</w:t>
      </w:r>
    </w:p>
    <w:p>
      <w:pPr>
        <w:spacing w:after="0" w:line="169" w:lineRule="exact"/>
        <w:rPr>
          <w:rFonts w:ascii="Arial" w:cs="Arial" w:eastAsia="Arial" w:hAnsi="Arial"/>
          <w:sz w:val="17"/>
          <w:szCs w:val="17"/>
          <w:color w:val="auto"/>
        </w:rPr>
      </w:pPr>
    </w:p>
    <w:p>
      <w:pPr>
        <w:ind w:left="1980" w:right="659" w:hanging="360"/>
        <w:spacing w:after="0" w:line="263"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cash disbursed for the redemption of 21,644 public shares of Churchill’s Class A common stock at approximately $10.00 per share based on trust account figures prior to the Closing on July 23, 2021 for an aggregate payment of $0.2 million.</w:t>
      </w:r>
    </w:p>
    <w:p>
      <w:pPr>
        <w:spacing w:after="0" w:line="102" w:lineRule="exact"/>
        <w:rPr>
          <w:rFonts w:ascii="Arial" w:cs="Arial" w:eastAsia="Arial" w:hAnsi="Arial"/>
          <w:sz w:val="18"/>
          <w:szCs w:val="18"/>
          <w:color w:val="auto"/>
        </w:rPr>
      </w:pPr>
    </w:p>
    <w:p>
      <w:pPr>
        <w:ind w:left="1980" w:right="1159" w:hanging="360"/>
        <w:spacing w:after="0" w:line="308" w:lineRule="auto"/>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Reflects conversion of the $1.5 million Note due to the Sponsor into the Working Capital Warrants, which have terms identical to the terms of the Private Placement Warrants.</w:t>
      </w:r>
    </w:p>
    <w:p>
      <w:pPr>
        <w:spacing w:after="0" w:line="78" w:lineRule="exact"/>
        <w:rPr>
          <w:rFonts w:ascii="Arial" w:cs="Arial" w:eastAsia="Arial" w:hAnsi="Arial"/>
          <w:sz w:val="17"/>
          <w:szCs w:val="17"/>
          <w:color w:val="auto"/>
        </w:rPr>
      </w:pPr>
    </w:p>
    <w:p>
      <w:pPr>
        <w:ind w:left="1980" w:right="439" w:hanging="360"/>
        <w:spacing w:after="0" w:line="263"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Reflects the reclassification of Churchill’s warrant liability related to the Public Warrants to stockholders’ equity as Churchill’s public warrants are expected to qualify for equity classification following the Closing.</w:t>
      </w:r>
    </w:p>
    <w:p>
      <w:pPr>
        <w:spacing w:after="0" w:line="116" w:lineRule="exact"/>
        <w:rPr>
          <w:rFonts w:ascii="Arial" w:cs="Arial" w:eastAsia="Arial" w:hAnsi="Arial"/>
          <w:sz w:val="18"/>
          <w:szCs w:val="18"/>
          <w:color w:val="auto"/>
        </w:rPr>
      </w:pPr>
    </w:p>
    <w:p>
      <w:pPr>
        <w:ind w:left="1980" w:right="779" w:hanging="360"/>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Reflects the conversion of Lucid Preferred Shares into Lucid Common Shares on a one-to-one basis pursuant to the conversion rate immediately prior to the Effective Time.</w:t>
      </w:r>
    </w:p>
    <w:p>
      <w:pPr>
        <w:spacing w:after="0" w:line="89" w:lineRule="exact"/>
        <w:rPr>
          <w:rFonts w:ascii="Arial" w:cs="Arial" w:eastAsia="Arial" w:hAnsi="Arial"/>
          <w:sz w:val="18"/>
          <w:szCs w:val="18"/>
          <w:color w:val="auto"/>
        </w:rPr>
      </w:pPr>
    </w:p>
    <w:p>
      <w:pPr>
        <w:ind w:left="1980" w:right="799" w:hanging="360"/>
        <w:spacing w:after="0" w:line="263"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issuance of 1,193,226,511 shares of Class A common stock to holders of Lucid Common Shares at the Closing pursuant to the Merger Agreement to effect the reverse recapitalization.</w:t>
      </w:r>
    </w:p>
    <w:p>
      <w:pPr>
        <w:spacing w:after="0" w:line="116" w:lineRule="exact"/>
        <w:rPr>
          <w:rFonts w:ascii="Arial" w:cs="Arial" w:eastAsia="Arial" w:hAnsi="Arial"/>
          <w:sz w:val="18"/>
          <w:szCs w:val="18"/>
          <w:color w:val="auto"/>
        </w:rPr>
      </w:pPr>
    </w:p>
    <w:p>
      <w:pPr>
        <w:ind w:left="1980" w:right="559" w:hanging="360"/>
        <w:spacing w:after="0" w:line="286" w:lineRule="auto"/>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Reflects the reclassification of the remaining 206,978,356 public shares of Churchill’s Class A common stock after redemptions into permanent equity and the immediate conversion into shares of Class A common stock on a one-to-one basis in connection with the Transactions.</w:t>
      </w:r>
    </w:p>
    <w:p>
      <w:pPr>
        <w:spacing w:after="0" w:line="97" w:lineRule="exact"/>
        <w:rPr>
          <w:rFonts w:ascii="Arial" w:cs="Arial" w:eastAsia="Arial" w:hAnsi="Arial"/>
          <w:sz w:val="17"/>
          <w:szCs w:val="17"/>
          <w:color w:val="auto"/>
        </w:rPr>
      </w:pPr>
    </w:p>
    <w:p>
      <w:pPr>
        <w:ind w:left="1980" w:right="539" w:hanging="360"/>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Reflects the conversion of all 51,750,000 shares of Churchill’s Class B common stock into shares of Class A common stock on a one-to-one basis in connection with the Transactions.</w:t>
      </w:r>
    </w:p>
    <w:p>
      <w:pPr>
        <w:spacing w:after="0" w:line="89" w:lineRule="exact"/>
        <w:rPr>
          <w:rFonts w:ascii="Arial" w:cs="Arial" w:eastAsia="Arial" w:hAnsi="Arial"/>
          <w:sz w:val="18"/>
          <w:szCs w:val="18"/>
          <w:color w:val="auto"/>
        </w:rPr>
      </w:pPr>
    </w:p>
    <w:p>
      <w:pPr>
        <w:ind w:left="1980" w:right="439" w:hanging="360"/>
        <w:spacing w:after="0" w:line="308" w:lineRule="auto"/>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Reflects the elimination of Churchill’s historical accumulated deficit with a corresponding adjustment to APIC for Lucid Group in connection with the reverse recapitalization at the Closing.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Adjustments to Unaudited Pro Forma Condensed Combined Statements of Operations</w:t>
      </w:r>
    </w:p>
    <w:p>
      <w:pPr>
        <w:spacing w:after="0" w:line="144"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The adjustments included in the unaudited pro forma condensed combined statement of operations for the six months ended June 30, 2021 were as follows:</w:t>
      </w:r>
    </w:p>
    <w:p>
      <w:pPr>
        <w:spacing w:after="0" w:line="103" w:lineRule="exact"/>
        <w:rPr>
          <w:sz w:val="20"/>
          <w:szCs w:val="20"/>
          <w:color w:val="auto"/>
        </w:rPr>
      </w:pPr>
    </w:p>
    <w:p>
      <w:pPr>
        <w:ind w:left="2260" w:right="519" w:hanging="640"/>
        <w:spacing w:after="0" w:line="273" w:lineRule="auto"/>
        <w:tabs>
          <w:tab w:leader="none" w:pos="2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the estimated stock-based compensation expense for the Lucid RSUs granted prior to the Closing in connection with the Transactions and for which the performance condition was deemed to be satisfied upon the Closing. The grant date fair value of Lucid RSUs will be recognized using a graded vesting attribution method over the service period. The estimated grant date fair value of the Lucid RSUs were based on the estimated fair value of Lucid’s underlying common shares as of the dates of the grants.</w:t>
      </w:r>
    </w:p>
    <w:p>
      <w:pPr>
        <w:spacing w:after="0" w:line="110" w:lineRule="exact"/>
        <w:rPr>
          <w:rFonts w:ascii="Arial" w:cs="Arial" w:eastAsia="Arial" w:hAnsi="Arial"/>
          <w:sz w:val="17"/>
          <w:szCs w:val="17"/>
          <w:color w:val="auto"/>
        </w:rPr>
      </w:pPr>
    </w:p>
    <w:p>
      <w:pPr>
        <w:ind w:left="2260" w:right="459" w:hanging="640"/>
        <w:spacing w:after="0" w:line="269" w:lineRule="auto"/>
        <w:tabs>
          <w:tab w:leader="none" w:pos="2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the estimated stock-based compensation expense associated with the CEO RSU Award granted prior to the Closing in connection with the Transactions for which the performance condition was deemed to be satisfied upon the Closing. The grant date fair value of the CEO RSU Award will be recognized using a graded vesting attribution method over the service period. The stock-based compensation expense was allocated between research and development expense and selling, general, and administrative expense based on the estimated time and efforts incurred by the CEO between research and development activities and selling, general, and administrative activities. The estimated grant date fair value of the CEO Time-Based RSUs was based on the estimated fair value of Lucid’s underlying common shares as of the date of the grant. The estimated grant date fair value and the derived service period of the CEO Performance RSUs were based on a Monte Carlo simulation method (see footnote 4 for more information).</w:t>
      </w:r>
    </w:p>
    <w:p>
      <w:pPr>
        <w:spacing w:after="0" w:line="97" w:lineRule="exact"/>
        <w:rPr>
          <w:rFonts w:ascii="Arial" w:cs="Arial" w:eastAsia="Arial" w:hAnsi="Arial"/>
          <w:sz w:val="17"/>
          <w:szCs w:val="17"/>
          <w:color w:val="auto"/>
        </w:rPr>
      </w:pPr>
    </w:p>
    <w:p>
      <w:pPr>
        <w:jc w:val="both"/>
        <w:ind w:left="2260" w:right="1019" w:hanging="640"/>
        <w:spacing w:after="0" w:line="263" w:lineRule="auto"/>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Reflects the elimination of the loss on Churchill’s warrant liability related to the Public Warrants as Churchill’s public warrants are expected to qualify for equity classification following the Closing.</w:t>
      </w:r>
    </w:p>
    <w:p>
      <w:pPr>
        <w:spacing w:after="0" w:line="116" w:lineRule="exact"/>
        <w:rPr>
          <w:rFonts w:ascii="Arial" w:cs="Arial" w:eastAsia="Arial" w:hAnsi="Arial"/>
          <w:sz w:val="18"/>
          <w:szCs w:val="18"/>
          <w:color w:val="auto"/>
        </w:rPr>
      </w:pPr>
    </w:p>
    <w:p>
      <w:pPr>
        <w:ind w:left="2260" w:right="979" w:hanging="640"/>
        <w:spacing w:after="0" w:line="277" w:lineRule="auto"/>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elimination of investment income related to investments held in the trust account.</w:t>
      </w:r>
    </w:p>
    <w:p>
      <w:pPr>
        <w:spacing w:after="0" w:line="103"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The adjustments included in the unaudited pro forma condensed combined statement of operations for the fiscal year end December 31, 2020 were as follows:</w:t>
      </w:r>
    </w:p>
    <w:p>
      <w:pPr>
        <w:spacing w:after="0" w:line="89" w:lineRule="exact"/>
        <w:rPr>
          <w:sz w:val="20"/>
          <w:szCs w:val="20"/>
          <w:color w:val="auto"/>
        </w:rPr>
      </w:pPr>
    </w:p>
    <w:p>
      <w:pPr>
        <w:ind w:left="2260" w:right="519" w:hanging="640"/>
        <w:spacing w:after="0" w:line="273" w:lineRule="auto"/>
        <w:tabs>
          <w:tab w:leader="none" w:pos="2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the estimated stock-based compensation expense for the Lucid RSUs granted prior to the Closing in connection with the Transactions and for which the performance condition was deemed to be satisfied upon the Closing. The grant date fair value of Lucid RSUs will be recognized using a graded vesting attribution method over the service period. The estimated grant date fair value of the Lucid RSUs granted were based on the estimated fair value of Lucid’s underlying common shares as of the dates of the grants.</w:t>
      </w:r>
    </w:p>
    <w:p>
      <w:pPr>
        <w:spacing w:after="0" w:line="110" w:lineRule="exact"/>
        <w:rPr>
          <w:rFonts w:ascii="Arial" w:cs="Arial" w:eastAsia="Arial" w:hAnsi="Arial"/>
          <w:sz w:val="17"/>
          <w:szCs w:val="17"/>
          <w:color w:val="auto"/>
        </w:rPr>
      </w:pPr>
    </w:p>
    <w:p>
      <w:pPr>
        <w:ind w:left="2260" w:right="459" w:hanging="640"/>
        <w:spacing w:after="0" w:line="252" w:lineRule="auto"/>
        <w:tabs>
          <w:tab w:leader="none" w:pos="2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estimated stock-based compensation expense associated with the CEO RSU Award granted prior to the Closing in connection with the Transactions for which the performance condition was deemed to be satisfied upon the Closing. The grant date fair value of CEO RSU Award will be recognized using a graded vesting attribution method over the service period. The stock-based compensation expense was allocated between research and development expense and selling, general, and administrative expense based on the estimated time and efforts incurred by the CEO between research and development activities and selling, general, and administrative activities. The estimated grant date fair value of the CEO Time-Based RSUs was based on the estimated fair value of Lucid’s underlying common shares as of the date of the grant. The estimated grant date fair value and the derived service period of the CEO Performance RSUs were based on a Monte Carlo simulation method (see footnote 4 for more information).</w:t>
      </w:r>
    </w:p>
    <w:p>
      <w:pPr>
        <w:spacing w:after="0" w:line="132" w:lineRule="exact"/>
        <w:rPr>
          <w:rFonts w:ascii="Arial" w:cs="Arial" w:eastAsia="Arial" w:hAnsi="Arial"/>
          <w:sz w:val="18"/>
          <w:szCs w:val="18"/>
          <w:color w:val="auto"/>
        </w:rPr>
      </w:pPr>
    </w:p>
    <w:p>
      <w:pPr>
        <w:ind w:left="2260" w:right="479" w:hanging="640"/>
        <w:spacing w:after="0" w:line="277" w:lineRule="auto"/>
        <w:tabs>
          <w:tab w:leader="none" w:pos="2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the $2.0 million compensation expense for the CEO Transaction Bonus incurred upon the Closing.</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60" w:right="1460" w:hanging="640"/>
        <w:spacing w:after="0" w:line="263" w:lineRule="auto"/>
        <w:tabs>
          <w:tab w:leader="none" w:pos="22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Reflects the direct and incremental transaction costs incurred prior to, or concurrent with the Closing by Lucid allocable to the Private Placement Warrants which are liability classified instruments measured at fair value.</w:t>
      </w:r>
    </w:p>
    <w:p>
      <w:pPr>
        <w:spacing w:after="0" w:line="102" w:lineRule="exact"/>
        <w:rPr>
          <w:rFonts w:ascii="Arial" w:cs="Arial" w:eastAsia="Arial" w:hAnsi="Arial"/>
          <w:sz w:val="18"/>
          <w:szCs w:val="18"/>
          <w:color w:val="auto"/>
        </w:rPr>
      </w:pPr>
    </w:p>
    <w:p>
      <w:pPr>
        <w:jc w:val="both"/>
        <w:ind w:left="2260" w:right="1860" w:hanging="640"/>
        <w:spacing w:after="0" w:line="263" w:lineRule="auto"/>
        <w:tabs>
          <w:tab w:leader="none" w:pos="22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Reflects the elimination of the loss on Churchill’s warrant liability related to the Public Warrants as Churchill’s public warrants are expected to qualify for equity classification following the Closing.</w:t>
      </w:r>
    </w:p>
    <w:p>
      <w:pPr>
        <w:spacing w:after="0" w:line="116" w:lineRule="exact"/>
        <w:rPr>
          <w:rFonts w:ascii="Arial" w:cs="Arial" w:eastAsia="Arial" w:hAnsi="Arial"/>
          <w:sz w:val="18"/>
          <w:szCs w:val="18"/>
          <w:color w:val="auto"/>
        </w:rPr>
      </w:pPr>
    </w:p>
    <w:p>
      <w:pPr>
        <w:ind w:left="2260" w:right="1820" w:hanging="640"/>
        <w:spacing w:after="0" w:line="277" w:lineRule="auto"/>
        <w:tabs>
          <w:tab w:leader="none" w:pos="22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Represents the elimination of investment income related to investments held in the trust account.</w:t>
      </w:r>
    </w:p>
    <w:p>
      <w:pPr>
        <w:spacing w:after="0" w:line="102" w:lineRule="exact"/>
        <w:rPr>
          <w:rFonts w:ascii="Arial" w:cs="Arial" w:eastAsia="Arial" w:hAnsi="Arial"/>
          <w:sz w:val="18"/>
          <w:szCs w:val="18"/>
          <w:color w:val="auto"/>
        </w:rPr>
      </w:pPr>
    </w:p>
    <w:p>
      <w:pPr>
        <w:ind w:left="2260" w:right="1900" w:hanging="640"/>
        <w:spacing w:after="0" w:line="286" w:lineRule="auto"/>
        <w:tabs>
          <w:tab w:leader="none" w:pos="22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Reflects the elimination of the deemed contributions related to the repurchase of Lucid Series B Preferred Shares and Lucid Series C Preferred Shares which is deemed to be converted into shares of Class A common stock as of January 1, 2020.</w:t>
      </w:r>
    </w:p>
    <w:p>
      <w:pPr>
        <w:spacing w:after="0" w:line="161" w:lineRule="exact"/>
        <w:rPr>
          <w:rFonts w:ascii="Arial" w:cs="Arial" w:eastAsia="Arial" w:hAnsi="Arial"/>
          <w:sz w:val="17"/>
          <w:szCs w:val="17"/>
          <w:color w:val="auto"/>
        </w:rPr>
      </w:pPr>
    </w:p>
    <w:p>
      <w:pPr>
        <w:ind w:left="1620" w:hanging="360"/>
        <w:spacing w:after="0"/>
        <w:tabs>
          <w:tab w:leader="none" w:pos="16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48" w:lineRule="exact"/>
        <w:rPr>
          <w:sz w:val="20"/>
          <w:szCs w:val="20"/>
          <w:color w:val="auto"/>
        </w:rPr>
      </w:pPr>
    </w:p>
    <w:p>
      <w:pPr>
        <w:ind w:left="1260" w:right="1300" w:firstLine="360"/>
        <w:spacing w:after="0" w:line="254" w:lineRule="auto"/>
        <w:rPr>
          <w:sz w:val="20"/>
          <w:szCs w:val="20"/>
          <w:color w:val="auto"/>
        </w:rPr>
      </w:pPr>
      <w:r>
        <w:rPr>
          <w:rFonts w:ascii="Arial" w:cs="Arial" w:eastAsia="Arial" w:hAnsi="Arial"/>
          <w:sz w:val="18"/>
          <w:szCs w:val="18"/>
          <w:color w:val="auto"/>
        </w:rPr>
        <w:t>Represents the net loss per share calculated using the pro forma basic and diluted weighted average shares outstanding of Class A common stock as a result of the pro forma adjustments. As the Transactions are being reflected as if the reverse recapitalization had occurred on January 1, 2020, the calculation of weighted average shares outstanding for pro forma basic and diluted net loss per share reflects the historical Lucid Shares, as adjusted by the Exchange Ratio, outstanding as of the respective original issuance date. The public shares of Churchill’s Class A common stock redeemed by Churchill public stockholders are eliminated as of January 1, 2020.</w:t>
      </w:r>
    </w:p>
    <w:p>
      <w:pPr>
        <w:spacing w:after="0" w:line="127" w:lineRule="exact"/>
        <w:rPr>
          <w:sz w:val="20"/>
          <w:szCs w:val="20"/>
          <w:color w:val="auto"/>
        </w:rPr>
      </w:pPr>
    </w:p>
    <w:p>
      <w:pPr>
        <w:ind w:left="1260" w:right="1420" w:firstLine="360"/>
        <w:spacing w:after="0" w:line="270" w:lineRule="auto"/>
        <w:rPr>
          <w:sz w:val="20"/>
          <w:szCs w:val="20"/>
          <w:color w:val="auto"/>
        </w:rPr>
      </w:pPr>
      <w:r>
        <w:rPr>
          <w:rFonts w:ascii="Arial" w:cs="Arial" w:eastAsia="Arial" w:hAnsi="Arial"/>
          <w:sz w:val="17"/>
          <w:szCs w:val="17"/>
          <w:color w:val="auto"/>
        </w:rPr>
        <w:t>Basic and diluted net loss per share attributable to common stockholders is presented in conformity with the two-class method required for participating securities. The 17,250,000 Sponsor Earnback Shares are participating securities that contractually entitle the holders of such shares to participate in nonforfeitable dividends but does not contractually obligate the holders of such shares to participate in losses. The unaudited pro forma condensed combined statement of operations reflects a net loss for the period presented and, accordingly, no loss amounts have been allocated to the Sponsor Earnback Shares. The Sponsor Earnback Shares have also been excluded from basic and diluted pro forma net loss per share attributable to common stockholders as such shares of Class A common stock are contingently recallable until the Earnback Triggering Events have occurred.</w:t>
      </w:r>
    </w:p>
    <w:p>
      <w:pPr>
        <w:spacing w:after="0" w:line="113" w:lineRule="exact"/>
        <w:rPr>
          <w:sz w:val="20"/>
          <w:szCs w:val="20"/>
          <w:color w:val="auto"/>
        </w:rPr>
      </w:pPr>
    </w:p>
    <w:p>
      <w:pPr>
        <w:ind w:left="1260" w:right="1840" w:firstLine="360"/>
        <w:spacing w:after="0" w:line="277" w:lineRule="auto"/>
        <w:rPr>
          <w:sz w:val="20"/>
          <w:szCs w:val="20"/>
          <w:color w:val="auto"/>
        </w:rPr>
      </w:pPr>
      <w:r>
        <w:rPr>
          <w:rFonts w:ascii="Arial" w:cs="Arial" w:eastAsia="Arial" w:hAnsi="Arial"/>
          <w:sz w:val="18"/>
          <w:szCs w:val="18"/>
          <w:color w:val="auto"/>
        </w:rPr>
        <w:t>The unaudited pro forma condensed combined net loss per share has been prepared based on the following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spacing w:after="0"/>
              <w:rPr>
                <w:sz w:val="20"/>
                <w:szCs w:val="20"/>
                <w:color w:val="auto"/>
              </w:rPr>
            </w:pPr>
            <w:r>
              <w:rPr>
                <w:rFonts w:ascii="Arial" w:cs="Arial" w:eastAsia="Arial" w:hAnsi="Arial"/>
                <w:sz w:val="14"/>
                <w:szCs w:val="14"/>
                <w:b w:val="1"/>
                <w:bCs w:val="1"/>
                <w:color w:val="auto"/>
              </w:rPr>
              <w:t>Six Months Ended June 30,</w:t>
            </w:r>
          </w:p>
        </w:tc>
        <w:tc>
          <w:tcPr>
            <w:tcW w:w="15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8"/>
              </w:rPr>
              <w:t>Net loss attributable to common shareholders – basic and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diluted</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(4,161,481)</w:t>
            </w:r>
          </w:p>
        </w:tc>
        <w:tc>
          <w:tcPr>
            <w:tcW w:w="2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(1,302,546)</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Lucid shareholders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1,115,974,011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666,471,154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Vested Lucid Group RSUs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8,030,119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1,542,707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Churchill Sponsor</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34,500,000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34,500,000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Churchill public stockholders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206,978,356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206,978,356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PIPE Investors</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166,666,667</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166,666,667</w:t>
            </w:r>
          </w:p>
        </w:tc>
        <w:tc>
          <w:tcPr>
            <w:tcW w:w="200" w:type="dxa"/>
            <w:vAlign w:val="bottom"/>
            <w:tcBorders>
              <w:bottom w:val="single" w:sz="8" w:color="CCEEFF"/>
            </w:tcBorders>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shares outstanding – basic and diluted</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1,532,149,152</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1,076,158,884</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454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8"/>
              </w:rPr>
              <w:t>Net loss per share attributable to common shareholders –</w:t>
            </w: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4540" w:type="dxa"/>
            <w:vAlign w:val="bottom"/>
            <w:vMerge w:val="restart"/>
          </w:tcPr>
          <w:p>
            <w:pPr>
              <w:ind w:left="398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126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5875020</wp:posOffset>
            </wp:positionH>
            <wp:positionV relativeFrom="paragraph">
              <wp:posOffset>-1182370</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43548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5483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-2451100</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-2451100</wp:posOffset>
            </wp:positionV>
            <wp:extent cx="137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0" w:name="page81"/>
    <w:bookmarkEnd w:id="8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Following the Closing, the following outstanding shares of common stock equivalents were excluded from the computation of pro forma diluted net loss per share for all the periods and scenarios presented because including them would have had an anti-dilutive effect:</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21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Six Months Ended June 30, 2021</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w w:val="88"/>
              </w:rPr>
              <w:t>Year Ended December 31, 2020</w:t>
            </w:r>
          </w:p>
        </w:tc>
      </w:tr>
      <w:tr>
        <w:trPr>
          <w:trHeight w:val="26"/>
        </w:trPr>
        <w:tc>
          <w:tcPr>
            <w:tcW w:w="41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 warrants</w:t>
            </w:r>
          </w:p>
        </w:tc>
        <w:tc>
          <w:tcPr>
            <w:tcW w:w="19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28,566,667</w:t>
            </w:r>
          </w:p>
        </w:tc>
        <w:tc>
          <w:tcPr>
            <w:tcW w:w="22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28,566,667</w:t>
            </w: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Public warrants</w:t>
            </w:r>
          </w:p>
        </w:tc>
        <w:tc>
          <w:tcPr>
            <w:tcW w:w="1960" w:type="dxa"/>
            <w:vAlign w:val="bottom"/>
          </w:tcPr>
          <w:p>
            <w:pPr>
              <w:jc w:val="right"/>
              <w:ind w:right="353"/>
              <w:spacing w:after="0"/>
              <w:rPr>
                <w:sz w:val="20"/>
                <w:szCs w:val="20"/>
                <w:color w:val="auto"/>
              </w:rPr>
            </w:pPr>
            <w:r>
              <w:rPr>
                <w:rFonts w:ascii="Arial" w:cs="Arial" w:eastAsia="Arial" w:hAnsi="Arial"/>
                <w:sz w:val="18"/>
                <w:szCs w:val="18"/>
                <w:color w:val="auto"/>
              </w:rPr>
              <w:t>41,400,000</w:t>
            </w:r>
          </w:p>
        </w:tc>
        <w:tc>
          <w:tcPr>
            <w:tcW w:w="220" w:type="dxa"/>
            <w:vAlign w:val="bottom"/>
          </w:tcPr>
          <w:p>
            <w:pPr>
              <w:spacing w:after="0"/>
              <w:rPr>
                <w:sz w:val="22"/>
                <w:szCs w:val="22"/>
                <w:color w:val="auto"/>
              </w:rPr>
            </w:pPr>
          </w:p>
        </w:tc>
        <w:tc>
          <w:tcPr>
            <w:tcW w:w="1880" w:type="dxa"/>
            <w:vAlign w:val="bottom"/>
          </w:tcPr>
          <w:p>
            <w:pPr>
              <w:jc w:val="right"/>
              <w:ind w:right="313"/>
              <w:spacing w:after="0"/>
              <w:rPr>
                <w:sz w:val="20"/>
                <w:szCs w:val="20"/>
                <w:color w:val="auto"/>
              </w:rPr>
            </w:pPr>
            <w:r>
              <w:rPr>
                <w:rFonts w:ascii="Arial" w:cs="Arial" w:eastAsia="Arial" w:hAnsi="Arial"/>
                <w:sz w:val="18"/>
                <w:szCs w:val="18"/>
                <w:color w:val="auto"/>
              </w:rPr>
              <w:t>41,400,000</w:t>
            </w:r>
          </w:p>
        </w:tc>
      </w:tr>
      <w:tr>
        <w:trPr>
          <w:trHeight w:val="25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warrants</w:t>
            </w:r>
          </w:p>
        </w:tc>
        <w:tc>
          <w:tcPr>
            <w:tcW w:w="19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1,500,000</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1,500,000</w:t>
            </w: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Lucid Group Options</w:t>
            </w:r>
          </w:p>
        </w:tc>
        <w:tc>
          <w:tcPr>
            <w:tcW w:w="1960" w:type="dxa"/>
            <w:vAlign w:val="bottom"/>
          </w:tcPr>
          <w:p>
            <w:pPr>
              <w:jc w:val="right"/>
              <w:ind w:right="353"/>
              <w:spacing w:after="0"/>
              <w:rPr>
                <w:sz w:val="20"/>
                <w:szCs w:val="20"/>
                <w:color w:val="auto"/>
              </w:rPr>
            </w:pPr>
            <w:r>
              <w:rPr>
                <w:rFonts w:ascii="Arial" w:cs="Arial" w:eastAsia="Arial" w:hAnsi="Arial"/>
                <w:sz w:val="18"/>
                <w:szCs w:val="18"/>
                <w:color w:val="auto"/>
              </w:rPr>
              <w:t>68,121,210</w:t>
            </w:r>
          </w:p>
        </w:tc>
        <w:tc>
          <w:tcPr>
            <w:tcW w:w="220" w:type="dxa"/>
            <w:vAlign w:val="bottom"/>
          </w:tcPr>
          <w:p>
            <w:pPr>
              <w:spacing w:after="0"/>
              <w:rPr>
                <w:sz w:val="23"/>
                <w:szCs w:val="23"/>
                <w:color w:val="auto"/>
              </w:rPr>
            </w:pPr>
          </w:p>
        </w:tc>
        <w:tc>
          <w:tcPr>
            <w:tcW w:w="1880" w:type="dxa"/>
            <w:vAlign w:val="bottom"/>
          </w:tcPr>
          <w:p>
            <w:pPr>
              <w:jc w:val="right"/>
              <w:ind w:right="313"/>
              <w:spacing w:after="0"/>
              <w:rPr>
                <w:sz w:val="20"/>
                <w:szCs w:val="20"/>
                <w:color w:val="auto"/>
              </w:rPr>
            </w:pPr>
            <w:r>
              <w:rPr>
                <w:rFonts w:ascii="Arial" w:cs="Arial" w:eastAsia="Arial" w:hAnsi="Arial"/>
                <w:sz w:val="18"/>
                <w:szCs w:val="18"/>
                <w:color w:val="auto"/>
              </w:rPr>
              <w:t>68,121,210</w:t>
            </w:r>
          </w:p>
        </w:tc>
      </w:tr>
      <w:tr>
        <w:trPr>
          <w:trHeight w:val="27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Lucid Group RSUs</w:t>
            </w:r>
          </w:p>
        </w:tc>
        <w:tc>
          <w:tcPr>
            <w:tcW w:w="19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17,116,018</w:t>
            </w:r>
          </w:p>
        </w:tc>
        <w:tc>
          <w:tcPr>
            <w:tcW w:w="22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23,926,942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4674870</wp:posOffset>
            </wp:positionH>
            <wp:positionV relativeFrom="paragraph">
              <wp:posOffset>-839470</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-839470</wp:posOffset>
            </wp:positionV>
            <wp:extent cx="26231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14" w:lineRule="exact"/>
        <w:rPr>
          <w:sz w:val="20"/>
          <w:szCs w:val="20"/>
          <w:color w:val="auto"/>
        </w:rPr>
      </w:pPr>
    </w:p>
    <w:p>
      <w:pPr>
        <w:ind w:left="1260" w:right="559" w:firstLine="360"/>
        <w:spacing w:after="0" w:line="308" w:lineRule="auto"/>
        <w:rPr>
          <w:sz w:val="20"/>
          <w:szCs w:val="20"/>
          <w:color w:val="auto"/>
        </w:rPr>
      </w:pPr>
      <w:r>
        <w:rPr>
          <w:rFonts w:ascii="Arial" w:cs="Arial" w:eastAsia="Arial" w:hAnsi="Arial"/>
          <w:sz w:val="17"/>
          <w:szCs w:val="17"/>
          <w:color w:val="auto"/>
        </w:rPr>
        <w:t>The 14,783,333 Sponsor Earnback Warrants are excluded from the pro forma anti-dilutive table as the underlying shares are contingently recallable until the Earnback Triggering Events have occurred.</w:t>
      </w:r>
    </w:p>
    <w:p>
      <w:pPr>
        <w:spacing w:after="0" w:line="65"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The 16,024,411 Lucid Group RSUs expected to vest under the CEO Performance RSUs as adjusted by the Exchange Ratio are excluded from the pro forma anti-dilutive table as the underlying shares are contingently issuable until the market conditions have been satisfied.</w:t>
      </w:r>
    </w:p>
    <w:p>
      <w:pPr>
        <w:spacing w:after="0" w:line="180" w:lineRule="exact"/>
        <w:rPr>
          <w:sz w:val="20"/>
          <w:szCs w:val="20"/>
          <w:color w:val="auto"/>
        </w:rPr>
      </w:pPr>
    </w:p>
    <w:p>
      <w:pPr>
        <w:ind w:left="1620" w:hanging="360"/>
        <w:spacing w:after="0"/>
        <w:tabs>
          <w:tab w:leader="none" w:pos="16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CEO Performance RSUs Valuation</w:t>
      </w:r>
    </w:p>
    <w:p>
      <w:pPr>
        <w:spacing w:after="0" w:line="162"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CEO Performance RSUs vest upon the achievement of a specified market condition for each tranche and the continued employment of Mr. Rawlinson at each vesting date. The estimated grant date fair value for each tranche of CEO Performance RSUs was determined by using the Monte Carlo simulation method with the following key assumptions:</w:t>
      </w:r>
    </w:p>
    <w:p>
      <w:pPr>
        <w:spacing w:after="0" w:line="119" w:lineRule="exact"/>
        <w:rPr>
          <w:sz w:val="20"/>
          <w:szCs w:val="20"/>
          <w:color w:val="auto"/>
        </w:rPr>
      </w:pPr>
    </w:p>
    <w:p>
      <w:pPr>
        <w:ind w:left="1620" w:right="719"/>
        <w:spacing w:after="0" w:line="263" w:lineRule="auto"/>
        <w:rPr>
          <w:sz w:val="20"/>
          <w:szCs w:val="20"/>
          <w:color w:val="auto"/>
        </w:rPr>
      </w:pPr>
      <w:r>
        <w:rPr>
          <w:rFonts w:ascii="Arial" w:cs="Arial" w:eastAsia="Arial" w:hAnsi="Arial"/>
          <w:sz w:val="18"/>
          <w:szCs w:val="18"/>
          <w:i w:val="1"/>
          <w:iCs w:val="1"/>
          <w:color w:val="auto"/>
        </w:rPr>
        <w:t xml:space="preserve">Expected stock price: </w:t>
      </w:r>
      <w:r>
        <w:rPr>
          <w:rFonts w:ascii="Arial" w:cs="Arial" w:eastAsia="Arial" w:hAnsi="Arial"/>
          <w:sz w:val="18"/>
          <w:szCs w:val="18"/>
          <w:color w:val="auto"/>
        </w:rPr>
        <w:t>The expected stock price is determined based on an assumed share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as of the Closing calculated based on the closing trading price of Churchill’s Class A common stock as of the grant date.</w:t>
      </w:r>
    </w:p>
    <w:p>
      <w:pPr>
        <w:spacing w:after="0" w:line="103" w:lineRule="exact"/>
        <w:rPr>
          <w:sz w:val="20"/>
          <w:szCs w:val="20"/>
          <w:color w:val="auto"/>
        </w:rPr>
      </w:pPr>
    </w:p>
    <w:p>
      <w:pPr>
        <w:ind w:left="1620" w:right="1159"/>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was determined by using an average of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selected industry peers deemed to be comparable to the Company’s business corresponding to the expected term of the awards.</w:t>
      </w:r>
    </w:p>
    <w:p>
      <w:pPr>
        <w:spacing w:after="0" w:line="116" w:lineRule="exact"/>
        <w:rPr>
          <w:sz w:val="20"/>
          <w:szCs w:val="20"/>
          <w:color w:val="auto"/>
        </w:rPr>
      </w:pPr>
    </w:p>
    <w:p>
      <w:pPr>
        <w:ind w:left="1620" w:right="479"/>
        <w:spacing w:after="0" w:line="263"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grant for zero-coupon U.S. Treasury notes with maturities corresponding to the expected term of the awards.</w:t>
      </w:r>
    </w:p>
    <w:p>
      <w:pPr>
        <w:spacing w:after="0" w:line="116" w:lineRule="exact"/>
        <w:rPr>
          <w:sz w:val="20"/>
          <w:szCs w:val="20"/>
          <w:color w:val="auto"/>
        </w:rPr>
      </w:pPr>
    </w:p>
    <w:p>
      <w:pPr>
        <w:ind w:left="1620" w:right="699"/>
        <w:spacing w:after="0" w:line="25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for valuation of the CEO Performance RSUs is their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five years. The expected term represents the period these awards are expected to remain outstanding and is based on historical experience of similar awards, giving consideration to the contractual terms of the share-based awards, vesting schedules, and expectations of future employee behavior.</w:t>
      </w:r>
    </w:p>
    <w:p>
      <w:pPr>
        <w:spacing w:after="0" w:line="107" w:lineRule="exact"/>
        <w:rPr>
          <w:sz w:val="20"/>
          <w:szCs w:val="20"/>
          <w:color w:val="auto"/>
        </w:rPr>
      </w:pPr>
    </w:p>
    <w:p>
      <w:pPr>
        <w:ind w:left="1620" w:right="1039"/>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expected dividend rate is zero as we currently have no history or</w:t>
      </w:r>
      <w:r>
        <w:rPr>
          <w:rFonts w:ascii="Arial" w:cs="Arial" w:eastAsia="Arial" w:hAnsi="Arial"/>
          <w:sz w:val="18"/>
          <w:szCs w:val="18"/>
          <w:i w:val="1"/>
          <w:iCs w:val="1"/>
          <w:color w:val="auto"/>
        </w:rPr>
        <w:t xml:space="preserve"> </w:t>
      </w:r>
      <w:r>
        <w:rPr>
          <w:rFonts w:ascii="Arial" w:cs="Arial" w:eastAsia="Arial" w:hAnsi="Arial"/>
          <w:sz w:val="18"/>
          <w:szCs w:val="18"/>
          <w:color w:val="auto"/>
        </w:rPr>
        <w:t>expectation of declaring dividends.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aggregate estimated grant date fair value of the CEO Performance RSUs is $272.1 million.</w:t>
      </w:r>
    </w:p>
    <w:p>
      <w:pPr>
        <w:spacing w:after="0" w:line="15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derived service period under the Monte Carlo simulation method was determined based on the median vesting time for the simulations that achieved the vesting hurdle. Share-based compensation expense associated with each of the five tranches under the CEO Performance RSUs will be recognized over the earlier of (i) derived service periods of each tranche and (ii) the date on which the market condition is satisfied, using the graded vesting attribution method. The estimated derived service periods of the five tranches under the CEO Performance RSUs are estimated to be 0.72, 0.79, 1.72, 2.18 and 2.51 years, respectively.</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RESULTS OF OPERATIONS</w:t>
      </w:r>
    </w:p>
    <w:p>
      <w:pPr>
        <w:spacing w:after="0" w:line="130"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i w:val="1"/>
          <w:iCs w:val="1"/>
          <w:color w:val="auto"/>
        </w:rPr>
        <w:t>The following discussion and analysis provides information that Lucid Group’s management believes is relevant to an assessment and understanding of our consolidated results of operations and financial condition as of June 30, 2021 and for the three and six months ended June 30, 2021. The discussion should be read together with Lucid’s historical audited annual consolidated financial statements as of and for</w:t>
      </w:r>
    </w:p>
    <w:p>
      <w:pPr>
        <w:spacing w:after="0" w:line="2" w:lineRule="exact"/>
        <w:rPr>
          <w:sz w:val="20"/>
          <w:szCs w:val="20"/>
          <w:color w:val="auto"/>
        </w:rPr>
      </w:pPr>
    </w:p>
    <w:p>
      <w:pPr>
        <w:ind w:left="1260" w:right="559"/>
        <w:spacing w:after="0" w:line="267" w:lineRule="auto"/>
        <w:rPr>
          <w:sz w:val="20"/>
          <w:szCs w:val="20"/>
          <w:color w:val="auto"/>
        </w:rPr>
      </w:pPr>
      <w:r>
        <w:rPr>
          <w:rFonts w:ascii="Arial" w:cs="Arial" w:eastAsia="Arial" w:hAnsi="Arial"/>
          <w:sz w:val="17"/>
          <w:szCs w:val="17"/>
          <w:i w:val="1"/>
          <w:iCs w:val="1"/>
          <w:color w:val="auto"/>
        </w:rPr>
        <w:t>the years ended December 31, 2020 and 2019, and unaudited interim condensed consolidated financial statements as of June 30, 2021 and for the three and six months ended June 30, 2021 and 2020, and the related accompanying notes that are included elsewhere in this prospectus. The discussion and analysis should also be read together with Lucid Group’s unaudited pro forma condensed combined financial information in the section entitled “Unaudited Pro Forma Condensed Combined Financial Information.” This discussion may contain forward-looking statements based upon Lucid Group’s current expectations, estimates and projections that involve risks and uncertainties. Lucid Group’s actual results could differ materially from those anticipated in these forward-looking statements due to, among other considerations, the matters discussed in the sections entitled “Risk Factors” and “Cautionary Note Regarding Forward-Looking Statements.” Unless the context otherwise requires, all references in this section to “Lucid,” the “Company,” “we,” “us,” “our,” and other similar terms refer to Lucid’s business prior to the consummation of the Transactions. Lucid Group continues Lucid’s business following the consummation of the Transactions.</w:t>
      </w:r>
    </w:p>
    <w:p>
      <w:pPr>
        <w:spacing w:after="0" w:line="3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We are a technology and automotive company with a mission to inspire the adoption of sustainable transportation by creating the most captivating luxury electric vehicles centered around human experience. Our focus on in-house technological innovation and a “clean sheet” approach to engineering and design have led to the development of our groundbreaking electric vehicle, the Lucid Air, which we expect to go into production in the second half of 2021.</w:t>
      </w:r>
    </w:p>
    <w:p>
      <w:pPr>
        <w:spacing w:after="0" w:line="120"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The Lucid Air is a luxury electric sedan that redefines both the luxury car segment and the electric vehicle space. Through miniaturization of the key drive-train components, the Lucid Air is designed to deliver compelling performance and interior space with an exterior that is reminiscent of a high-performance sports car. We believe our drivetrain and battery pack technologies are significant differentiators and our battery technology has been driven more than twenty million real-world miles since Lucid’s inception. With our 900V+ electrical architecture, we expect that some variants of the Lucid Air will be able to achieve sufficient charge in approximately 20 minutes to travel 300 miles and have travel range in excess of 500 miles on a single charge. The Lucid Air is expected to be available in a variant with over 1,000 horsepower and the ability to travel from zero to 60 miles per hour in less than 2.5 seconds. We are also the supplier of battery technology for the premier EV racing series. We believe the Lucid Air will establish the bar for excellence across future Lucid products and experiences by fusing art and science to capture the potential of electrification.</w:t>
      </w:r>
    </w:p>
    <w:p>
      <w:pPr>
        <w:spacing w:after="0" w:line="119"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The Lucid Air will be manufactured in-house at our greenfield purpose-built electric vehicle manufacturing facilities in Casa Grande, Arizona, named Advanced Manufacturing Plant-1 (“</w:t>
      </w:r>
      <w:r>
        <w:rPr>
          <w:rFonts w:ascii="Arial" w:cs="Arial" w:eastAsia="Arial" w:hAnsi="Arial"/>
          <w:sz w:val="17"/>
          <w:szCs w:val="17"/>
          <w:i w:val="1"/>
          <w:iCs w:val="1"/>
          <w:color w:val="auto"/>
        </w:rPr>
        <w:t>AMP-1</w:t>
      </w:r>
      <w:r>
        <w:rPr>
          <w:rFonts w:ascii="Arial" w:cs="Arial" w:eastAsia="Arial" w:hAnsi="Arial"/>
          <w:sz w:val="17"/>
          <w:szCs w:val="17"/>
          <w:color w:val="auto"/>
        </w:rPr>
        <w:t>”) and Lucid Powertrain Manufacturing Plant (“</w:t>
      </w:r>
      <w:r>
        <w:rPr>
          <w:rFonts w:ascii="Arial" w:cs="Arial" w:eastAsia="Arial" w:hAnsi="Arial"/>
          <w:sz w:val="17"/>
          <w:szCs w:val="17"/>
          <w:i w:val="1"/>
          <w:iCs w:val="1"/>
          <w:color w:val="auto"/>
        </w:rPr>
        <w:t>LPM-1</w:t>
      </w:r>
      <w:r>
        <w:rPr>
          <w:rFonts w:ascii="Arial" w:cs="Arial" w:eastAsia="Arial" w:hAnsi="Arial"/>
          <w:sz w:val="17"/>
          <w:szCs w:val="17"/>
          <w:color w:val="auto"/>
        </w:rPr>
        <w:t>”). Upon completion of our facilities, our manufacturing footprint in Casa Grande is expected to exceed 5 million square feet on 495 acres. Our AMP-1 facility is designed with an initial output capacity to produce up to 34,000 vehicles annually. We are on track to start our production of the Lucid Air utilizing our AMP-1 facility in the second half of 2021.</w:t>
      </w:r>
    </w:p>
    <w:p>
      <w:pPr>
        <w:spacing w:after="0" w:line="110"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We expect to launch additional vehicles over the coming decade. We have already commenced engineering and design work for Project Gravity, a luxury SUV that is expected to leverage the same platform and many of the technological advancements developed for the Lucid Air. We expect to begin production of Project Gravity at the end of 2023. After the Lucid Air and Project Gravity, we plan to leverage our technological and manufacturing advancements to develop and manufacture progressively more affordable vehicles in higher volumes. We further believe that our battery systems expertise positions us to produce compelling stationary energy storage system (“</w:t>
      </w:r>
      <w:r>
        <w:rPr>
          <w:rFonts w:ascii="Arial" w:cs="Arial" w:eastAsia="Arial" w:hAnsi="Arial"/>
          <w:sz w:val="18"/>
          <w:szCs w:val="18"/>
          <w:i w:val="1"/>
          <w:iCs w:val="1"/>
          <w:color w:val="auto"/>
        </w:rPr>
        <w:t>ESS</w:t>
      </w:r>
      <w:r>
        <w:rPr>
          <w:rFonts w:ascii="Arial" w:cs="Arial" w:eastAsia="Arial" w:hAnsi="Arial"/>
          <w:sz w:val="18"/>
          <w:szCs w:val="18"/>
          <w:color w:val="auto"/>
        </w:rPr>
        <w:t>”) products. ESS is a technologically adjacent opportunity which can leverage the modular design of our battery packs and our extensive experience with battery pack and battery management systems.</w:t>
      </w:r>
    </w:p>
    <w:p>
      <w:pPr>
        <w:sectPr>
          <w:pgSz w:w="11900" w:h="16838" w:orient="portrait"/>
          <w:cols w:equalWidth="0" w:num="1">
            <w:col w:w="9879"/>
          </w:cols>
          <w:pgMar w:left="580" w:top="131"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We plan to sell our vehicles directly to consumers through both our retail store or gallery locations, which we refer to as “Studios,” and our online purchasing platform as we believe the direct-to-consumer sales model reflects today’s changing customer preferences. We believe that our direct-to-consumer sales model, combined with a digitally enhanced luxury experience through our website and a refined in -store experience, creates opportunities to tailor to each customer’s purchase and ownership preferences. As of June 30, 2021, we have opened eight retail stores and expect additional stores and service centers to open in North America throughout 2021. We believe in owning our sales and service network in order to control our customers’ experience throughout their journey with us. We are also in the process of establishing an in-house service footprint through brick-and-mortar service centers in various geographies and a planned mobile service fleet. In order to deliver excellent in- house and mobile services to our customers, we also plan to have an approved list of vetted and specially trained body shop technicians.</w:t>
      </w:r>
    </w:p>
    <w:p>
      <w:pPr>
        <w:spacing w:after="0" w:line="105"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6"/>
          <w:szCs w:val="16"/>
          <w:color w:val="auto"/>
        </w:rPr>
        <w:t>Our revenue to date has been generated primarily from the sales of battery pack systems, supplies and related services. To date, we have not sold any vehicles, and we do not expect to begin commercial sales of our vehicles until the second half of 2021. We incurred net losses of $261.7 million and $117.3 million for the three months ended June 30, 2021 and 2020, and net losses of $1,009.7 million and $246.9 million for the six months ended June 30, 2021 and 2020, respectively, and $719.4 million and $277.4 million for</w:t>
      </w:r>
    </w:p>
    <w:p>
      <w:pPr>
        <w:spacing w:after="0" w:line="1" w:lineRule="exact"/>
        <w:rPr>
          <w:sz w:val="20"/>
          <w:szCs w:val="20"/>
          <w:color w:val="auto"/>
        </w:rPr>
      </w:pPr>
    </w:p>
    <w:p>
      <w:pPr>
        <w:ind w:left="1260" w:right="419"/>
        <w:spacing w:after="0" w:line="253" w:lineRule="auto"/>
        <w:rPr>
          <w:sz w:val="20"/>
          <w:szCs w:val="20"/>
          <w:color w:val="auto"/>
        </w:rPr>
      </w:pPr>
      <w:r>
        <w:rPr>
          <w:rFonts w:ascii="Arial" w:cs="Arial" w:eastAsia="Arial" w:hAnsi="Arial"/>
          <w:sz w:val="17"/>
          <w:szCs w:val="17"/>
          <w:color w:val="auto"/>
        </w:rPr>
        <w:t>the years ended December 31, 2020 and 2019, respectively, and we expect to incur significant net losses for the foreseeable future. We plan to make significant investments in capital expenditures to build and expand our manufacturing, sales and service facilities, hire a commercial sales team, and continue to invest in research and development. We expect that our existing cash and cash equivalents, including the net proceeds from the Transactions and the PIPE Investment, will be sufficient to meet our capital expenditure and working capital requirements for a period of at least twelve months from the date of this prospectus.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Closing of Transactions</w:t>
      </w:r>
    </w:p>
    <w:p>
      <w:pPr>
        <w:spacing w:after="0" w:line="158"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On the Closing Date, Churchill and Lucid consummated the Transactions. Pursuant to the Merger Agreement, Merger Sub merged with and into Lucid, with Lucid surviving the Merger. Lucid became a wholly owned subsidiary of Churchill and Churchill was immediately renamed “Lucid Group, Inc.” Each Lucid Common Share issued and outstanding immediately prior to Closing was automatically surrendered and exchanged for the right to receive a number of shares of Churchill’s Class A common stock equal to the Exchange Ratio based on the Equity Value.</w:t>
      </w:r>
    </w:p>
    <w:p>
      <w:pPr>
        <w:spacing w:after="0" w:line="12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We expect the Transactions to be accounted for as a reverse recapitalization in accordance with GAAP. Under this method of accounting, Churchill is expected to be treated as the “acquired” company for financial reporting purposes. Accordingly, for accounting purposes, the financial statements of Lucid Group will represent a continuation of the financial statements of Lucid with the Transactions treated as the equivalent of Lucid issuing shares for the net assets of Churchill, accompanied by a recapitalization. The net assets of Churchill will be stated at historical cost, with no goodwill or other intangible assets recorded. Operations prior to the Transactions will be those of Lucid in future reports of Lucid Group.</w:t>
      </w:r>
    </w:p>
    <w:p>
      <w:pPr>
        <w:spacing w:after="0" w:line="99"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connection with the Transactions, we raised $4.6 billion of gross proceeds including the contribution of $2.1 billion of proceeds from cash held in Churchill’s trust account from the Churchill IPO, net of redemption of Churchill’s Class A common stock held by Churchill’s public stockholders of $0.2 million, and $ 2.5 billion of proceeds from the PIPE Investment. We estimate the direct and incremental transaction costs in connection with the Transactions incurred prior to, or concurrent with the Closing by Churchill, including the PIPE Investment and the deferred underwriting fees related to the Churchill IPO, and Lucid to be $175.0 million. We intend to use the net proceeds for future capacity expansion, general corporate purposes and to meet our working capital needs.</w:t>
      </w:r>
    </w:p>
    <w:p>
      <w:pPr>
        <w:spacing w:after="0" w:line="126" w:lineRule="exact"/>
        <w:rPr>
          <w:sz w:val="20"/>
          <w:szCs w:val="20"/>
          <w:color w:val="auto"/>
        </w:rPr>
      </w:pPr>
    </w:p>
    <w:p>
      <w:pPr>
        <w:ind w:left="1260" w:right="719" w:firstLine="360"/>
        <w:spacing w:after="0" w:line="239" w:lineRule="auto"/>
        <w:rPr>
          <w:sz w:val="20"/>
          <w:szCs w:val="20"/>
          <w:color w:val="auto"/>
        </w:rPr>
      </w:pPr>
      <w:r>
        <w:rPr>
          <w:rFonts w:ascii="Arial" w:cs="Arial" w:eastAsia="Arial" w:hAnsi="Arial"/>
          <w:sz w:val="18"/>
          <w:szCs w:val="18"/>
          <w:color w:val="auto"/>
        </w:rPr>
        <w:t xml:space="preserve">Lucid’s historical audited annual consolidated financial statements as of and for the years ended December 31, 2020 and 2019, and unaudited interim condensed consolidated financial statements as of June 30, 2021 and for the three and six months ended June 30, 2021 and 2020, and the related respective accompanying notes that are included elsewhere in this prospectus do not include the effects of the Transactions. Lucid’s historical results and other financial information for all periods discussed and analyzed in this section entitled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63" w:lineRule="auto"/>
        <w:rPr>
          <w:sz w:val="20"/>
          <w:szCs w:val="20"/>
          <w:color w:val="auto"/>
        </w:rPr>
      </w:pPr>
      <w:r>
        <w:rPr>
          <w:rFonts w:ascii="Arial" w:cs="Arial" w:eastAsia="Arial" w:hAnsi="Arial"/>
          <w:sz w:val="18"/>
          <w:szCs w:val="18"/>
          <w:i w:val="1"/>
          <w:iCs w:val="1"/>
          <w:color w:val="auto"/>
        </w:rPr>
        <w:t xml:space="preserve">Operations” </w:t>
      </w:r>
      <w:r>
        <w:rPr>
          <w:rFonts w:ascii="Arial" w:cs="Arial" w:eastAsia="Arial" w:hAnsi="Arial"/>
          <w:sz w:val="18"/>
          <w:szCs w:val="18"/>
          <w:color w:val="auto"/>
        </w:rPr>
        <w:t>also do not include the effects of the Transactions. See the section entitled “</w:t>
      </w:r>
      <w:r>
        <w:rPr>
          <w:rFonts w:ascii="Arial" w:cs="Arial" w:eastAsia="Arial" w:hAnsi="Arial"/>
          <w:sz w:val="18"/>
          <w:szCs w:val="18"/>
          <w:i w:val="1"/>
          <w:iCs w:val="1"/>
          <w:color w:val="auto"/>
        </w:rPr>
        <w:t>Unaudited Pro Forma Condensed Combined Financial Information — Basis of Pro Forma Presentation</w:t>
      </w:r>
      <w:r>
        <w:rPr>
          <w:rFonts w:ascii="Arial" w:cs="Arial" w:eastAsia="Arial" w:hAnsi="Arial"/>
          <w:sz w:val="18"/>
          <w:szCs w:val="18"/>
          <w:color w:val="auto"/>
        </w:rPr>
        <w:t>”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48" w:lineRule="exact"/>
        <w:rPr>
          <w:sz w:val="20"/>
          <w:szCs w:val="20"/>
          <w:color w:val="auto"/>
        </w:rPr>
      </w:pPr>
    </w:p>
    <w:p>
      <w:pPr>
        <w:jc w:val="both"/>
        <w:ind w:left="1260" w:right="979" w:firstLine="360"/>
        <w:spacing w:after="0" w:line="286" w:lineRule="auto"/>
        <w:rPr>
          <w:sz w:val="20"/>
          <w:szCs w:val="20"/>
          <w:color w:val="auto"/>
        </w:rPr>
      </w:pPr>
      <w:r>
        <w:rPr>
          <w:rFonts w:ascii="Arial" w:cs="Arial" w:eastAsia="Arial" w:hAnsi="Arial"/>
          <w:sz w:val="17"/>
          <w:szCs w:val="17"/>
          <w:color w:val="auto"/>
        </w:rPr>
        <w:t xml:space="preserve">We believe that our future success and financial performance depend on a number of factors that present significant opportunities for our business, but also pose risks and challenges, including those discussed below and in the section of this prospectus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Design and Technology Leadership</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believe we are positioned to be a leader in the electric vehicle market by unlocking the potential for advanced, high-performance, and long-range electric vehicles to co-exist. The Lucid Air is designed with race-proven battery pack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 Though not yet commercially available, we have received significant interest in the Lucid Air from potential customers. Through June 30, 2021, we have refundable reservations that reflect potential sales greater than $900.0 million.</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Direct-to-Consumer Model</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We plan to operate a direct-to-consumer sales and service model, which we believe will allow us to offer a personalized experience for our customers based on their purchase and ownership preferences. We expect to incur significant expenses in our sales and marketing operations as we prepare for commercialization of the Lucid Air, including to open Studios, hire a sales force, invest in marketing and brand awareness, and stand up a service center operation. As of June 30, 2021, we had opened eight Studios in four locations in California, two locations in Florida, one location in New York and one location in Illinois. By the end of 2021, we expect to open additional Studios and service centers in North America. We also intend to hire additional sales, customer service, and service centers personnel. We believe that investing in our direct-to-consumer sales and service model will be critical to deliver and service the Lucid electric vehicles we plan to manufacture and sell.</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Establishing Manufacturing Capacity</w:t>
      </w:r>
    </w:p>
    <w:p>
      <w:pPr>
        <w:spacing w:after="0" w:line="14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each year through 2023 as we continue our phased construction of our AMP-1 and LPM-1 facilities and international expansion and then to decrease in the subsequent years.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15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Project Gravity, and future generations of our electric vehicles and other products.</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To date, we have primarily generated revenue from the sales of battery pack systems, supplies and related services for vehicles to a single customer. We have identified the sale of battery pack systems and the related supplies as a performance obligation to be recognized at the point in time when control is transferred to the customer. While our customer generally has the right to return defective or non-conforming products, product returns have been immaterial in past periods. We do not expect the sales from the battery pack systems for the world’s premier electric racing series to be material for the go-forward commercialized business.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58" w:lineRule="exact"/>
        <w:rPr>
          <w:sz w:val="20"/>
          <w:szCs w:val="20"/>
          <w:color w:val="auto"/>
        </w:rPr>
      </w:pPr>
    </w:p>
    <w:p>
      <w:pPr>
        <w:ind w:left="1260" w:right="599" w:firstLine="360"/>
        <w:spacing w:after="0" w:line="273" w:lineRule="auto"/>
        <w:rPr>
          <w:sz w:val="20"/>
          <w:szCs w:val="20"/>
          <w:color w:val="auto"/>
        </w:rPr>
      </w:pPr>
      <w:r>
        <w:rPr>
          <w:rFonts w:ascii="Arial" w:cs="Arial" w:eastAsia="Arial" w:hAnsi="Arial"/>
          <w:sz w:val="17"/>
          <w:szCs w:val="17"/>
          <w:color w:val="auto"/>
        </w:rPr>
        <w:t>Cost of revenue related to battery pack systems, supplies and related services for electric vehicles primarily consists of direct parts and materials, shipping and handling costs, headcount related costs, such as salaries and related personnel expenses, including share-based compensation, and estimated warranty expenses related to battery pack systems. Cost of revenue also includes allocated overhead costs including depreciation of manufacturing related equipment and facilities, amortization of capitalized internal-use software, facilities, and information technology costs.</w:t>
      </w:r>
    </w:p>
    <w:p>
      <w:pPr>
        <w:spacing w:after="0" w:line="110"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Once we have commenced commercial production of the Lucid Air, we expect to capitalize the cost to manufacture vehicles and expense these capitalized inventory costs when the vehicles are sold within cost of revenue. We have not capitalized any vehicle manufacturing costs to date.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Our operating expenses consist of research and development and selling, general and administrative expenses.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Our research and development efforts have primarily focused on the development of our battery and powertrain technology, the Lucid Air, Project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share-based compensation. Research and development expenses also include professional services fees, allocated facilities costs, such as office and rent expense and depreciation expense, and other engineering, designing, and testing expenses.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Selling, General, and Administrative</w:t>
      </w:r>
    </w:p>
    <w:p>
      <w:pPr>
        <w:spacing w:after="0" w:line="15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Selling, general, and administrative expenses consist primarily of personnel-related expenses for employees involved in general corporate, selling and marketing functions, including executive management and administration, legal, human resources, accounting, finance, tax, and information technology. Personnel-related expenses primarily include salaries, benefits and share-based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w:t>
      </w:r>
    </w:p>
    <w:p>
      <w:pPr>
        <w:spacing w:after="0" w:line="115"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 in Fair Value of Contingent Forward Contracts</w:t>
      </w:r>
    </w:p>
    <w:p>
      <w:pPr>
        <w:spacing w:after="0" w:line="144"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Our contingent forward contracts provided the holder the right to purchase Lucid Series D Preferred Shares and Lucid Series E Preferred Shares in future periods and were subject to remeasurement to fair value at each balance sheet date. Changes in the fair value of our contingent forward contracts were recognized in the consolidated statements of operations and comprehensive loss.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 in Fair Value of Convertible Preferred Share Warrant Liability</w:t>
      </w:r>
    </w:p>
    <w:p>
      <w:pPr>
        <w:spacing w:after="0" w:line="15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Our convertible preferred share warrant liability related to Lucid Series D Preferred Shares was subject to remeasurement to fair value at each balance sheet date. Changes in the fair value of our convertible preferred share warrant liability were recognized in the consolidated statements of operations and comprehensive loss. We do not expect to have continuing adjustments to the liability for changes in fair value as all of our issued and outstanding convertible preferred share warrants were exercised as of March 2021.</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Interest expense consists primarily of the interest incurred on our convertible notes, which were outstanding and converted in 2019, and on our capital leases. Interest income consists primarily of interest income earned on our cash and cash equivalents.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44"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Other income (expense) consists primarily of foreign currency gains and losses.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58" w:lineRule="exact"/>
        <w:rPr>
          <w:sz w:val="20"/>
          <w:szCs w:val="20"/>
          <w:color w:val="auto"/>
        </w:rPr>
      </w:pPr>
    </w:p>
    <w:p>
      <w:pPr>
        <w:jc w:val="both"/>
        <w:ind w:left="1260" w:right="499" w:firstLine="360"/>
        <w:spacing w:after="0" w:line="257" w:lineRule="auto"/>
        <w:rPr>
          <w:sz w:val="20"/>
          <w:szCs w:val="20"/>
          <w:color w:val="auto"/>
        </w:rPr>
      </w:pPr>
      <w:r>
        <w:rPr>
          <w:rFonts w:ascii="Arial" w:cs="Arial" w:eastAsia="Arial" w:hAnsi="Arial"/>
          <w:sz w:val="18"/>
          <w:szCs w:val="18"/>
          <w:color w:val="auto"/>
        </w:rPr>
        <w:t>Our provision for (benefit from) income taxes consists of an estimate for U.S. federal and state income taxes based on enacted rates, as adjusted for allowable credits, deductions, uncertain tax positions, changes in deferred tax assets and liabilities, and changes in the tax law. We maintain a valuation allowance against the full value of our U.S. and state net deferred tax assets because we believe it is more likely than not that the recoverability of these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Comparison of the Three Months and Six Months Ended June 30, 2021 and 2020</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tables set forth our results of operations for the periods presented (in thousands):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gridSpan w:val="11"/>
          </w:tcPr>
          <w:p>
            <w:pPr>
              <w:ind w:left="40"/>
              <w:spacing w:after="0"/>
              <w:rPr>
                <w:sz w:val="20"/>
                <w:szCs w:val="20"/>
                <w:color w:val="auto"/>
              </w:rPr>
            </w:pPr>
            <w:r>
              <w:rPr>
                <w:rFonts w:ascii="Arial" w:cs="Arial" w:eastAsia="Arial" w:hAnsi="Arial"/>
                <w:sz w:val="14"/>
                <w:szCs w:val="14"/>
                <w:b w:val="1"/>
                <w:bCs w:val="1"/>
                <w:color w:val="auto"/>
                <w:w w:val="92"/>
              </w:rPr>
              <w:t>Three Months Ended June 30,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8"/>
          </w:tcPr>
          <w:p>
            <w:pPr>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740" w:type="dxa"/>
            <w:vAlign w:val="bottom"/>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5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 change</w:t>
            </w:r>
          </w:p>
        </w:tc>
        <w:tc>
          <w:tcPr>
            <w:tcW w:w="7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8"/>
                <w:szCs w:val="18"/>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 change</w:t>
            </w: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26"/>
        </w:trPr>
        <w:tc>
          <w:tcPr>
            <w:tcW w:w="18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Revenue</w:t>
            </w:r>
          </w:p>
        </w:tc>
        <w:tc>
          <w:tcPr>
            <w:tcW w:w="2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174</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3"/>
            <w:shd w:val="clear" w:color="auto" w:fill="CCEEFF"/>
          </w:tcPr>
          <w:p>
            <w:pPr>
              <w:jc w:val="center"/>
              <w:ind w:right="320"/>
              <w:spacing w:after="0"/>
              <w:rPr>
                <w:sz w:val="20"/>
                <w:szCs w:val="20"/>
                <w:color w:val="auto"/>
              </w:rPr>
            </w:pPr>
            <w:r>
              <w:rPr>
                <w:rFonts w:ascii="Arial" w:cs="Arial" w:eastAsia="Arial" w:hAnsi="Arial"/>
                <w:sz w:val="14"/>
                <w:szCs w:val="14"/>
                <w:color w:val="auto"/>
                <w:w w:val="92"/>
              </w:rPr>
              <w:t>nm</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479</w:t>
            </w:r>
          </w:p>
        </w:tc>
        <w:tc>
          <w:tcPr>
            <w:tcW w:w="1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17"/>
        </w:trPr>
        <w:tc>
          <w:tcPr>
            <w:tcW w:w="1840" w:type="dxa"/>
            <w:vAlign w:val="bottom"/>
          </w:tcPr>
          <w:p>
            <w:pPr>
              <w:ind w:left="140"/>
              <w:spacing w:after="0"/>
              <w:rPr>
                <w:sz w:val="20"/>
                <w:szCs w:val="20"/>
                <w:color w:val="auto"/>
              </w:rPr>
            </w:pPr>
            <w:r>
              <w:rPr>
                <w:rFonts w:ascii="Arial" w:cs="Arial" w:eastAsia="Arial" w:hAnsi="Arial"/>
                <w:sz w:val="14"/>
                <w:szCs w:val="14"/>
                <w:color w:val="auto"/>
              </w:rPr>
              <w:t>Cost of revenue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78</w:t>
            </w:r>
          </w:p>
        </w:tc>
        <w:tc>
          <w:tcPr>
            <w:tcW w:w="200" w:type="dxa"/>
            <w:vAlign w:val="bottom"/>
          </w:tcPr>
          <w:p>
            <w:pPr>
              <w:spacing w:after="0"/>
              <w:rPr>
                <w:sz w:val="18"/>
                <w:szCs w:val="18"/>
                <w:color w:val="auto"/>
              </w:rPr>
            </w:pPr>
          </w:p>
        </w:tc>
        <w:tc>
          <w:tcPr>
            <w:tcW w:w="540" w:type="dxa"/>
            <w:vAlign w:val="bottom"/>
            <w:gridSpan w:val="3"/>
          </w:tcPr>
          <w:p>
            <w:pPr>
              <w:jc w:val="center"/>
              <w:ind w:right="320"/>
              <w:spacing w:after="0"/>
              <w:rPr>
                <w:sz w:val="20"/>
                <w:szCs w:val="20"/>
                <w:color w:val="auto"/>
              </w:rPr>
            </w:pPr>
            <w:r>
              <w:rPr>
                <w:rFonts w:ascii="Arial" w:cs="Arial" w:eastAsia="Arial" w:hAnsi="Arial"/>
                <w:sz w:val="14"/>
                <w:szCs w:val="14"/>
                <w:color w:val="auto"/>
                <w:w w:val="92"/>
              </w:rPr>
              <w:t>nm</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163</w:t>
            </w:r>
          </w:p>
        </w:tc>
        <w:tc>
          <w:tcPr>
            <w:tcW w:w="18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6"/>
        </w:trPr>
        <w:tc>
          <w:tcPr>
            <w:tcW w:w="18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Gross profit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w:t>
            </w: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96</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163%</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316</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Research and</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development</w:t>
            </w:r>
            <w:r>
              <w:rPr>
                <w:rFonts w:ascii="Arial" w:cs="Arial" w:eastAsia="Arial" w:hAnsi="Arial"/>
                <w:sz w:val="21"/>
                <w:szCs w:val="21"/>
                <w:color w:val="auto"/>
                <w:vertAlign w:val="superscript"/>
              </w:rPr>
              <w:t>(1)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8"/>
              </w:rPr>
              <w:t>176,802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97,940</w:t>
            </w:r>
          </w:p>
        </w:tc>
        <w:tc>
          <w:tcPr>
            <w:tcW w:w="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78,862</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81%</w:t>
            </w: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344,171</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207,699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136,472</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75"/>
        </w:trPr>
        <w:tc>
          <w:tcPr>
            <w:tcW w:w="1840" w:type="dxa"/>
            <w:vAlign w:val="bottom"/>
          </w:tcPr>
          <w:p>
            <w:pPr>
              <w:ind w:left="140"/>
              <w:spacing w:after="0"/>
              <w:rPr>
                <w:sz w:val="20"/>
                <w:szCs w:val="20"/>
                <w:color w:val="auto"/>
              </w:rPr>
            </w:pPr>
            <w:r>
              <w:rPr>
                <w:rFonts w:ascii="Arial" w:cs="Arial" w:eastAsia="Arial" w:hAnsi="Arial"/>
                <w:sz w:val="14"/>
                <w:szCs w:val="14"/>
                <w:color w:val="auto"/>
              </w:rPr>
              <w:t>Selling, general and</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80"/>
              <w:spacing w:after="0"/>
              <w:rPr>
                <w:sz w:val="20"/>
                <w:szCs w:val="20"/>
                <w:color w:val="auto"/>
              </w:rPr>
            </w:pPr>
            <w:r>
              <w:rPr>
                <w:rFonts w:ascii="Arial" w:cs="Arial" w:eastAsia="Arial" w:hAnsi="Arial"/>
                <w:sz w:val="14"/>
                <w:szCs w:val="14"/>
                <w:color w:val="auto"/>
              </w:rPr>
              <w:t>administrative</w:t>
            </w:r>
            <w:r>
              <w:rPr>
                <w:rFonts w:ascii="Arial" w:cs="Arial" w:eastAsia="Arial" w:hAnsi="Arial"/>
                <w:sz w:val="21"/>
                <w:szCs w:val="21"/>
                <w:color w:val="auto"/>
                <w:vertAlign w:val="superscript"/>
              </w:rPr>
              <w:t>(1)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72,272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15,539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56,733</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365%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203,924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29,784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174,140</w:t>
            </w:r>
          </w:p>
        </w:tc>
        <w:tc>
          <w:tcPr>
            <w:tcW w:w="580" w:type="dxa"/>
            <w:vAlign w:val="bottom"/>
            <w:gridSpan w:val="3"/>
          </w:tcPr>
          <w:p>
            <w:pPr>
              <w:jc w:val="right"/>
              <w:ind w:right="60"/>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0"/>
        </w:trPr>
        <w:tc>
          <w:tcPr>
            <w:tcW w:w="18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w w:val="97"/>
              </w:rPr>
              <w:t>Total operating expenses</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249,074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113,479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135,595</w:t>
            </w:r>
          </w:p>
        </w:tc>
        <w:tc>
          <w:tcPr>
            <w:tcW w:w="6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119%</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548,095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237,483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310,612</w:t>
            </w: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
        </w:trPr>
        <w:tc>
          <w:tcPr>
            <w:tcW w:w="18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40" w:type="dxa"/>
            <w:vAlign w:val="bottom"/>
          </w:tcPr>
          <w:p>
            <w:pPr>
              <w:spacing w:after="0"/>
              <w:rPr>
                <w:sz w:val="20"/>
                <w:szCs w:val="20"/>
                <w:color w:val="auto"/>
              </w:rPr>
            </w:pPr>
            <w:r>
              <w:rPr>
                <w:rFonts w:ascii="Arial" w:cs="Arial" w:eastAsia="Arial" w:hAnsi="Arial"/>
                <w:sz w:val="14"/>
                <w:szCs w:val="14"/>
                <w:color w:val="auto"/>
              </w:rPr>
              <w:t>Loss from operations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w w:val="90"/>
              </w:rPr>
              <w:t>(248,919)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(113,420)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(135,499)</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(547,712)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(237,416)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(310,296)</w:t>
            </w:r>
          </w:p>
        </w:tc>
        <w:tc>
          <w:tcPr>
            <w:tcW w:w="580" w:type="dxa"/>
            <w:vAlign w:val="bottom"/>
            <w:gridSpan w:val="3"/>
          </w:tcPr>
          <w:p>
            <w:pPr>
              <w:jc w:val="right"/>
              <w:ind w:right="60"/>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36"/>
        </w:trPr>
        <w:tc>
          <w:tcPr>
            <w:tcW w:w="1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4"/>
              </w:rPr>
              <w:t>Other income (expense), net: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840" w:type="dxa"/>
            <w:vAlign w:val="bottom"/>
          </w:tcPr>
          <w:p>
            <w:pPr>
              <w:ind w:left="140"/>
              <w:spacing w:after="0"/>
              <w:rPr>
                <w:sz w:val="20"/>
                <w:szCs w:val="20"/>
                <w:color w:val="auto"/>
              </w:rPr>
            </w:pPr>
            <w:r>
              <w:rPr>
                <w:rFonts w:ascii="Arial" w:cs="Arial" w:eastAsia="Arial" w:hAnsi="Arial"/>
                <w:sz w:val="14"/>
                <w:szCs w:val="14"/>
                <w:color w:val="auto"/>
              </w:rPr>
              <w:t>Change in fair value of</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40" w:type="dxa"/>
            <w:vAlign w:val="bottom"/>
          </w:tcPr>
          <w:p>
            <w:pPr>
              <w:ind w:left="280"/>
              <w:spacing w:after="0"/>
              <w:rPr>
                <w:sz w:val="20"/>
                <w:szCs w:val="20"/>
                <w:color w:val="auto"/>
              </w:rPr>
            </w:pPr>
            <w:r>
              <w:rPr>
                <w:rFonts w:ascii="Arial" w:cs="Arial" w:eastAsia="Arial" w:hAnsi="Arial"/>
                <w:sz w:val="14"/>
                <w:szCs w:val="14"/>
                <w:color w:val="auto"/>
              </w:rPr>
              <w:t>forward contracts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(12,382)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(3,203)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(9,179)</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287%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(454,546)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(8,719)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(445,827)</w:t>
            </w:r>
          </w:p>
        </w:tc>
        <w:tc>
          <w:tcPr>
            <w:tcW w:w="18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6"/>
        </w:trPr>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in fair value of</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share warrant liability</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w:t>
            </w:r>
          </w:p>
        </w:tc>
        <w:tc>
          <w:tcPr>
            <w:tcW w:w="2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right w:val="single" w:sz="8" w:color="CCEEFF"/>
            </w:tcBorders>
            <w:gridSpan w:val="3"/>
            <w:shd w:val="clear" w:color="auto" w:fill="CCEEFF"/>
          </w:tcPr>
          <w:p>
            <w:pPr>
              <w:jc w:val="center"/>
              <w:ind w:right="320"/>
              <w:spacing w:after="0"/>
              <w:rPr>
                <w:sz w:val="20"/>
                <w:szCs w:val="20"/>
                <w:color w:val="auto"/>
              </w:rPr>
            </w:pPr>
            <w:r>
              <w:rPr>
                <w:rFonts w:ascii="Arial" w:cs="Arial" w:eastAsia="Arial" w:hAnsi="Arial"/>
                <w:sz w:val="14"/>
                <w:szCs w:val="14"/>
                <w:color w:val="auto"/>
                <w:w w:val="92"/>
              </w:rPr>
              <w:t>nm</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(6,976)</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(6,862)</w:t>
            </w:r>
          </w:p>
        </w:tc>
        <w:tc>
          <w:tcPr>
            <w:tcW w:w="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23"/>
        </w:trPr>
        <w:tc>
          <w:tcPr>
            <w:tcW w:w="184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(29)</w:t>
            </w:r>
          </w:p>
        </w:tc>
        <w:tc>
          <w:tcPr>
            <w:tcW w:w="200" w:type="dxa"/>
            <w:vAlign w:val="bottom"/>
          </w:tcPr>
          <w:p>
            <w:pPr>
              <w:spacing w:after="0"/>
              <w:rPr>
                <w:sz w:val="19"/>
                <w:szCs w:val="19"/>
                <w:color w:val="auto"/>
              </w:rPr>
            </w:pPr>
          </w:p>
        </w:tc>
        <w:tc>
          <w:tcPr>
            <w:tcW w:w="540" w:type="dxa"/>
            <w:vAlign w:val="bottom"/>
            <w:gridSpan w:val="3"/>
          </w:tcPr>
          <w:p>
            <w:pPr>
              <w:jc w:val="center"/>
              <w:ind w:right="320"/>
              <w:spacing w:after="0"/>
              <w:rPr>
                <w:sz w:val="20"/>
                <w:szCs w:val="20"/>
                <w:color w:val="auto"/>
              </w:rPr>
            </w:pPr>
            <w:r>
              <w:rPr>
                <w:rFonts w:ascii="Arial" w:cs="Arial" w:eastAsia="Arial" w:hAnsi="Arial"/>
                <w:sz w:val="14"/>
                <w:szCs w:val="14"/>
                <w:color w:val="auto"/>
                <w:w w:val="92"/>
              </w:rPr>
              <w:t>nm</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(25)</w:t>
            </w:r>
          </w:p>
        </w:tc>
        <w:tc>
          <w:tcPr>
            <w:tcW w:w="580" w:type="dxa"/>
            <w:vAlign w:val="bottom"/>
            <w:gridSpan w:val="3"/>
          </w:tcPr>
          <w:p>
            <w:pPr>
              <w:jc w:val="right"/>
              <w:ind w:right="60"/>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29"/>
        </w:trPr>
        <w:tc>
          <w:tcPr>
            <w:tcW w:w="1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expense</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(632)</w:t>
            </w: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242</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(38)%</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309</w:t>
            </w: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18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840" w:type="dxa"/>
            <w:vAlign w:val="bottom"/>
          </w:tcPr>
          <w:p>
            <w:pPr>
              <w:ind w:left="280"/>
              <w:spacing w:after="0"/>
              <w:rPr>
                <w:sz w:val="20"/>
                <w:szCs w:val="20"/>
                <w:color w:val="auto"/>
              </w:rPr>
            </w:pPr>
            <w:r>
              <w:rPr>
                <w:rFonts w:ascii="Arial" w:cs="Arial" w:eastAsia="Arial" w:hAnsi="Arial"/>
                <w:sz w:val="14"/>
                <w:szCs w:val="14"/>
                <w:color w:val="auto"/>
              </w:rPr>
              <w:t>Total other expense, net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(12,802)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(3,893)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(8,909)</w:t>
            </w: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229%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(461,957)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(9,552)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(452,405)</w:t>
            </w:r>
          </w:p>
        </w:tc>
        <w:tc>
          <w:tcPr>
            <w:tcW w:w="1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5"/>
        </w:trPr>
        <w:tc>
          <w:tcPr>
            <w:tcW w:w="18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Loss before provision for</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9"/>
              </w:rPr>
              <w:t>(benefit from) income taxes</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0"/>
              </w:rPr>
              <w:t>(261,721)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0"/>
              </w:rPr>
              <w:t>(117,313)</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0"/>
              </w:rPr>
              <w:t>(144,408)</w:t>
            </w:r>
          </w:p>
        </w:tc>
        <w:tc>
          <w:tcPr>
            <w:tcW w:w="6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123%</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(1,009,669)</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(246,968)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0"/>
              </w:rPr>
              <w:t>(762,701)</w:t>
            </w: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11"/>
        </w:trPr>
        <w:tc>
          <w:tcPr>
            <w:tcW w:w="1840" w:type="dxa"/>
            <w:vAlign w:val="bottom"/>
          </w:tcPr>
          <w:p>
            <w:pPr>
              <w:spacing w:after="0"/>
              <w:rPr>
                <w:sz w:val="20"/>
                <w:szCs w:val="20"/>
                <w:color w:val="auto"/>
              </w:rPr>
            </w:pPr>
            <w:r>
              <w:rPr>
                <w:rFonts w:ascii="Arial" w:cs="Arial" w:eastAsia="Arial" w:hAnsi="Arial"/>
                <w:sz w:val="14"/>
                <w:szCs w:val="14"/>
                <w:color w:val="auto"/>
              </w:rPr>
              <w:t>Provision for (benefit from)</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18"/>
                <w:szCs w:val="18"/>
                <w:color w:val="auto"/>
              </w:rPr>
            </w:pPr>
          </w:p>
        </w:tc>
        <w:tc>
          <w:tcPr>
            <w:tcW w:w="540" w:type="dxa"/>
            <w:vAlign w:val="bottom"/>
            <w:gridSpan w:val="3"/>
            <w:vMerge w:val="restart"/>
          </w:tcPr>
          <w:p>
            <w:pPr>
              <w:jc w:val="center"/>
              <w:ind w:right="320"/>
              <w:spacing w:after="0"/>
              <w:rPr>
                <w:sz w:val="20"/>
                <w:szCs w:val="20"/>
                <w:color w:val="auto"/>
              </w:rPr>
            </w:pPr>
            <w:r>
              <w:rPr>
                <w:rFonts w:ascii="Arial" w:cs="Arial" w:eastAsia="Arial" w:hAnsi="Arial"/>
                <w:sz w:val="14"/>
                <w:szCs w:val="14"/>
                <w:color w:val="auto"/>
                <w:w w:val="92"/>
              </w:rPr>
              <w:t>nm</w:t>
            </w:r>
          </w:p>
        </w:tc>
        <w:tc>
          <w:tcPr>
            <w:tcW w:w="1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109</w:t>
            </w:r>
          </w:p>
        </w:tc>
        <w:tc>
          <w:tcPr>
            <w:tcW w:w="180" w:type="dxa"/>
            <w:vAlign w:val="bottom"/>
          </w:tcPr>
          <w:p>
            <w:pPr>
              <w:spacing w:after="0"/>
              <w:rPr>
                <w:sz w:val="18"/>
                <w:szCs w:val="18"/>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2"/>
        </w:trPr>
        <w:tc>
          <w:tcPr>
            <w:tcW w:w="1840" w:type="dxa"/>
            <w:vAlign w:val="bottom"/>
          </w:tcPr>
          <w:p>
            <w:pPr>
              <w:ind w:left="140"/>
              <w:spacing w:after="0"/>
              <w:rPr>
                <w:sz w:val="20"/>
                <w:szCs w:val="20"/>
                <w:color w:val="auto"/>
              </w:rPr>
            </w:pPr>
            <w:r>
              <w:rPr>
                <w:rFonts w:ascii="Arial" w:cs="Arial" w:eastAsia="Arial" w:hAnsi="Arial"/>
                <w:sz w:val="14"/>
                <w:szCs w:val="14"/>
                <w:color w:val="auto"/>
              </w:rPr>
              <w:t>income taxes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8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Net loss and comprehensive</w:t>
            </w:r>
          </w:p>
        </w:tc>
        <w:tc>
          <w:tcPr>
            <w:tcW w:w="28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w w:val="90"/>
              </w:rPr>
              <w:t>(261,726)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w w:val="90"/>
              </w:rPr>
              <w:t>(117,285)</w:t>
            </w: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w w:val="90"/>
              </w:rPr>
              <w:t>(144,441)</w:t>
            </w:r>
          </w:p>
        </w:tc>
        <w:tc>
          <w:tcPr>
            <w:tcW w:w="6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123%</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(1,009,678)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w w:val="93"/>
              </w:rPr>
              <w:t>(246,868)</w:t>
            </w:r>
          </w:p>
        </w:tc>
        <w:tc>
          <w:tcPr>
            <w:tcW w:w="8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w w:val="90"/>
              </w:rPr>
              <w:t>(762,810)</w:t>
            </w:r>
          </w:p>
        </w:tc>
        <w:tc>
          <w:tcPr>
            <w:tcW w:w="5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08"/>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280" w:type="dxa"/>
            <w:vAlign w:val="bottom"/>
            <w:gridSpan w:val="4"/>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600" w:type="dxa"/>
            <w:vAlign w:val="bottom"/>
            <w:gridSpan w:val="3"/>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5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8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5892165</wp:posOffset>
            </wp:positionH>
            <wp:positionV relativeFrom="paragraph">
              <wp:posOffset>-367665</wp:posOffset>
            </wp:positionV>
            <wp:extent cx="1200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-367665</wp:posOffset>
            </wp:positionV>
            <wp:extent cx="1714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-367665</wp:posOffset>
            </wp:positionV>
            <wp:extent cx="1028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-367665</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-367665</wp:posOffset>
            </wp:positionV>
            <wp:extent cx="2146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-367665</wp:posOffset>
            </wp:positionV>
            <wp:extent cx="1714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-367665</wp:posOffset>
            </wp:positionV>
            <wp:extent cx="137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-367665</wp:posOffset>
            </wp:positionV>
            <wp:extent cx="18942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94205" cy="8255"/>
                    </a:xfrm>
                    <a:prstGeom prst="rect">
                      <a:avLst/>
                    </a:prstGeom>
                    <a:noFill/>
                  </pic:spPr>
                </pic:pic>
              </a:graphicData>
            </a:graphic>
          </wp:anchor>
        </w:drawing>
        <w:drawing>
          <wp:anchor simplePos="0" relativeHeight="251657728" behindDoc="1" locked="0" layoutInCell="0" allowOverlap="1">
            <wp:simplePos x="0" y="0"/>
            <wp:positionH relativeFrom="column">
              <wp:posOffset>5892165</wp:posOffset>
            </wp:positionH>
            <wp:positionV relativeFrom="paragraph">
              <wp:posOffset>-899795</wp:posOffset>
            </wp:positionV>
            <wp:extent cx="1200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-899795</wp:posOffset>
            </wp:positionV>
            <wp:extent cx="1714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-899795</wp:posOffset>
            </wp:positionV>
            <wp:extent cx="1028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-899795</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-899795</wp:posOffset>
            </wp:positionV>
            <wp:extent cx="2146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-899795</wp:posOffset>
            </wp:positionV>
            <wp:extent cx="1714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-899795</wp:posOffset>
            </wp:positionV>
            <wp:extent cx="137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-899795</wp:posOffset>
            </wp:positionV>
            <wp:extent cx="189420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94205" cy="8890"/>
                    </a:xfrm>
                    <a:prstGeom prst="rect">
                      <a:avLst/>
                    </a:prstGeom>
                    <a:noFill/>
                  </pic:spPr>
                </pic:pic>
              </a:graphicData>
            </a:graphic>
          </wp:anchor>
        </w:drawing>
        <w:drawing>
          <wp:anchor simplePos="0" relativeHeight="251657728" behindDoc="1" locked="0" layoutInCell="0" allowOverlap="1">
            <wp:simplePos x="0" y="0"/>
            <wp:positionH relativeFrom="column">
              <wp:posOffset>5892165</wp:posOffset>
            </wp:positionH>
            <wp:positionV relativeFrom="paragraph">
              <wp:posOffset>-2451100</wp:posOffset>
            </wp:positionV>
            <wp:extent cx="1200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-2451100</wp:posOffset>
            </wp:positionV>
            <wp:extent cx="1714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-2451100</wp:posOffset>
            </wp:positionV>
            <wp:extent cx="1028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-2451100</wp:posOffset>
            </wp:positionV>
            <wp:extent cx="137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-2451100</wp:posOffset>
            </wp:positionV>
            <wp:extent cx="2146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-2451100</wp:posOffset>
            </wp:positionV>
            <wp:extent cx="1714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-2451100</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-2451100</wp:posOffset>
            </wp:positionV>
            <wp:extent cx="18942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94205" cy="8255"/>
                    </a:xfrm>
                    <a:prstGeom prst="rect">
                      <a:avLst/>
                    </a:prstGeom>
                    <a:noFill/>
                  </pic:spPr>
                </pic:pic>
              </a:graphicData>
            </a:graphic>
          </wp:anchor>
        </w:drawing>
        <w:drawing>
          <wp:anchor simplePos="0" relativeHeight="251657728" behindDoc="1" locked="0" layoutInCell="0" allowOverlap="1">
            <wp:simplePos x="0" y="0"/>
            <wp:positionH relativeFrom="column">
              <wp:posOffset>5892165</wp:posOffset>
            </wp:positionH>
            <wp:positionV relativeFrom="paragraph">
              <wp:posOffset>-3282315</wp:posOffset>
            </wp:positionV>
            <wp:extent cx="1200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-3282315</wp:posOffset>
            </wp:positionV>
            <wp:extent cx="1714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-3282315</wp:posOffset>
            </wp:positionV>
            <wp:extent cx="1028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-3282315</wp:posOffset>
            </wp:positionV>
            <wp:extent cx="137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-3282315</wp:posOffset>
            </wp:positionV>
            <wp:extent cx="2146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-3282315</wp:posOffset>
            </wp:positionV>
            <wp:extent cx="17145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-3282315</wp:posOffset>
            </wp:positionV>
            <wp:extent cx="137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-3282315</wp:posOffset>
            </wp:positionV>
            <wp:extent cx="189420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894205" cy="8890"/>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-3590925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-3590925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-3590925</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-3590925</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-3590925</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-3590925</wp:posOffset>
            </wp:positionV>
            <wp:extent cx="431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-3590925</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-3590925</wp:posOffset>
            </wp:positionV>
            <wp:extent cx="12001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nm — non-meaningful</w:t>
      </w:r>
    </w:p>
    <w:p>
      <w:pPr>
        <w:spacing w:after="0" w:line="10" w:lineRule="exact"/>
        <w:rPr>
          <w:sz w:val="20"/>
          <w:szCs w:val="20"/>
          <w:color w:val="auto"/>
        </w:rPr>
      </w:pPr>
    </w:p>
    <w:p>
      <w:pPr>
        <w:ind w:left="1620" w:hanging="360"/>
        <w:spacing w:after="0"/>
        <w:tabs>
          <w:tab w:leader="none" w:pos="1620" w:val="left"/>
        </w:tabs>
        <w:numPr>
          <w:ilvl w:val="0"/>
          <w:numId w:val="49"/>
        </w:numPr>
        <w:rPr>
          <w:rFonts w:ascii="Arial" w:cs="Arial" w:eastAsia="Arial" w:hAnsi="Arial"/>
          <w:sz w:val="27"/>
          <w:szCs w:val="27"/>
          <w:color w:val="auto"/>
          <w:vertAlign w:val="superscript"/>
        </w:rPr>
      </w:pPr>
      <w:r>
        <w:rPr>
          <w:rFonts w:ascii="Arial" w:cs="Arial" w:eastAsia="Arial" w:hAnsi="Arial"/>
          <w:sz w:val="18"/>
          <w:szCs w:val="18"/>
          <w:color w:val="auto"/>
        </w:rPr>
        <w:t>Includes share-based compensation expense as follows (in thousands):</w:t>
      </w:r>
    </w:p>
    <w:p>
      <w:pPr>
        <w:spacing w:after="0" w:line="16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8"/>
          </w:tcPr>
          <w:p>
            <w:pPr>
              <w:spacing w:after="0"/>
              <w:rPr>
                <w:sz w:val="20"/>
                <w:szCs w:val="20"/>
                <w:color w:val="auto"/>
              </w:rPr>
            </w:pPr>
            <w:r>
              <w:rPr>
                <w:rFonts w:ascii="Arial" w:cs="Arial" w:eastAsia="Arial" w:hAnsi="Arial"/>
                <w:sz w:val="14"/>
                <w:szCs w:val="14"/>
                <w:b w:val="1"/>
                <w:bCs w:val="1"/>
                <w:color w:val="auto"/>
                <w:w w:val="92"/>
              </w:rPr>
              <w:t>Three Months Ended June 30,</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8"/>
          </w:tcPr>
          <w:p>
            <w:pPr>
              <w:spacing w:after="0"/>
              <w:rPr>
                <w:sz w:val="20"/>
                <w:szCs w:val="20"/>
                <w:color w:val="auto"/>
              </w:rPr>
            </w:pPr>
            <w:r>
              <w:rPr>
                <w:rFonts w:ascii="Arial" w:cs="Arial" w:eastAsia="Arial" w:hAnsi="Arial"/>
                <w:sz w:val="14"/>
                <w:szCs w:val="14"/>
                <w:b w:val="1"/>
                <w:bCs w:val="1"/>
                <w:color w:val="auto"/>
                <w:w w:val="93"/>
              </w:rPr>
              <w:t>Six Months Ended June 30,</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4"/>
          </w:tcPr>
          <w:p>
            <w:pPr>
              <w:spacing w:after="0"/>
              <w:rPr>
                <w:sz w:val="2"/>
                <w:szCs w:val="2"/>
                <w:color w:val="auto"/>
              </w:rPr>
            </w:pPr>
          </w:p>
        </w:tc>
        <w:tc>
          <w:tcPr>
            <w:tcW w:w="680" w:type="dxa"/>
            <w:vAlign w:val="bottom"/>
            <w:gridSpan w:val="4"/>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4"/>
          </w:tcPr>
          <w:p>
            <w:pPr>
              <w:spacing w:after="0"/>
              <w:rPr>
                <w:sz w:val="2"/>
                <w:szCs w:val="2"/>
                <w:color w:val="auto"/>
              </w:rPr>
            </w:pPr>
          </w:p>
        </w:tc>
        <w:tc>
          <w:tcPr>
            <w:tcW w:w="6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 change</w:t>
            </w:r>
          </w:p>
        </w:tc>
        <w:tc>
          <w:tcPr>
            <w:tcW w:w="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 change</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 change</w:t>
            </w: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5"/>
        </w:trPr>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3"/>
              </w:rPr>
              <w:t>13,539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552</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8"/>
              </w:rPr>
              <w:t>12,987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center"/>
              <w:ind w:right="280"/>
              <w:spacing w:after="0"/>
              <w:rPr>
                <w:sz w:val="20"/>
                <w:szCs w:val="20"/>
                <w:color w:val="auto"/>
              </w:rPr>
            </w:pPr>
            <w:r>
              <w:rPr>
                <w:rFonts w:ascii="Arial" w:cs="Arial" w:eastAsia="Arial" w:hAnsi="Arial"/>
                <w:sz w:val="14"/>
                <w:szCs w:val="14"/>
                <w:color w:val="auto"/>
                <w:w w:val="92"/>
              </w:rPr>
              <w:t>nm</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26,703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1,393</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25,310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nm</w:t>
            </w:r>
          </w:p>
        </w:tc>
        <w:tc>
          <w:tcPr>
            <w:tcW w:w="0" w:type="dxa"/>
            <w:vAlign w:val="bottom"/>
          </w:tcPr>
          <w:p>
            <w:pPr>
              <w:spacing w:after="0"/>
              <w:rPr>
                <w:sz w:val="1"/>
                <w:szCs w:val="1"/>
                <w:color w:val="auto"/>
              </w:rPr>
            </w:pPr>
          </w:p>
        </w:tc>
      </w:tr>
      <w:tr>
        <w:trPr>
          <w:trHeight w:val="197"/>
        </w:trPr>
        <w:tc>
          <w:tcPr>
            <w:tcW w:w="2060" w:type="dxa"/>
            <w:vAlign w:val="bottom"/>
            <w:gridSpan w:val="2"/>
          </w:tcPr>
          <w:p>
            <w:pPr>
              <w:jc w:val="right"/>
              <w:ind w:right="860"/>
              <w:spacing w:after="0"/>
              <w:rPr>
                <w:sz w:val="20"/>
                <w:szCs w:val="20"/>
                <w:color w:val="auto"/>
              </w:rPr>
            </w:pPr>
            <w:r>
              <w:rPr>
                <w:rFonts w:ascii="Arial" w:cs="Arial" w:eastAsia="Arial" w:hAnsi="Arial"/>
                <w:sz w:val="14"/>
                <w:szCs w:val="14"/>
                <w:color w:val="auto"/>
                <w:w w:val="95"/>
              </w:rPr>
              <w:t>Selling, general and</w:t>
            </w:r>
          </w:p>
        </w:tc>
        <w:tc>
          <w:tcPr>
            <w:tcW w:w="880" w:type="dxa"/>
            <w:vAlign w:val="bottom"/>
            <w:gridSpan w:val="3"/>
            <w:vMerge w:val="restart"/>
          </w:tcPr>
          <w:p>
            <w:pPr>
              <w:jc w:val="center"/>
              <w:spacing w:after="0"/>
              <w:rPr>
                <w:sz w:val="20"/>
                <w:szCs w:val="20"/>
                <w:color w:val="auto"/>
              </w:rPr>
            </w:pPr>
            <w:r>
              <w:rPr>
                <w:rFonts w:ascii="Arial" w:cs="Arial" w:eastAsia="Arial" w:hAnsi="Arial"/>
                <w:sz w:val="14"/>
                <w:szCs w:val="14"/>
                <w:color w:val="auto"/>
                <w:w w:val="93"/>
              </w:rPr>
              <w:t>10,910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458</w:t>
            </w:r>
          </w:p>
        </w:tc>
        <w:tc>
          <w:tcPr>
            <w:tcW w:w="80" w:type="dxa"/>
            <w:vAlign w:val="bottom"/>
          </w:tcPr>
          <w:p>
            <w:pPr>
              <w:spacing w:after="0"/>
              <w:rPr>
                <w:sz w:val="17"/>
                <w:szCs w:val="17"/>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4"/>
                <w:szCs w:val="14"/>
                <w:color w:val="auto"/>
                <w:w w:val="88"/>
              </w:rPr>
              <w:t>10,452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vMerge w:val="restart"/>
          </w:tcPr>
          <w:p>
            <w:pPr>
              <w:jc w:val="center"/>
              <w:ind w:right="280"/>
              <w:spacing w:after="0"/>
              <w:rPr>
                <w:sz w:val="20"/>
                <w:szCs w:val="20"/>
                <w:color w:val="auto"/>
              </w:rPr>
            </w:pPr>
            <w:r>
              <w:rPr>
                <w:rFonts w:ascii="Arial" w:cs="Arial" w:eastAsia="Arial" w:hAnsi="Arial"/>
                <w:sz w:val="14"/>
                <w:szCs w:val="14"/>
                <w:color w:val="auto"/>
                <w:w w:val="92"/>
              </w:rPr>
              <w:t>nm</w:t>
            </w:r>
          </w:p>
        </w:tc>
        <w:tc>
          <w:tcPr>
            <w:tcW w:w="86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102,541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588</w:t>
            </w:r>
          </w:p>
        </w:tc>
        <w:tc>
          <w:tcPr>
            <w:tcW w:w="80" w:type="dxa"/>
            <w:vAlign w:val="bottom"/>
          </w:tcPr>
          <w:p>
            <w:pPr>
              <w:spacing w:after="0"/>
              <w:rPr>
                <w:sz w:val="17"/>
                <w:szCs w:val="17"/>
                <w:color w:val="auto"/>
              </w:rPr>
            </w:pPr>
          </w:p>
        </w:tc>
        <w:tc>
          <w:tcPr>
            <w:tcW w:w="56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w w:val="98"/>
              </w:rPr>
              <w:t>101,953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2"/>
              </w:rPr>
              <w:t>nm</w:t>
            </w:r>
          </w:p>
        </w:tc>
        <w:tc>
          <w:tcPr>
            <w:tcW w:w="0" w:type="dxa"/>
            <w:vAlign w:val="bottom"/>
          </w:tcPr>
          <w:p>
            <w:pPr>
              <w:spacing w:after="0"/>
              <w:rPr>
                <w:sz w:val="1"/>
                <w:szCs w:val="1"/>
                <w:color w:val="auto"/>
              </w:rPr>
            </w:pPr>
          </w:p>
        </w:tc>
      </w:tr>
      <w:tr>
        <w:trPr>
          <w:trHeight w:val="182"/>
        </w:trPr>
        <w:tc>
          <w:tcPr>
            <w:tcW w:w="2060" w:type="dxa"/>
            <w:vAlign w:val="bottom"/>
            <w:gridSpan w:val="2"/>
          </w:tcPr>
          <w:p>
            <w:pPr>
              <w:ind w:left="140"/>
              <w:spacing w:after="0"/>
              <w:rPr>
                <w:sz w:val="20"/>
                <w:szCs w:val="20"/>
                <w:color w:val="auto"/>
              </w:rPr>
            </w:pPr>
            <w:r>
              <w:rPr>
                <w:rFonts w:ascii="Arial" w:cs="Arial" w:eastAsia="Arial" w:hAnsi="Arial"/>
                <w:sz w:val="14"/>
                <w:szCs w:val="14"/>
                <w:color w:val="auto"/>
              </w:rPr>
              <w:t>administrative</w:t>
            </w:r>
          </w:p>
        </w:tc>
        <w:tc>
          <w:tcPr>
            <w:tcW w:w="8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060" w:type="dxa"/>
            <w:vAlign w:val="bottom"/>
            <w:gridSpan w:val="2"/>
            <w:shd w:val="clear" w:color="auto" w:fill="CCEEFF"/>
          </w:tcPr>
          <w:p>
            <w:pPr>
              <w:jc w:val="right"/>
              <w:ind w:right="860"/>
              <w:spacing w:after="0"/>
              <w:rPr>
                <w:sz w:val="20"/>
                <w:szCs w:val="20"/>
                <w:color w:val="auto"/>
              </w:rPr>
            </w:pPr>
            <w:r>
              <w:rPr>
                <w:rFonts w:ascii="Arial" w:cs="Arial" w:eastAsia="Arial" w:hAnsi="Arial"/>
                <w:sz w:val="14"/>
                <w:szCs w:val="14"/>
                <w:color w:val="auto"/>
              </w:rPr>
              <w:t>Total share-based</w:t>
            </w: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compensation expense</w:t>
            </w:r>
          </w:p>
        </w:tc>
        <w:tc>
          <w:tcPr>
            <w:tcW w:w="8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w w:val="93"/>
              </w:rPr>
              <w:t>24,449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1"/>
              </w:rPr>
              <w:t>1,010</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4"/>
                <w:szCs w:val="14"/>
                <w:color w:val="auto"/>
                <w:w w:val="88"/>
              </w:rPr>
              <w:t>23,439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4"/>
                <w:szCs w:val="14"/>
                <w:color w:val="auto"/>
                <w:w w:val="92"/>
              </w:rPr>
              <w:t>nm</w:t>
            </w: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129,244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1,981</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8"/>
              </w:rPr>
              <w:t>127,263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nm</w:t>
            </w:r>
          </w:p>
        </w:tc>
        <w:tc>
          <w:tcPr>
            <w:tcW w:w="0" w:type="dxa"/>
            <w:vAlign w:val="bottom"/>
          </w:tcPr>
          <w:p>
            <w:pPr>
              <w:spacing w:after="0"/>
              <w:rPr>
                <w:sz w:val="1"/>
                <w:szCs w:val="1"/>
                <w:color w:val="auto"/>
              </w:rPr>
            </w:pPr>
          </w:p>
        </w:tc>
      </w:tr>
      <w:tr>
        <w:trPr>
          <w:trHeight w:val="243"/>
        </w:trPr>
        <w:tc>
          <w:tcPr>
            <w:tcW w:w="1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5866130</wp:posOffset>
            </wp:positionH>
            <wp:positionV relativeFrom="paragraph">
              <wp:posOffset>-427990</wp:posOffset>
            </wp:positionV>
            <wp:extent cx="1454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-427990</wp:posOffset>
            </wp:positionV>
            <wp:extent cx="1885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-427990</wp:posOffset>
            </wp:positionV>
            <wp:extent cx="1885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-427990</wp:posOffset>
            </wp:positionV>
            <wp:extent cx="2914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-427990</wp:posOffset>
            </wp:positionV>
            <wp:extent cx="34290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-831215</wp:posOffset>
            </wp:positionV>
            <wp:extent cx="514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-831215</wp:posOffset>
            </wp:positionV>
            <wp:extent cx="51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-831215</wp:posOffset>
            </wp:positionV>
            <wp:extent cx="51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-831215</wp:posOffset>
            </wp:positionV>
            <wp:extent cx="51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-831215</wp:posOffset>
            </wp:positionV>
            <wp:extent cx="514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-831215</wp:posOffset>
            </wp:positionV>
            <wp:extent cx="51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-831215</wp:posOffset>
            </wp:positionV>
            <wp:extent cx="514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-831215</wp:posOffset>
            </wp:positionV>
            <wp:extent cx="13030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nm — non-meaningful</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left="1260" w:right="919" w:firstLine="360"/>
        <w:spacing w:after="0" w:line="342" w:lineRule="auto"/>
        <w:rPr>
          <w:sz w:val="20"/>
          <w:szCs w:val="20"/>
          <w:color w:val="auto"/>
        </w:rPr>
      </w:pPr>
      <w:r>
        <w:rPr>
          <w:rFonts w:ascii="Arial" w:cs="Arial" w:eastAsia="Arial" w:hAnsi="Arial"/>
          <w:sz w:val="16"/>
          <w:szCs w:val="16"/>
          <w:color w:val="auto"/>
        </w:rPr>
        <w:t>Revenue increased by $0.2 million, or over 100%, for the three months ended June 30, 2021. The increase is attributable to an increase in sales of our battery pack systems and supplies for vehicles.</w:t>
      </w:r>
    </w:p>
    <w:p>
      <w:pPr>
        <w:spacing w:after="0" w:line="56" w:lineRule="exact"/>
        <w:rPr>
          <w:sz w:val="20"/>
          <w:szCs w:val="20"/>
          <w:color w:val="auto"/>
        </w:rPr>
      </w:pPr>
    </w:p>
    <w:p>
      <w:pPr>
        <w:jc w:val="both"/>
        <w:ind w:left="1260" w:right="1079" w:firstLine="360"/>
        <w:spacing w:after="0" w:line="308" w:lineRule="auto"/>
        <w:rPr>
          <w:sz w:val="20"/>
          <w:szCs w:val="20"/>
          <w:color w:val="auto"/>
        </w:rPr>
      </w:pPr>
      <w:r>
        <w:rPr>
          <w:rFonts w:ascii="Arial" w:cs="Arial" w:eastAsia="Arial" w:hAnsi="Arial"/>
          <w:sz w:val="17"/>
          <w:szCs w:val="17"/>
          <w:color w:val="auto"/>
        </w:rPr>
        <w:t>Revenue increased by $0.5 million, or over 100%, for the six months ended June 30, 2021. The increase is attributable to an increase in sales of our battery pack systems and supplies for vehicles.</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44"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Cost of revenue and gross profit did not significantly fluctuate during the three months ended June 30, 2021 as compared to the same period prior year. Gross margin was over 100% for the three months ended June 30, 2021, and there was no revenue in the same period prior year.</w:t>
      </w:r>
    </w:p>
    <w:p>
      <w:pPr>
        <w:spacing w:after="0" w:line="114"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Cost of revenue increased by $0.2 million, or over 100%, for the six months ended June 30, 2021 as compared to the same period prior year. The increase was due to the increase of sales of our battery pack systems and supplies for vehicles. Gross profit increased by $0.3 million, or over 100%, primarily due to an increase in revenue partially offset by an increase in cost of revenue. Gross margin increased by 100% primarily due to an increase in cost of revenue for the six months ended June 30, 2021 compared to the same period prior year.</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7"/>
          <w:szCs w:val="17"/>
          <w:color w:val="auto"/>
        </w:rPr>
        <w:t>Research and development expense increased by $78.9 million, or 81%, for the three months ended June 30, 2021 as compared to the same period prior year. The increase was primarily attributable to increases in personnel- related expenses of $36.1 million due to growth in headcount and share-based compensation expense of $13.0 million recognized in relation to the fourth closing of the Lucid Series E Preferred Shares issuance. Additionally, we incurred increases in office and rent expense of $12.4 million primarily related to additional facilities needed to scale our business, increases in professional service fees of $9.6 million, and increase in materials and supplies expenses of $5.6 million.</w:t>
      </w:r>
    </w:p>
    <w:p>
      <w:pPr>
        <w:spacing w:after="0" w:line="99" w:lineRule="exact"/>
        <w:rPr>
          <w:sz w:val="20"/>
          <w:szCs w:val="20"/>
          <w:color w:val="auto"/>
        </w:rPr>
      </w:pPr>
    </w:p>
    <w:p>
      <w:pPr>
        <w:ind w:left="1260" w:right="639" w:firstLine="360"/>
        <w:spacing w:after="0" w:line="254" w:lineRule="auto"/>
        <w:rPr>
          <w:sz w:val="20"/>
          <w:szCs w:val="20"/>
          <w:color w:val="auto"/>
        </w:rPr>
      </w:pPr>
      <w:r>
        <w:rPr>
          <w:rFonts w:ascii="Arial" w:cs="Arial" w:eastAsia="Arial" w:hAnsi="Arial"/>
          <w:sz w:val="17"/>
          <w:szCs w:val="17"/>
          <w:color w:val="auto"/>
        </w:rPr>
        <w:t>Research and development expense increased by $136.5 million, or 66%, for the six months ended June 30, 2021 as compared to the same period prior year. The increase was primarily attributable to increases in personnel- related expenses of $68.8 million due to growth in headcount and share-based compensation expense of $24.9 million recognized in relation to the fourth closing of the Lucid Series E Preferred Shares issuance. Additionally, we incurred increases in office and rent expense of $34.9 million primarily related to additional facilities needed to scale our business and increases in professional service fees of $18.8 million. These increases were offset by a decrease in materials and supplies expenses of $15.5 million as we continued to transition from product development into commercialization.</w:t>
      </w:r>
    </w:p>
    <w:p>
      <w:pPr>
        <w:spacing w:after="0" w:line="11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Selling, general, and administrative expense increased by $56.7 million, or over 100%, for the three months ended June 30, 2021 as compared to the same period prior year. The increase was primarily attributable to increases in personnel-related expenses of $22.8 million due to growth in headcount and other compensation related charges, and share-based compensation expense of $10.5 million recognized in relation to the fourth closing of the Lucid Series E Preferred Shares issuance as we grew our sales force and expanded general and administrative functions needed to scale our business. Additionally, we incurred increases in other allocated overhead costs of $ 11.6 million primarily related to additional facilities to support the growing operations of our business and increases in professional service fees of $9.7 million.</w:t>
      </w:r>
    </w:p>
    <w:p>
      <w:pPr>
        <w:spacing w:after="0" w:line="11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Selling, general, and administrative expense increased by $ 174.1 million, or over 100%, for the sixmonths ended June 30, 2021 as compared to the same period prior year. The increase was primarily attributable to increases in personnel-related expenses of $32.5 million due to growth in headcount and other compensation related charges, and share-based compensation expense of $102.4 million recognized in relation to the fourth closing of the Lucid Series E Preferred Shares issuance as we grew our sales force and expanded general and administrative functions needed to scale our business. Additionally, we incurred increases in other allocated overhead costs of $ 22.0 million primarily related to additional facilities to support the growing operations of our business and increases in professional service fees of $13.1 million.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 in Fair Value of Contingent Forward Contracts</w:t>
      </w:r>
    </w:p>
    <w:p>
      <w:pPr>
        <w:spacing w:after="0" w:line="144"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Change in contingent forward contracts liability increased by $9.2 million, or over 100%, for the three months ended June 30, 2021 compared to the same period prior year primarily due to the change in fair value of the Series E contingent forward contracts.</w:t>
      </w:r>
    </w:p>
    <w:p>
      <w:pPr>
        <w:spacing w:after="0" w:line="114"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Change in contingent forward contracts liability increased by $445.8 million, or over 100%, for the six months ended June 30, 2021 compared to the same period prior year primarily due to the change in fair value of the Series E contingent forward contracts.</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 in Fair Value of Convertible Preferred Share Warrant Liability</w:t>
      </w:r>
    </w:p>
    <w:p>
      <w:pPr>
        <w:spacing w:after="0" w:line="144"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We recorded loss of $7.0 million for the six months ended June 30, 2021 due to the changes in fair value of the convertible preferred share warrant liability related to Lucid Series D Preferred Shares upon the exercise and settlement of all outstanding warrants to purchase Lucid Series D Preferred Shares.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Interest expense did not significantly fluctuate during the three and six months ended June 30, 2021 compared to the same period prior year.</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expense</w:t>
      </w:r>
    </w:p>
    <w:p>
      <w:pPr>
        <w:spacing w:after="0" w:line="158" w:lineRule="exact"/>
        <w:rPr>
          <w:sz w:val="20"/>
          <w:szCs w:val="20"/>
          <w:color w:val="auto"/>
        </w:rPr>
      </w:pPr>
    </w:p>
    <w:p>
      <w:pPr>
        <w:ind w:left="1260" w:right="859" w:firstLine="360"/>
        <w:spacing w:after="0" w:line="261" w:lineRule="auto"/>
        <w:rPr>
          <w:sz w:val="20"/>
          <w:szCs w:val="20"/>
          <w:color w:val="auto"/>
        </w:rPr>
      </w:pPr>
      <w:r>
        <w:rPr>
          <w:rFonts w:ascii="Arial" w:cs="Arial" w:eastAsia="Arial" w:hAnsi="Arial"/>
          <w:sz w:val="18"/>
          <w:szCs w:val="18"/>
          <w:color w:val="auto"/>
        </w:rPr>
        <w:t>Other expense did not significantly fluctuate during the three and six months ended June 30, 2021 compared to the same period prior year.</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44"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The provision for (benefit from) income taxes did not significantly fluctuate during the three and six months ended June 30, 2021 compared to the same period prior year.</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Comparison of the Fiscal Years Ended December 31, 2021 and 2020</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tables set forth our results of operations for the periods presented (in thousands):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8"/>
          </w:tcPr>
          <w:p>
            <w:pPr>
              <w:spacing w:after="0"/>
              <w:rPr>
                <w:sz w:val="20"/>
                <w:szCs w:val="20"/>
                <w:color w:val="auto"/>
              </w:rPr>
            </w:pPr>
            <w:r>
              <w:rPr>
                <w:rFonts w:ascii="Arial" w:cs="Arial" w:eastAsia="Arial" w:hAnsi="Arial"/>
                <w:sz w:val="14"/>
                <w:szCs w:val="14"/>
                <w:b w:val="1"/>
                <w:bCs w:val="1"/>
                <w:color w:val="auto"/>
                <w:w w:val="97"/>
              </w:rPr>
              <w:t>Fiscal Year Ended December 31,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19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60" w:type="dxa"/>
            <w:vAlign w:val="bottom"/>
            <w:gridSpan w:val="4"/>
          </w:tcPr>
          <w:p>
            <w:pPr>
              <w:spacing w:after="0"/>
              <w:rPr>
                <w:sz w:val="2"/>
                <w:szCs w:val="2"/>
                <w:color w:val="auto"/>
              </w:rPr>
            </w:pPr>
          </w:p>
        </w:tc>
      </w:tr>
      <w:tr>
        <w:trPr>
          <w:trHeight w:val="197"/>
        </w:trPr>
        <w:tc>
          <w:tcPr>
            <w:tcW w:w="19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2"/>
              </w:rPr>
              <w:t>$ change</w:t>
            </w:r>
          </w:p>
        </w:tc>
        <w:tc>
          <w:tcPr>
            <w:tcW w:w="6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5"/>
              </w:rPr>
              <w:t>% change</w:t>
            </w:r>
          </w:p>
        </w:tc>
      </w:tr>
      <w:tr>
        <w:trPr>
          <w:trHeight w:val="26"/>
        </w:trPr>
        <w:tc>
          <w:tcPr>
            <w:tcW w:w="19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Revenue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3,976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4,590</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(614)</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284"/>
        </w:trPr>
        <w:tc>
          <w:tcPr>
            <w:tcW w:w="4260" w:type="dxa"/>
            <w:vAlign w:val="bottom"/>
            <w:gridSpan w:val="2"/>
          </w:tcPr>
          <w:p>
            <w:pPr>
              <w:ind w:left="180"/>
              <w:spacing w:after="0" w:line="283" w:lineRule="exact"/>
              <w:rPr>
                <w:sz w:val="20"/>
                <w:szCs w:val="20"/>
                <w:color w:val="auto"/>
              </w:rPr>
            </w:pPr>
            <w:r>
              <w:rPr>
                <w:rFonts w:ascii="Arial" w:cs="Arial" w:eastAsia="Arial" w:hAnsi="Arial"/>
                <w:sz w:val="18"/>
                <w:szCs w:val="18"/>
                <w:color w:val="auto"/>
              </w:rPr>
              <w:t>Cost of revenue</w:t>
            </w:r>
            <w:r>
              <w:rPr>
                <w:rFonts w:ascii="Arial" w:cs="Arial" w:eastAsia="Arial" w:hAnsi="Arial"/>
                <w:sz w:val="26"/>
                <w:szCs w:val="26"/>
                <w:color w:val="auto"/>
                <w:vertAlign w:val="superscript"/>
              </w:rPr>
              <w:t>(1)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3,070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3,926</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(856)</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9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1"/>
                <w:szCs w:val="21"/>
                <w:color w:val="auto"/>
              </w:rPr>
            </w:pPr>
          </w:p>
        </w:tc>
      </w:tr>
      <w:tr>
        <w:trPr>
          <w:trHeight w:val="256"/>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42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6"/>
                <w:szCs w:val="26"/>
                <w:color w:val="auto"/>
                <w:vertAlign w:val="superscript"/>
              </w:rPr>
              <w:t>(1)</w:t>
            </w:r>
          </w:p>
        </w:tc>
        <w:tc>
          <w:tcPr>
            <w:tcW w:w="2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511,110</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220,223</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290,887</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3"/>
                <w:szCs w:val="23"/>
                <w:color w:val="auto"/>
              </w:rPr>
            </w:pPr>
          </w:p>
        </w:tc>
      </w:tr>
      <w:tr>
        <w:trPr>
          <w:trHeight w:val="284"/>
        </w:trPr>
        <w:tc>
          <w:tcPr>
            <w:tcW w:w="4260" w:type="dxa"/>
            <w:vAlign w:val="bottom"/>
            <w:gridSpan w:val="2"/>
          </w:tcPr>
          <w:p>
            <w:pPr>
              <w:ind w:left="180"/>
              <w:spacing w:after="0" w:line="283"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6"/>
                <w:szCs w:val="26"/>
                <w:color w:val="auto"/>
                <w:vertAlign w:val="superscript"/>
              </w:rPr>
              <w:t>(1)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89,023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38,375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50,648</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132%</w:t>
            </w:r>
          </w:p>
        </w:tc>
      </w:tr>
      <w:tr>
        <w:trPr>
          <w:trHeight w:val="20"/>
        </w:trPr>
        <w:tc>
          <w:tcPr>
            <w:tcW w:w="19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600,133</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258,598</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341,535</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2"/>
                <w:szCs w:val="22"/>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(599,227)</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(257,934)</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(341,293)</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132%</w:t>
            </w:r>
          </w:p>
        </w:tc>
      </w:tr>
      <w:tr>
        <w:trPr>
          <w:trHeight w:val="25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r>
      <w:tr>
        <w:trPr>
          <w:trHeight w:val="257"/>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forward contracts</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(118,382)</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(15,053)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(103,329)</w:t>
            </w:r>
          </w:p>
        </w:tc>
        <w:tc>
          <w:tcPr>
            <w:tcW w:w="120" w:type="dxa"/>
            <w:vAlign w:val="bottom"/>
          </w:tcPr>
          <w:p>
            <w:pPr>
              <w:spacing w:after="0"/>
              <w:rPr>
                <w:sz w:val="22"/>
                <w:szCs w:val="22"/>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nm</w:t>
            </w:r>
          </w:p>
        </w:tc>
      </w:tr>
      <w:tr>
        <w:trPr>
          <w:trHeight w:val="229"/>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convertible preferred share</w:t>
            </w: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21"/>
                <w:szCs w:val="21"/>
                <w:color w:val="auto"/>
              </w:rPr>
            </w:pPr>
          </w:p>
        </w:tc>
      </w:tr>
      <w:tr>
        <w:trPr>
          <w:trHeight w:val="256"/>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(8,547)</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8,483</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(99)%</w:t>
            </w:r>
          </w:p>
        </w:tc>
      </w:tr>
      <w:tr>
        <w:trPr>
          <w:trHeight w:val="263"/>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4,606</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(5,296)</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19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Total other expense, net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(120,341)</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(19,400)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(100,941)</w:t>
            </w:r>
          </w:p>
        </w:tc>
        <w:tc>
          <w:tcPr>
            <w:tcW w:w="120" w:type="dxa"/>
            <w:vAlign w:val="bottom"/>
          </w:tcPr>
          <w:p>
            <w:pPr>
              <w:spacing w:after="0"/>
              <w:rPr>
                <w:sz w:val="22"/>
                <w:szCs w:val="22"/>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nm</w:t>
            </w:r>
          </w:p>
        </w:tc>
      </w:tr>
      <w:tr>
        <w:trPr>
          <w:trHeight w:val="20"/>
        </w:trPr>
        <w:tc>
          <w:tcPr>
            <w:tcW w:w="19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provision for (benefit from) income taxes</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(719,568)</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(277,334)</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(442,234)</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2"/>
                <w:szCs w:val="22"/>
                <w:color w:val="auto"/>
              </w:rPr>
            </w:pPr>
          </w:p>
        </w:tc>
      </w:tr>
      <w:tr>
        <w:trPr>
          <w:trHeight w:val="263"/>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2"/>
                <w:szCs w:val="22"/>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nm</w:t>
            </w:r>
          </w:p>
        </w:tc>
      </w:tr>
      <w:tr>
        <w:trPr>
          <w:trHeight w:val="20"/>
        </w:trPr>
        <w:tc>
          <w:tcPr>
            <w:tcW w:w="19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(719,380)</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(277,357)</w:t>
            </w:r>
          </w:p>
        </w:tc>
        <w:tc>
          <w:tcPr>
            <w:tcW w:w="240" w:type="dxa"/>
            <w:vAlign w:val="bottom"/>
            <w:tcBorders>
              <w:right w:val="single" w:sz="8" w:color="CCEEFF"/>
            </w:tcBorders>
            <w:shd w:val="clear" w:color="auto" w:fill="CCEEFF"/>
          </w:tcPr>
          <w:p>
            <w:pPr>
              <w:spacing w:after="0"/>
              <w:rPr>
                <w:sz w:val="24"/>
                <w:szCs w:val="24"/>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$(442,023)</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4"/>
                <w:szCs w:val="24"/>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2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-985520</wp:posOffset>
            </wp:positionV>
            <wp:extent cx="521208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-290830</wp:posOffset>
            </wp:positionV>
            <wp:extent cx="85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-290830</wp:posOffset>
            </wp:positionV>
            <wp:extent cx="22288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-290830</wp:posOffset>
            </wp:positionV>
            <wp:extent cx="1885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3566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-633730</wp:posOffset>
            </wp:positionV>
            <wp:extent cx="857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-633730</wp:posOffset>
            </wp:positionV>
            <wp:extent cx="2228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-633730</wp:posOffset>
            </wp:positionV>
            <wp:extent cx="1885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-633730</wp:posOffset>
            </wp:positionV>
            <wp:extent cx="3566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-2125345</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-2125345</wp:posOffset>
            </wp:positionV>
            <wp:extent cx="22288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-2125345</wp:posOffset>
            </wp:positionV>
            <wp:extent cx="1885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-2125345</wp:posOffset>
            </wp:positionV>
            <wp:extent cx="3566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-2811145</wp:posOffset>
            </wp:positionV>
            <wp:extent cx="857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-2811145</wp:posOffset>
            </wp:positionV>
            <wp:extent cx="22288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-2811145</wp:posOffset>
            </wp:positionV>
            <wp:extent cx="1885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-2811145</wp:posOffset>
            </wp:positionV>
            <wp:extent cx="3566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-3162300</wp:posOffset>
            </wp:positionV>
            <wp:extent cx="5212080"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0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nm — non-meaningful</w:t>
      </w:r>
    </w:p>
    <w:p>
      <w:pPr>
        <w:ind w:left="1620" w:hanging="360"/>
        <w:spacing w:after="0" w:line="226" w:lineRule="auto"/>
        <w:tabs>
          <w:tab w:leader="none" w:pos="162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Includes share-based compensation expense as follows (in thousands):</w:t>
      </w:r>
    </w:p>
    <w:p>
      <w:pPr>
        <w:spacing w:after="0" w:line="15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140" w:type="dxa"/>
            <w:vAlign w:val="bottom"/>
            <w:gridSpan w:val="4"/>
          </w:tcPr>
          <w:p>
            <w:pPr>
              <w:spacing w:after="0"/>
              <w:rPr>
                <w:sz w:val="20"/>
                <w:szCs w:val="20"/>
                <w:color w:val="auto"/>
              </w:rPr>
            </w:pPr>
            <w:r>
              <w:rPr>
                <w:rFonts w:ascii="Arial" w:cs="Arial" w:eastAsia="Arial" w:hAnsi="Arial"/>
                <w:sz w:val="14"/>
                <w:szCs w:val="14"/>
                <w:b w:val="1"/>
                <w:bCs w:val="1"/>
                <w:color w:val="auto"/>
                <w:w w:val="98"/>
              </w:rPr>
              <w:t>Fiscal Year Ended December 31,</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4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r>
      <w:tr>
        <w:trPr>
          <w:trHeight w:val="198"/>
        </w:trPr>
        <w:tc>
          <w:tcPr>
            <w:tcW w:w="4700" w:type="dxa"/>
            <w:vAlign w:val="bottom"/>
          </w:tcPr>
          <w:p>
            <w:pPr>
              <w:spacing w:after="0"/>
              <w:rPr>
                <w:sz w:val="17"/>
                <w:szCs w:val="17"/>
                <w:color w:val="auto"/>
              </w:rPr>
            </w:pPr>
          </w:p>
        </w:tc>
        <w:tc>
          <w:tcPr>
            <w:tcW w:w="840" w:type="dxa"/>
            <w:vAlign w:val="bottom"/>
          </w:tcPr>
          <w:p>
            <w:pPr>
              <w:jc w:val="right"/>
              <w:ind w:right="20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 change</w:t>
            </w:r>
          </w:p>
        </w:tc>
      </w:tr>
      <w:tr>
        <w:trPr>
          <w:trHeight w:val="25"/>
        </w:trPr>
        <w:tc>
          <w:tcPr>
            <w:tcW w:w="4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84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$ 213</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$ 443</w:t>
            </w: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(230)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-179070</wp:posOffset>
            </wp:positionV>
            <wp:extent cx="137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-179070</wp:posOffset>
            </wp:positionV>
            <wp:extent cx="137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-179070</wp:posOffset>
            </wp:positionV>
            <wp:extent cx="365188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89"/>
              </w:rPr>
              <w:t>Fiscal Year Ended</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0"/>
              </w:rPr>
              <w:t>December 31,</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660" w:type="dxa"/>
            <w:vAlign w:val="bottom"/>
            <w:gridSpan w:val="4"/>
          </w:tcPr>
          <w:p>
            <w:pPr>
              <w:spacing w:after="0"/>
              <w:rPr>
                <w:sz w:val="2"/>
                <w:szCs w:val="2"/>
                <w:color w:val="auto"/>
              </w:rPr>
            </w:pPr>
          </w:p>
        </w:tc>
      </w:tr>
      <w:tr>
        <w:trPr>
          <w:trHeight w:val="197"/>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 change</w:t>
            </w:r>
          </w:p>
        </w:tc>
        <w:tc>
          <w:tcPr>
            <w:tcW w:w="66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 change</w:t>
            </w:r>
          </w:p>
        </w:tc>
      </w:tr>
      <w:tr>
        <w:trPr>
          <w:trHeight w:val="26"/>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3,724</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4,770</w:t>
            </w:r>
          </w:p>
        </w:tc>
        <w:tc>
          <w:tcPr>
            <w:tcW w:w="2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(1,046)</w:t>
            </w:r>
          </w:p>
        </w:tc>
        <w:tc>
          <w:tcPr>
            <w:tcW w:w="660" w:type="dxa"/>
            <w:vAlign w:val="bottom"/>
            <w:gridSpan w:val="4"/>
          </w:tcPr>
          <w:p>
            <w:pPr>
              <w:ind w:left="200"/>
              <w:spacing w:after="0"/>
              <w:rPr>
                <w:sz w:val="20"/>
                <w:szCs w:val="20"/>
                <w:color w:val="auto"/>
              </w:rPr>
            </w:pPr>
            <w:r>
              <w:rPr>
                <w:rFonts w:ascii="Arial" w:cs="Arial" w:eastAsia="Arial" w:hAnsi="Arial"/>
                <w:sz w:val="18"/>
                <w:szCs w:val="18"/>
                <w:color w:val="auto"/>
                <w:w w:val="91"/>
              </w:rPr>
              <w:t>(22)%</w:t>
            </w:r>
          </w:p>
        </w:tc>
      </w:tr>
      <w:tr>
        <w:trPr>
          <w:trHeight w:val="26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2,506</w:t>
            </w:r>
          </w:p>
        </w:tc>
        <w:tc>
          <w:tcPr>
            <w:tcW w:w="2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(1,829)</w:t>
            </w:r>
          </w:p>
        </w:tc>
        <w:tc>
          <w:tcPr>
            <w:tcW w:w="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87"/>
              </w:rPr>
              <w:t>(73)%</w:t>
            </w:r>
          </w:p>
        </w:tc>
        <w:tc>
          <w:tcPr>
            <w:tcW w:w="20" w:type="dxa"/>
            <w:vAlign w:val="bottom"/>
          </w:tcPr>
          <w:p>
            <w:pPr>
              <w:spacing w:after="0"/>
              <w:rPr>
                <w:sz w:val="22"/>
                <w:szCs w:val="22"/>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Total share-based compensation expense</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4,614</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7,719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(3,105)</w:t>
            </w:r>
          </w:p>
        </w:tc>
        <w:tc>
          <w:tcPr>
            <w:tcW w:w="660" w:type="dxa"/>
            <w:vAlign w:val="bottom"/>
            <w:gridSpan w:val="4"/>
          </w:tcPr>
          <w:p>
            <w:pPr>
              <w:ind w:left="200"/>
              <w:spacing w:after="0"/>
              <w:rPr>
                <w:sz w:val="20"/>
                <w:szCs w:val="20"/>
                <w:color w:val="auto"/>
              </w:rPr>
            </w:pPr>
            <w:r>
              <w:rPr>
                <w:rFonts w:ascii="Arial" w:cs="Arial" w:eastAsia="Arial" w:hAnsi="Arial"/>
                <w:sz w:val="18"/>
                <w:szCs w:val="18"/>
                <w:color w:val="auto"/>
                <w:w w:val="91"/>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5463540</wp:posOffset>
            </wp:positionH>
            <wp:positionV relativeFrom="paragraph">
              <wp:posOffset>-676910</wp:posOffset>
            </wp:positionV>
            <wp:extent cx="137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-676910</wp:posOffset>
            </wp:positionV>
            <wp:extent cx="137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-676910</wp:posOffset>
            </wp:positionV>
            <wp:extent cx="36347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6347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nm — non-meaningful</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Revenue decreased by $0.6 million, or (13)%, for 2020 compared to 2019 attributable to a decrease in sales of our battery pack systems and supplies for vehicles.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58" w:lineRule="exact"/>
        <w:rPr>
          <w:sz w:val="20"/>
          <w:szCs w:val="20"/>
          <w:color w:val="auto"/>
        </w:rPr>
      </w:pPr>
    </w:p>
    <w:p>
      <w:pPr>
        <w:jc w:val="both"/>
        <w:ind w:left="1260" w:right="619" w:firstLine="360"/>
        <w:spacing w:after="0" w:line="255" w:lineRule="auto"/>
        <w:rPr>
          <w:sz w:val="20"/>
          <w:szCs w:val="20"/>
          <w:color w:val="auto"/>
        </w:rPr>
      </w:pPr>
      <w:r>
        <w:rPr>
          <w:rFonts w:ascii="Arial" w:cs="Arial" w:eastAsia="Arial" w:hAnsi="Arial"/>
          <w:sz w:val="17"/>
          <w:szCs w:val="17"/>
          <w:color w:val="auto"/>
        </w:rPr>
        <w:t>Cost of revenue decreased by $0.9 million, or (22)%, for 2020 compared to 2019 primarily due to the reduction of sales of our battery pack systems and supplies for vehicles of $0.6 million and a reduction of our share-based compensation expense of $0.2 million. Gross profit and gross margin increased by</w:t>
      </w:r>
    </w:p>
    <w:p>
      <w:pPr>
        <w:ind w:left="1260" w:right="639"/>
        <w:spacing w:after="0" w:line="243" w:lineRule="auto"/>
        <w:rPr>
          <w:sz w:val="20"/>
          <w:szCs w:val="20"/>
          <w:color w:val="auto"/>
        </w:rPr>
      </w:pPr>
      <w:r>
        <w:rPr>
          <w:rFonts w:ascii="Arial" w:cs="Arial" w:eastAsia="Arial" w:hAnsi="Arial"/>
          <w:sz w:val="18"/>
          <w:szCs w:val="18"/>
          <w:color w:val="auto"/>
        </w:rPr>
        <w:t>$0.2 million, or 36%, and 8 percentage points, respectively, for 2020 compared to 2019 primarily due to a decrease in share-based compensation.</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Research and development expense increased by $290.9 million, or 132%, for 2020 compared to 2019. The increase was primarily attributable to increases in materials and supplies expense of $163.5 million, personnel-related expenses of $68.4 million due to growth in headcount, professional services fees of $31.9 million, allocated facilities costs of $23.1 million, and other engineering, designing, and testing expenses of $4.1 million. The increase in the allocated facilities costs was primarily due to our overall corporate growth and was attributable to increases in our allocated office and rent expense of $15.8 million, depreciation expense of $3.8 million, and other allocated overhead costs of $3.5 million.</w:t>
      </w:r>
    </w:p>
    <w:p>
      <w:pPr>
        <w:spacing w:after="0" w:line="99"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Selling, general, and administrative expense increased by $50.6 million, or 132%, for 2020 compared to 2019. The increase was primarily attributable to increases in personnel-related expenses of $28.6 million due to growth in headcount, allocated facilities costs of $12.5 million, professional services fees of</w:t>
      </w:r>
    </w:p>
    <w:p>
      <w:pPr>
        <w:ind w:left="1260" w:right="559"/>
        <w:spacing w:after="0" w:line="238" w:lineRule="auto"/>
        <w:rPr>
          <w:sz w:val="20"/>
          <w:szCs w:val="20"/>
          <w:color w:val="auto"/>
        </w:rPr>
      </w:pPr>
      <w:r>
        <w:rPr>
          <w:rFonts w:ascii="Arial" w:cs="Arial" w:eastAsia="Arial" w:hAnsi="Arial"/>
          <w:sz w:val="18"/>
          <w:szCs w:val="18"/>
          <w:color w:val="auto"/>
        </w:rPr>
        <w:t>$5.4 million, and other general corporate expenses of $4.1 million. The increase in the allocated facilities costs was primarily due to our overall corporate growth and was attributable to increases in our allocated office and rent expense of $7.8 million, depreciation expense of $2.4 million, and other allocated overhead costs of $2.3 million.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 in Fair Value of Contingent Forward Contracts</w:t>
      </w:r>
    </w:p>
    <w:p>
      <w:pPr>
        <w:spacing w:after="0" w:line="158"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We settled all of our then existing contingent forward contracts related to Lucid Series D Preferred Shares and Lucid Series E Preferred Shares in 2020. We recorded losses of $118.4 million in 2020 due to the changes in fair value of the contingent forward contracts upon the final settlement.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 in Fair Value of Convertible Preferred Share Warrant Liability</w:t>
      </w:r>
    </w:p>
    <w:p>
      <w:pPr>
        <w:spacing w:after="0" w:line="158" w:lineRule="exact"/>
        <w:rPr>
          <w:sz w:val="20"/>
          <w:szCs w:val="20"/>
          <w:color w:val="auto"/>
        </w:rPr>
      </w:pPr>
    </w:p>
    <w:p>
      <w:pPr>
        <w:jc w:val="both"/>
        <w:ind w:left="1260" w:right="459" w:firstLine="360"/>
        <w:spacing w:after="0" w:line="248" w:lineRule="auto"/>
        <w:rPr>
          <w:sz w:val="20"/>
          <w:szCs w:val="20"/>
          <w:color w:val="auto"/>
        </w:rPr>
      </w:pPr>
      <w:r>
        <w:rPr>
          <w:rFonts w:ascii="Arial" w:cs="Arial" w:eastAsia="Arial" w:hAnsi="Arial"/>
          <w:sz w:val="18"/>
          <w:szCs w:val="18"/>
          <w:color w:val="auto"/>
        </w:rPr>
        <w:t>We recorded losses of $1.2 million in 2020 due to the changes in fair value of the convertible preferred share warrant liability related to an increase in the fair value related to the outstanding convertible preferred share warrants.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Interest expense decreased by $ 8.5 million, or (99)%, for 2020 compared to 2019 primarily attributable to the conversion of our convertible notes related to Lucid Series D Preferred Shares into shares in April 2019.</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44"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Other income (expense), net decreased by $5.3 million, or (115)%, for 2020 compared to 2019 primarily attributable to foreign currency losses on transactions denominated in currencies other than the U.S. dollar, predominately the Euro, the Japanese Yen and the Korean Won.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58"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Provision (benefit) for income taxes was immaterial for the year ended December 31, 2020 and 2019. We have accumulated net operating losses at the federal and state level as we have not yet started the commercialization of our electric vehicles. We maintain a full valuation allowance against our net deferred tax assets. The income tax benefits shown above are primarily related to sales of our battery pack systems, supplies and related services for vehicles.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58"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Since inception, we have financed our operations primarily from the issuances of shares and convertible notes. As of June 30, 2021, we had $592.2 million of cash and cash equivalents, restricted cash and short-term investments.</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connection with the Transactions, we raised $4.6 billion of gross proceeds including the contribution of $2.1 billion of proceeds from cash held in Churchill’s trust account from the Churchill IPO, net of redemption of Churchill’s Class A common stock held by Churchill’s public stockholders of $0.2 million, and $2.5 billion of proceeds from the PIPE Investment. We estimate the direct and incremental transaction costs in connection with the Transactions incurred prior to, or concurrent with the Closing by Churchill, including the PIPE Investment and the deferred underwriting fees related to the Churchill IPO, and Lucid to be $175.0 million. We intend to use the net proceeds for future capacity expansion, general corporate purposes and to meet our working capital needs.</w:t>
      </w:r>
    </w:p>
    <w:p>
      <w:pPr>
        <w:spacing w:after="0" w:line="124"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As an early stage growth company in the pre-commercialization stage of development, we have incurred substantial net losses since inception. We expect to continue to incur net losses in accordance with our operating plan as we continue to expand our research and development activities to complete the development of vehicles, establish our consumer base and scale our operations to meet anticipated demand. We anticipate our cumulative spend on capital expenditures of at least $6.0 billion over the next four years to support our commercialization and growth as we continue our phased construction of our AMP-1, LPM-1 and international manufacturing facilities, purchase infrastructure for our vehicle production and launch our retail Studios to support our direct-to-consumer model. As of December 31, 2020, our non-cancellable commitments, as disclosed in “— Contractual Obligations and Commitments,” do not include any commitments related to these capital expenditures as we do not have any commitments related to these capital expenditures that we cannot cancel without a significant penalty. In addition to our capital expenditures, we expect our operating expenses to increase as we hire a commercial sales and service team and continue to invest in research and development. We expect these investments to be a key driver of our long-term growth and competitiveness, but will negatively impact our free cash flow. We have based these estimates on assumptions that may prove to be wrong, and we could utilize our available capital resources sooner than we currently anticipate. We believe that our cash on hand following the consummation of the Transactions, including the proceeds from the PIPE Investment, will be sufficient to meet our capital expenditure and working capital requirements for a period of at least twelve months from the date of this prospectus. We expect to require additional capital to finance our operations, which may include seeking additional capital through equity offerings or debt financings. The amount and timing of our future funding and our commercialization requirements, if any, will depend on many factors, including the pace and results of our research and development efforts and our commercialization efforts. We may be unable to obtain any such additional financing on reasonable terms or at all. 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prospects, financial condition and operating results.</w:t>
      </w:r>
    </w:p>
    <w:p>
      <w:pPr>
        <w:sectPr>
          <w:pgSz w:w="11900" w:h="16838" w:orient="portrait"/>
          <w:cols w:equalWidth="0" w:num="1">
            <w:col w:w="9879"/>
          </w:cols>
          <w:pgMar w:left="580" w:top="131"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firstLine="360"/>
        <w:spacing w:after="0"/>
        <w:rPr>
          <w:sz w:val="20"/>
          <w:szCs w:val="20"/>
          <w:color w:val="auto"/>
        </w:rPr>
      </w:pPr>
      <w:r>
        <w:rPr>
          <w:rFonts w:ascii="Arial" w:cs="Arial" w:eastAsia="Arial" w:hAnsi="Arial"/>
          <w:sz w:val="18"/>
          <w:szCs w:val="18"/>
          <w:color w:val="auto"/>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this prospectus in the sections entitled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w:t>
      </w:r>
      <w:r>
        <w:rPr>
          <w:rFonts w:ascii="Arial" w:cs="Arial" w:eastAsia="Arial" w:hAnsi="Arial"/>
          <w:sz w:val="18"/>
          <w:szCs w:val="18"/>
          <w:i w:val="1"/>
          <w:iCs w:val="1"/>
          <w:color w:val="auto"/>
        </w:rPr>
        <w:t>“Cautionary Note Regarding</w:t>
      </w:r>
      <w:r>
        <w:rPr>
          <w:rFonts w:ascii="Arial" w:cs="Arial" w:eastAsia="Arial" w:hAnsi="Arial"/>
          <w:sz w:val="18"/>
          <w:szCs w:val="18"/>
          <w:color w:val="auto"/>
        </w:rPr>
        <w:t xml:space="preserve"> </w:t>
      </w:r>
      <w:r>
        <w:rPr>
          <w:rFonts w:ascii="Arial" w:cs="Arial" w:eastAsia="Arial" w:hAnsi="Arial"/>
          <w:sz w:val="18"/>
          <w:szCs w:val="18"/>
          <w:i w:val="1"/>
          <w:iCs w:val="1"/>
          <w:color w:val="auto"/>
        </w:rPr>
        <w:t>Forward-Looking Statements.”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Historical Cash Flows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8"/>
              </w:rPr>
              <w:t>Six Months Ended</w:t>
            </w:r>
          </w:p>
        </w:tc>
        <w:tc>
          <w:tcPr>
            <w:tcW w:w="100" w:type="dxa"/>
            <w:vAlign w:val="bottom"/>
          </w:tcPr>
          <w:p>
            <w:pPr>
              <w:spacing w:after="0"/>
              <w:rPr>
                <w:sz w:val="14"/>
                <w:szCs w:val="14"/>
                <w:color w:val="auto"/>
              </w:rPr>
            </w:pPr>
          </w:p>
        </w:tc>
        <w:tc>
          <w:tcPr>
            <w:tcW w:w="17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Fiscal Years Ended</w:t>
            </w:r>
          </w:p>
        </w:tc>
      </w:tr>
      <w:tr>
        <w:trPr>
          <w:trHeight w:val="186"/>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6"/>
                <w:szCs w:val="16"/>
                <w:color w:val="auto"/>
              </w:rPr>
            </w:pPr>
          </w:p>
        </w:tc>
        <w:tc>
          <w:tcPr>
            <w:tcW w:w="17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4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5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9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6"/>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(453,804)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(208,242)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(570,196)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$(235,299)</w:t>
            </w:r>
          </w:p>
        </w:tc>
        <w:tc>
          <w:tcPr>
            <w:tcW w:w="60" w:type="dxa"/>
            <w:vAlign w:val="bottom"/>
          </w:tcPr>
          <w:p>
            <w:pPr>
              <w:spacing w:after="0"/>
              <w:rPr>
                <w:sz w:val="21"/>
                <w:szCs w:val="21"/>
                <w:color w:val="auto"/>
              </w:rPr>
            </w:pPr>
          </w:p>
        </w:tc>
      </w:tr>
      <w:tr>
        <w:trPr>
          <w:trHeight w:val="257"/>
        </w:trPr>
        <w:tc>
          <w:tcPr>
            <w:tcW w:w="44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0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(206,514)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(251,090)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(459,582)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(104,290)</w:t>
            </w:r>
          </w:p>
        </w:tc>
      </w:tr>
      <w:tr>
        <w:trPr>
          <w:trHeight w:val="263"/>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612,105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400,233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1,290,545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621,432</w:t>
            </w:r>
          </w:p>
        </w:tc>
        <w:tc>
          <w:tcPr>
            <w:tcW w:w="60" w:type="dxa"/>
            <w:vAlign w:val="bottom"/>
          </w:tcPr>
          <w:p>
            <w:pPr>
              <w:spacing w:after="0"/>
              <w:rPr>
                <w:sz w:val="22"/>
                <w:szCs w:val="22"/>
                <w:color w:val="auto"/>
              </w:rPr>
            </w:pPr>
          </w:p>
        </w:tc>
      </w:tr>
      <w:tr>
        <w:trPr>
          <w:trHeight w:val="229"/>
        </w:trPr>
        <w:tc>
          <w:tcPr>
            <w:tcW w:w="4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increase (decrease) in cash, cash equivalents, and</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(48,213)</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(59,099)</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260,767</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$ 281,843</w:t>
            </w:r>
          </w:p>
        </w:tc>
        <w:tc>
          <w:tcPr>
            <w:tcW w:w="6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-831215</wp:posOffset>
            </wp:positionV>
            <wp:extent cx="1371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-831215</wp:posOffset>
            </wp:positionV>
            <wp:extent cx="1371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-831215</wp:posOffset>
            </wp:positionV>
            <wp:extent cx="344614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58" w:lineRule="exact"/>
        <w:rPr>
          <w:sz w:val="20"/>
          <w:szCs w:val="20"/>
          <w:color w:val="auto"/>
        </w:rPr>
      </w:pPr>
    </w:p>
    <w:p>
      <w:pPr>
        <w:ind w:left="1260" w:right="599" w:firstLine="360"/>
        <w:spacing w:after="0" w:line="262" w:lineRule="auto"/>
        <w:rPr>
          <w:sz w:val="20"/>
          <w:szCs w:val="20"/>
          <w:color w:val="auto"/>
        </w:rPr>
      </w:pPr>
      <w:r>
        <w:rPr>
          <w:rFonts w:ascii="Arial" w:cs="Arial" w:eastAsia="Arial" w:hAnsi="Arial"/>
          <w:sz w:val="17"/>
          <w:szCs w:val="17"/>
          <w:color w:val="auto"/>
        </w:rPr>
        <w:t>Our cash flows used in operating activities to date have been primarily comprised of costs related to research and development, payroll and other general and administrative activities. As we continue to ramp up hiring ahead of starting commercial operations, we expect our cash used in operating activities to increase significantly before it starts to generate any material cash flows from our business.</w:t>
      </w:r>
    </w:p>
    <w:p>
      <w:pPr>
        <w:spacing w:after="0" w:line="105"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Net cash used in operating activities of $453.8 million for the six months ended June 30, 2021 primarily consisted of $1.0 billion of net loss, adjusted for $618.8 million of non-cash charges and a decrease in net operating assets and liabilities of $62.9 million. The non-cash charges primarily included the fair value of contingent forward contracts and warrant liabilities of $461.5 million, convertible preferred share related expense of $129.2 million, non-cash operating lease cost of $ 13.5 million, and depreciation and amortization, including amortization of insurance premium and losses on disposals of property and equipment of $14.5 million. The decrease in net operating assets of $44.9 million is primarily due to $27.2 million increase in purchase of inventory and $11.2 million increase in prepaid expenses. The decrease in operating liabilities of $18.1 million is primarily due to $11.0 million decrease in financed insurance premium, $4.5 million decrease in other current liabilities and accrued liabilities, $11.9 million decrease in accounts payable, $7.7 million decrease in operating lease liability, partially offset by $8.0 million increase in accrued compensation.</w:t>
      </w:r>
    </w:p>
    <w:p>
      <w:pPr>
        <w:spacing w:after="0" w:line="112"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Net cash used in operating activities of $208.2 million for the six months ended June 30, 2020 primarily consisted of $246.9 million of net loss, adjusted for $ 14.2 million of non-cash charges and an increase in net operating assets and liabilities of $24.4 million. The non- cash charges primarily included the fair value of contingent forward contracts and warrant liabilities of $8.8 million, depreciation and amortization, including loss on disposal of property and equipment, of $3.4 million, and changes in share-based compensation of $2.0 million. The increase in net operating assets and liabilities primarily related to increases in operating liabilities of $22.1 million and increases in operating assets of $2.2 million.</w:t>
      </w:r>
    </w:p>
    <w:p>
      <w:pPr>
        <w:spacing w:after="0" w:line="112"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Net cash used in operating activities of $570.2 million for the year ended December 31, 2020 primarily consisted of $719.4 million of net losses, adjusted for $134.6 million of non-cash charges and a decrease in net operating assets and liabilities of $14.6 million. The non -cash charges primarily included the changes in share-based compensation of $4.6 million, depreciation and amortization, including losses on disposals of property and equipment, of $10.4 million, and the fair value of contingent forward contracts and warrant liabilities of $119.6 million. The decrease in net operating assets and liabilities primarily relate to decreases in operating assets of $17.8 million and decreases in operating liabilities of $3.2 million.</w:t>
      </w:r>
    </w:p>
    <w:p>
      <w:pPr>
        <w:spacing w:after="0" w:line="112"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Net cash used in operating activities of $235.3 million for the year ended December 31, 2019 primarily consisted of $277.4 million of net losses, adjusted for $30.5 million of non-cash charges and a decrease in</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net operating assets and liabilities of $11.6 million. The non -cash charges primarily included the changes in share-based compensation of $7.7 million, depreciation and amortization, including loss on disposal of property and equipment and amortization of debt discount, of $7.3 million, and the fair value of contingent forward contracts and warrant liabilities of $15.5 million. The decrease in net operating assets and liabilities primarily relate to increases in operating assets of $25.7 million and increases in operating liabilities of $37.3 million.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44"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We continue to experience negative cash flows from investing activities as we expand our business and continue to build our infrastructure. Cash flows from investing activities primarily relate to capital expenditures to support our growth.</w:t>
      </w:r>
    </w:p>
    <w:p>
      <w:pPr>
        <w:spacing w:after="0" w:line="114"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Net cash used in investing activities of $206.5 million for the six months ended June 30, 2021 was primarily attributable to capital expenditures.</w:t>
      </w:r>
    </w:p>
    <w:p>
      <w:pPr>
        <w:spacing w:after="0" w:line="103"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Net cash used in investing activities of $251.1 million for the six months ended June 30, 2020 was entirely attributable to capital expenditures.</w:t>
      </w:r>
    </w:p>
    <w:p>
      <w:pPr>
        <w:spacing w:after="0" w:line="90"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Net cash used in investing activities of $459.6 million for the year ended December 31, 2020 was entirely attributable to capital expenditures.</w:t>
      </w:r>
    </w:p>
    <w:p>
      <w:pPr>
        <w:spacing w:after="0" w:line="103"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Net cash used in investing activities of $104.3 million for the year ended December 31, 2019 was entirely attributable to capital expenditures.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58"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Through June 30, 2021, we financed our operations primarily through the sale of equity securities and convertible notes.</w:t>
      </w:r>
    </w:p>
    <w:p>
      <w:pPr>
        <w:spacing w:after="0" w:line="90"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Net cash provided by financing activities of $612.1 million during the six months ended June 30, 2021 was primarily attributable to $600.0 million of proceeds from the issuance of Lucid Series E Preferred Shares, $11.0 million proceeds from short-term insurance financing note and $5.3 million of proceeds from the exercises of share options, $3.0 million of proceeds from the issuance of Lucid Series D Preferred Shares, partially offset by $3.0 million cash paid for the repurchase of Lucid Series B Preferred Shares and $2.7 million cash paid for the short-term insurance financing note.</w:t>
      </w:r>
    </w:p>
    <w:p>
      <w:pPr>
        <w:spacing w:after="0" w:line="122"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Net cash provided by financing activities of $400.2 million during the six months ended June 30, 2020 was primarily attributable to $400.0 million of proceeds from the issuance of Lucid Series D Preferred Shares.</w:t>
      </w:r>
    </w:p>
    <w:p>
      <w:pPr>
        <w:spacing w:after="0" w:line="114"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Net cash provided by financing activities of $1,290.5 million during the year ended December 31, 2020 was primarily attributable to $899.7 million of proceeds from the issuance of Lucid Series E Preferred Shares, $ 400.0 million of proceeds from the issuance of Lucid Series D Preferred Shares and $3.3 million of proceeds from the exercises of stock options, partially offset by the $12.1 million repurchase of Lucid Series C Preferred Shares.</w:t>
      </w:r>
    </w:p>
    <w:p>
      <w:pPr>
        <w:spacing w:after="0" w:line="108"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Net cash provided by financing activities of $621.4 million during the year ended December 31, 2019 was primarily attributable to $600.0 million of proceeds from the issuance of Lucid Series D Preferred Shares, $70.9 million of proceeds from the issuance of convertible notes and $0.5 million of proceeds from the exercise of stock options, partially offset by the $50.0 million repurchase of Lucid Series C Preferred Shares.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4"/>
              </w:rPr>
              <w:t>Payments Due by Periods</w:t>
            </w:r>
          </w:p>
        </w:tc>
        <w:tc>
          <w:tcPr>
            <w:tcW w:w="700" w:type="dxa"/>
            <w:vAlign w:val="bottom"/>
          </w:tcPr>
          <w:p>
            <w:pPr>
              <w:spacing w:after="0"/>
              <w:rPr>
                <w:sz w:val="16"/>
                <w:szCs w:val="16"/>
                <w:color w:val="auto"/>
              </w:rPr>
            </w:pPr>
          </w:p>
        </w:tc>
      </w:tr>
      <w:tr>
        <w:trPr>
          <w:trHeight w:val="25"/>
        </w:trPr>
        <w:tc>
          <w:tcPr>
            <w:tcW w:w="38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8"/>
        </w:trPr>
        <w:tc>
          <w:tcPr>
            <w:tcW w:w="388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&lt; 1 year</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1 – 3 years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3 – 5 year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&gt; 5 years</w:t>
            </w:r>
          </w:p>
        </w:tc>
      </w:tr>
      <w:tr>
        <w:trPr>
          <w:trHeight w:val="25"/>
        </w:trPr>
        <w:tc>
          <w:tcPr>
            <w:tcW w:w="38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8"/>
        </w:trPr>
        <w:tc>
          <w:tcPr>
            <w:tcW w:w="3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
        </w:trPr>
        <w:tc>
          <w:tcPr>
            <w:tcW w:w="3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$253,796</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$25,490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$ 56,470</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$55,681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$ 116,155</w:t>
            </w: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1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1"/>
              </w:rPr>
              <w:t>Payments Due by Periods</w:t>
            </w:r>
          </w:p>
        </w:tc>
        <w:tc>
          <w:tcPr>
            <w:tcW w:w="660" w:type="dxa"/>
            <w:vAlign w:val="bottom"/>
          </w:tcPr>
          <w:p>
            <w:pPr>
              <w:spacing w:after="0"/>
              <w:rPr>
                <w:sz w:val="16"/>
                <w:szCs w:val="16"/>
                <w:color w:val="auto"/>
              </w:rPr>
            </w:pPr>
          </w:p>
        </w:tc>
      </w:tr>
      <w:tr>
        <w:trPr>
          <w:trHeight w:val="26"/>
        </w:trPr>
        <w:tc>
          <w:tcPr>
            <w:tcW w:w="38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8"/>
        </w:trPr>
        <w:tc>
          <w:tcPr>
            <w:tcW w:w="380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&lt; 1 year</w:t>
            </w:r>
          </w:p>
        </w:tc>
        <w:tc>
          <w:tcPr>
            <w:tcW w:w="100" w:type="dxa"/>
            <w:vAlign w:val="bottom"/>
          </w:tcPr>
          <w:p>
            <w:pPr>
              <w:spacing w:after="0"/>
              <w:rPr>
                <w:sz w:val="17"/>
                <w:szCs w:val="17"/>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1 – 3 years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3 – 5 year</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6"/>
              </w:rPr>
              <w:t>&gt; 5 years</w:t>
            </w:r>
          </w:p>
        </w:tc>
      </w:tr>
      <w:tr>
        <w:trPr>
          <w:trHeight w:val="26"/>
        </w:trPr>
        <w:tc>
          <w:tcPr>
            <w:tcW w:w="38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7"/>
        </w:trPr>
        <w:tc>
          <w:tcPr>
            <w:tcW w:w="3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(in thousands)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6"/>
        </w:trPr>
        <w:tc>
          <w:tcPr>
            <w:tcW w:w="3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Non-cancellable purchase commitment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506,000</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8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57"/>
        </w:trPr>
        <w:tc>
          <w:tcPr>
            <w:tcW w:w="3800" w:type="dxa"/>
            <w:vAlign w:val="bottom"/>
          </w:tcPr>
          <w:p>
            <w:pPr>
              <w:spacing w:after="0"/>
              <w:rPr>
                <w:sz w:val="20"/>
                <w:szCs w:val="20"/>
                <w:color w:val="auto"/>
              </w:rPr>
            </w:pPr>
            <w:r>
              <w:rPr>
                <w:rFonts w:ascii="Arial" w:cs="Arial" w:eastAsia="Arial" w:hAnsi="Arial"/>
                <w:sz w:val="18"/>
                <w:szCs w:val="18"/>
                <w:color w:val="auto"/>
              </w:rPr>
              <w:t>Total commitments</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$759,796</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0"/>
              </w:rPr>
              <w:t>$126,690</w:t>
            </w:r>
          </w:p>
        </w:tc>
        <w:tc>
          <w:tcPr>
            <w:tcW w:w="20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$461,270</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$55,681</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$116,155</w:t>
            </w:r>
          </w:p>
        </w:tc>
      </w:tr>
    </w:tbl>
    <w:p>
      <w:pPr>
        <w:spacing w:after="0" w:line="269"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7"/>
          <w:szCs w:val="17"/>
          <w:b w:val="1"/>
          <w:bCs w:val="1"/>
          <w:i w:val="1"/>
          <w:iCs w:val="1"/>
          <w:color w:val="auto"/>
        </w:rPr>
        <w:t xml:space="preserve">Operating lease obligations </w:t>
      </w:r>
      <w:r>
        <w:rPr>
          <w:rFonts w:ascii="Arial" w:cs="Arial" w:eastAsia="Arial" w:hAnsi="Arial"/>
          <w:sz w:val="17"/>
          <w:szCs w:val="17"/>
          <w:color w:val="auto"/>
        </w:rPr>
        <w:t>— Operating leases include nine lease agreements we entered into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2020 to December 31, 2020 for retail locations in Arizona, California, Florida, New York, and Virginia, with lease expiration dates ranging from March 2025 through December 2032. Base rent for these leases ranges from $0.1 million to $0.4 million per annum, with certain leases having 3% annual base rent escalation clauses during the lease terms. As of December 31, 2020, the remaining operating lease commitments were $253.8 million. These commitments are reflected in the table above.</w:t>
      </w:r>
    </w:p>
    <w:p>
      <w:pPr>
        <w:spacing w:after="0" w:line="94"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b w:val="1"/>
          <w:bCs w:val="1"/>
          <w:i w:val="1"/>
          <w:iCs w:val="1"/>
          <w:color w:val="auto"/>
        </w:rPr>
        <w:t xml:space="preserve">Non-cancellable purchase commitments </w:t>
      </w:r>
      <w:r>
        <w:rPr>
          <w:rFonts w:ascii="Arial" w:cs="Arial" w:eastAsia="Arial" w:hAnsi="Arial"/>
          <w:sz w:val="18"/>
          <w:szCs w:val="18"/>
          <w:color w:val="auto"/>
        </w:rPr>
        <w:t>— As of December 31, 2020, we are committed to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battery cells from a provider over the next three years for a total estimated minimum of $ 506.0 million. Battery cell costs may fluctuate from time to time under the purchase commitment based on, among other things, supply and demand, costs of raw materials, and purchase volume. The table above does not include contracts that are not enforceable and legally binding and that do not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26"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At June 30, 2021, there were no material changes in our contractual obligations as reported in the audited financial statements for the years ended December 31, 2020.</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We did not have during the periods presented, and we do not currently have, any off-balance sheet activities or have any arrangements or relationships with unconsolidated entities, such as variable interest, special purpose, and structured finance entities.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48" w:lineRule="exact"/>
        <w:rPr>
          <w:sz w:val="20"/>
          <w:szCs w:val="20"/>
          <w:color w:val="auto"/>
        </w:rPr>
      </w:pPr>
    </w:p>
    <w:p>
      <w:pPr>
        <w:jc w:val="both"/>
        <w:ind w:left="1260" w:right="619" w:firstLine="360"/>
        <w:spacing w:after="0" w:line="248"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Interest Rate Risk</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We are exposed to market risk for changes in interest rates applicable to our cash and cash equivalents, restricted cash, and short-term investments. We had cash, cash equivalents and restricted cash totaling $592.2 million and short-term investments totaling $0.5 million as of June 30, 2021. Our cash and cash equivalents and short-term investments were invested primarily in money market funds and certificates of deposits. Our investment policy is focused on the preservation of capital and supporting our liquidity needs. Under the policy, we invest in highly rated securities, issued by the U.S. government or liquid money market funds. We do not invest in financial instruments for trading or speculative purposes, nor do we use leveraged financial instruments. We utilize external investment managers who adhere to the guidelines of our investment policy. A hypothetical 10% change in interest rates would not have had a material impact on the value of our cash, cash equivalents or short-term investments as of June 30, 2021.</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Seasonality</w:t>
      </w:r>
    </w:p>
    <w:p>
      <w:pPr>
        <w:spacing w:after="0" w:line="162"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Automotive sales typically tend to decline over the winter season though we do not expect seasonality to have a significant impact on our results of operations in the near term until we scale our business.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Our consolidated financial statements and the related notes thereto included elsewhere in this prospectus are prepared in accordance with GAAP. The preparation of our consolidated financial statements requires</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6" w:lineRule="auto"/>
        <w:rPr>
          <w:sz w:val="20"/>
          <w:szCs w:val="20"/>
          <w:color w:val="auto"/>
        </w:rPr>
      </w:pPr>
      <w:r>
        <w:rPr>
          <w:rFonts w:ascii="Arial" w:cs="Arial" w:eastAsia="Arial" w:hAnsi="Arial"/>
          <w:sz w:val="16"/>
          <w:szCs w:val="16"/>
          <w:color w:val="auto"/>
        </w:rPr>
        <w:t>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81"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included elsewhere in this prospectus for a description of our other significant accounting policies.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58"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We have granted share- based awards consisting primarily of Lucid Options, as incentive and non-statutory stock options, and Lucid RSUs, as restricted stock units, to employees, members of our board of directors, and non-employees.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Lucid Options</w:t>
      </w:r>
    </w:p>
    <w:p>
      <w:pPr>
        <w:spacing w:after="0" w:line="158" w:lineRule="exact"/>
        <w:rPr>
          <w:sz w:val="20"/>
          <w:szCs w:val="20"/>
          <w:color w:val="auto"/>
        </w:rPr>
      </w:pPr>
    </w:p>
    <w:p>
      <w:pPr>
        <w:ind w:left="1260" w:right="719" w:firstLine="360"/>
        <w:spacing w:after="0" w:line="258" w:lineRule="auto"/>
        <w:rPr>
          <w:sz w:val="20"/>
          <w:szCs w:val="20"/>
          <w:color w:val="auto"/>
        </w:rPr>
      </w:pPr>
      <w:r>
        <w:rPr>
          <w:rFonts w:ascii="Arial" w:cs="Arial" w:eastAsia="Arial" w:hAnsi="Arial"/>
          <w:sz w:val="17"/>
          <w:szCs w:val="17"/>
          <w:color w:val="auto"/>
        </w:rPr>
        <w:t>Lucid Options generally vest over four years, and the majority of which vest at a rate of 25% on the first anniversary of the grant date, with the remainder vesting ratably each month over the next</w:t>
      </w:r>
    </w:p>
    <w:p>
      <w:pPr>
        <w:spacing w:after="0" w:line="1" w:lineRule="exact"/>
        <w:rPr>
          <w:sz w:val="20"/>
          <w:szCs w:val="20"/>
          <w:color w:val="auto"/>
        </w:rPr>
      </w:pPr>
    </w:p>
    <w:p>
      <w:pPr>
        <w:ind w:left="1260" w:right="419"/>
        <w:spacing w:after="0" w:line="236" w:lineRule="auto"/>
        <w:rPr>
          <w:sz w:val="20"/>
          <w:szCs w:val="20"/>
          <w:color w:val="auto"/>
        </w:rPr>
      </w:pPr>
      <w:r>
        <w:rPr>
          <w:rFonts w:ascii="Arial" w:cs="Arial" w:eastAsia="Arial" w:hAnsi="Arial"/>
          <w:sz w:val="18"/>
          <w:szCs w:val="18"/>
          <w:color w:val="auto"/>
        </w:rPr>
        <w:t>three years.Lucid Options generally expire 10 years from the date of grant and are exercisable when the options vest. Share-based compensation expense for Lucid Options is generally recognized on a straight-line basis over the requisite service period based on the estimated fair value of the awards on the date of grant. We estimate the fair value of stock options granted using the Black-Scholes option-pricing model. The Black -Scholes option-pricing model requires certain subjective inputs and assumptions, including the fair value of our underlying common shares, expected common share price volatility, expected dividend yield of our common shares, risk-free interest rates, and the expected option term. The assumptions used in the Black-Scholes option-pricing model are estimated as follows:</w:t>
      </w:r>
    </w:p>
    <w:p>
      <w:pPr>
        <w:spacing w:after="0" w:line="111"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i w:val="1"/>
          <w:iCs w:val="1"/>
          <w:color w:val="auto"/>
        </w:rPr>
        <w:t xml:space="preserve">Fair value of common shares </w:t>
      </w:r>
      <w:r>
        <w:rPr>
          <w:rFonts w:ascii="Arial" w:cs="Arial" w:eastAsia="Arial" w:hAnsi="Arial"/>
          <w:sz w:val="18"/>
          <w:szCs w:val="18"/>
          <w:color w:val="auto"/>
        </w:rPr>
        <w:t>— The fair value of our common shares is estimated because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are not yet publicly traded. Our board of directors considers numerous objective and subjective factors to determine the fair value of our common shares as discussed below in the subsection entitled “— </w:t>
      </w:r>
      <w:r>
        <w:rPr>
          <w:rFonts w:ascii="Arial" w:cs="Arial" w:eastAsia="Arial" w:hAnsi="Arial"/>
          <w:sz w:val="18"/>
          <w:szCs w:val="18"/>
          <w:i w:val="1"/>
          <w:iCs w:val="1"/>
          <w:color w:val="auto"/>
        </w:rPr>
        <w:t>Common Share Valuation.</w:t>
      </w:r>
      <w:r>
        <w:rPr>
          <w:rFonts w:ascii="Arial" w:cs="Arial" w:eastAsia="Arial" w:hAnsi="Arial"/>
          <w:sz w:val="18"/>
          <w:szCs w:val="18"/>
          <w:color w:val="auto"/>
        </w:rPr>
        <w:t>”</w:t>
      </w:r>
    </w:p>
    <w:p>
      <w:pPr>
        <w:spacing w:after="0" w:line="120"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volatility rate was determined by using an average of historical volatilities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industry peers deemed to be comparable to our business corresponding to the expected option term as we do not have sufficient history of trading in our common shares.</w:t>
      </w:r>
    </w:p>
    <w:p>
      <w:pPr>
        <w:spacing w:after="0" w:line="114" w:lineRule="exact"/>
        <w:rPr>
          <w:sz w:val="20"/>
          <w:szCs w:val="20"/>
          <w:color w:val="auto"/>
        </w:rPr>
      </w:pPr>
    </w:p>
    <w:p>
      <w:pPr>
        <w:jc w:val="both"/>
        <w:ind w:left="1260" w:right="439" w:firstLine="360"/>
        <w:spacing w:after="0" w:line="261"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 The expected dividend yield is zero as we have never declared or paid cash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and have no current plans to do so in the foreseeable future.</w:t>
      </w:r>
    </w:p>
    <w:p>
      <w:pPr>
        <w:spacing w:after="0" w:line="90"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risk-free interest rate is based on the U.S. Treasury yield curve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grant for zero-coupon U.S. Treasury notes with maturities corresponding to the expected option term.</w:t>
      </w:r>
    </w:p>
    <w:p>
      <w:pPr>
        <w:spacing w:after="0" w:line="114"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i w:val="1"/>
          <w:iCs w:val="1"/>
          <w:color w:val="auto"/>
        </w:rPr>
        <w:t xml:space="preserve">Expected Option Term </w:t>
      </w:r>
      <w:r>
        <w:rPr>
          <w:rFonts w:ascii="Arial" w:cs="Arial" w:eastAsia="Arial" w:hAnsi="Arial"/>
          <w:sz w:val="17"/>
          <w:szCs w:val="17"/>
          <w:color w:val="auto"/>
        </w:rPr>
        <w:t>— The expected option term represents the period that the Lucid Options are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be outstanding and is based on historical experience of similar awards, giving consideration to the contractual terms, vesting schedules and expectations of future employee behavior.</w:t>
      </w:r>
    </w:p>
    <w:p>
      <w:pPr>
        <w:spacing w:after="0" w:line="96"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We continue to use judgment in evaluating the expected volatility over the expected option term and the expected option term utilized in our stock-based compensation expense calculation on a prospective basis. As we continue to accumulate additional data related to our common stock, we may refine our estimates of the expected volatility over the expected option term, which could materially impact our future stock-based compensation expense.</w:t>
      </w:r>
    </w:p>
    <w:p>
      <w:pPr>
        <w:spacing w:after="0" w:line="108"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The following table summarizes the weighted-average assumptions used in estimating the fair value of share options granted during each of the periods presented:</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3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8"/>
              </w:rPr>
              <w:t>Six Months Ended</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7"/>
              </w:rPr>
              <w:t>Fiscal Years Ended</w:t>
            </w:r>
          </w:p>
        </w:tc>
      </w:tr>
      <w:tr>
        <w:trPr>
          <w:trHeight w:val="186"/>
        </w:trPr>
        <w:tc>
          <w:tcPr>
            <w:tcW w:w="5660" w:type="dxa"/>
            <w:vAlign w:val="bottom"/>
          </w:tcPr>
          <w:p>
            <w:pPr>
              <w:spacing w:after="0"/>
              <w:rPr>
                <w:sz w:val="16"/>
                <w:szCs w:val="16"/>
                <w:color w:val="auto"/>
              </w:rPr>
            </w:pPr>
          </w:p>
        </w:tc>
        <w:tc>
          <w:tcPr>
            <w:tcW w:w="13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5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7"/>
        </w:trPr>
        <w:tc>
          <w:tcPr>
            <w:tcW w:w="56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480" w:type="dxa"/>
            <w:vAlign w:val="bottom"/>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r>
      <w:tr>
        <w:trPr>
          <w:trHeight w:val="26"/>
        </w:trPr>
        <w:tc>
          <w:tcPr>
            <w:tcW w:w="5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660" w:type="dxa"/>
            <w:vAlign w:val="bottom"/>
          </w:tcPr>
          <w:p>
            <w:pPr>
              <w:spacing w:after="0"/>
              <w:rPr>
                <w:sz w:val="20"/>
                <w:szCs w:val="20"/>
                <w:color w:val="auto"/>
              </w:rPr>
            </w:pPr>
            <w:r>
              <w:rPr>
                <w:rFonts w:ascii="Arial" w:cs="Arial" w:eastAsia="Arial" w:hAnsi="Arial"/>
                <w:sz w:val="18"/>
                <w:szCs w:val="18"/>
                <w:color w:val="auto"/>
              </w:rPr>
              <w:t>Weighted average volatility</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42.7%</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42.8%</w:t>
            </w:r>
          </w:p>
        </w:tc>
      </w:tr>
      <w:tr>
        <w:trPr>
          <w:trHeight w:val="257"/>
        </w:trPr>
        <w:tc>
          <w:tcPr>
            <w:tcW w:w="56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2"/>
                <w:szCs w:val="22"/>
                <w:color w:val="auto"/>
              </w:rPr>
            </w:pPr>
          </w:p>
        </w:tc>
      </w:tr>
      <w:tr>
        <w:trPr>
          <w:trHeight w:val="257"/>
        </w:trPr>
        <w:tc>
          <w:tcPr>
            <w:tcW w:w="5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5660" w:type="dxa"/>
            <w:vAlign w:val="bottom"/>
          </w:tcPr>
          <w:p>
            <w:pPr>
              <w:spacing w:after="0"/>
              <w:rPr>
                <w:sz w:val="20"/>
                <w:szCs w:val="20"/>
                <w:color w:val="auto"/>
              </w:rPr>
            </w:pPr>
            <w:r>
              <w:rPr>
                <w:rFonts w:ascii="Arial" w:cs="Arial" w:eastAsia="Arial" w:hAnsi="Arial"/>
                <w:sz w:val="18"/>
                <w:szCs w:val="18"/>
                <w:color w:val="auto"/>
              </w:rPr>
              <w:t>Expected dividends</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631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-659765</wp:posOffset>
            </wp:positionV>
            <wp:extent cx="5212080"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01"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During the year ended December 31, 2019, Lucid granted options to purchase 6.7 million shares to senior management with an extended post-termination exercise term. The extended option exercise period for those options is the earliest of option expiration date, the first anniversary of a qualified initial public offering, or closing of a change of control. The change of control and initial public offering events are considered performance-based vesting conditions and are not deemed probable until occurrence, and therefore Lucid determined the expected life of the awards was 10 years, or equal to the contractual life, for use in the Black-Scholes model. No such options were granted in 2020.</w:t>
      </w:r>
    </w:p>
    <w:p>
      <w:pPr>
        <w:spacing w:after="0" w:line="123"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The following table summarizes the weighted-average assumptions used in estimating the fair value of these options: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0"/>
              </w:rPr>
              <w:t>For the Year Ended</w:t>
            </w:r>
          </w:p>
        </w:tc>
      </w:tr>
      <w:tr>
        <w:trPr>
          <w:trHeight w:val="186"/>
        </w:trPr>
        <w:tc>
          <w:tcPr>
            <w:tcW w:w="70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 2019</w:t>
            </w:r>
          </w:p>
        </w:tc>
      </w:tr>
      <w:tr>
        <w:trPr>
          <w:trHeight w:val="26"/>
        </w:trPr>
        <w:tc>
          <w:tcPr>
            <w:tcW w:w="70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47.5%</w:t>
            </w:r>
          </w:p>
        </w:tc>
      </w:tr>
      <w:tr>
        <w:trPr>
          <w:trHeight w:val="257"/>
        </w:trPr>
        <w:tc>
          <w:tcPr>
            <w:tcW w:w="700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200" w:type="dxa"/>
            <w:vAlign w:val="bottom"/>
          </w:tcPr>
          <w:p>
            <w:pPr>
              <w:jc w:val="right"/>
              <w:ind w:right="356"/>
              <w:spacing w:after="0"/>
              <w:rPr>
                <w:sz w:val="20"/>
                <w:szCs w:val="20"/>
                <w:color w:val="auto"/>
              </w:rPr>
            </w:pPr>
            <w:r>
              <w:rPr>
                <w:rFonts w:ascii="Arial" w:cs="Arial" w:eastAsia="Arial" w:hAnsi="Arial"/>
                <w:sz w:val="18"/>
                <w:szCs w:val="18"/>
                <w:color w:val="auto"/>
              </w:rPr>
              <w:t>10</w:t>
            </w:r>
          </w:p>
        </w:tc>
      </w:tr>
      <w:tr>
        <w:trPr>
          <w:trHeight w:val="257"/>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2.6%</w:t>
            </w:r>
          </w:p>
        </w:tc>
      </w:tr>
      <w:tr>
        <w:trPr>
          <w:trHeight w:val="257"/>
        </w:trPr>
        <w:tc>
          <w:tcPr>
            <w:tcW w:w="7000" w:type="dxa"/>
            <w:vAlign w:val="bottom"/>
          </w:tcPr>
          <w:p>
            <w:pPr>
              <w:spacing w:after="0"/>
              <w:rPr>
                <w:sz w:val="20"/>
                <w:szCs w:val="20"/>
                <w:color w:val="auto"/>
              </w:rPr>
            </w:pPr>
            <w:r>
              <w:rPr>
                <w:rFonts w:ascii="Arial" w:cs="Arial" w:eastAsia="Arial" w:hAnsi="Arial"/>
                <w:sz w:val="18"/>
                <w:szCs w:val="18"/>
                <w:color w:val="auto"/>
              </w:rPr>
              <w:t>Expected dividends</w:t>
            </w:r>
          </w:p>
        </w:tc>
        <w:tc>
          <w:tcPr>
            <w:tcW w:w="1200" w:type="dxa"/>
            <w:vAlign w:val="bottom"/>
          </w:tcPr>
          <w:p>
            <w:pPr>
              <w:jc w:val="right"/>
              <w:ind w:right="356"/>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-659765</wp:posOffset>
            </wp:positionV>
            <wp:extent cx="444881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448810" cy="8890"/>
                    </a:xfrm>
                    <a:prstGeom prst="rect">
                      <a:avLst/>
                    </a:prstGeom>
                    <a:noFill/>
                  </pic:spPr>
                </pic:pic>
              </a:graphicData>
            </a:graphic>
          </wp:anchor>
        </w:drawing>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Lucid RSUs</w:t>
      </w:r>
    </w:p>
    <w:p>
      <w:pPr>
        <w:spacing w:after="0" w:line="158"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Lucid RSUs are subject to both service-based and performance-based vesting conditions. The service-based vesting condition for these awards is typically satisfied equally over four years with a cliff vesting period of one year and continued vesting in equal quarterly installments thereafter. The performance-based vesting condition was satisfied upon the Closing. These qualifying liquidity events were not deemed probable until consummated, and therefore, share-based compensation related to these RSUs remained unrecognized prior to the consummation of the Transactions.</w:t>
      </w:r>
    </w:p>
    <w:p>
      <w:pPr>
        <w:spacing w:after="0" w:line="108"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We estimate the fair value of the Lucid RSUs based on the estimated fair value of Lucid’s underlying common shares as of the date of the grant. Share-based compensation for Lucid RSUs is generally recognized on a graded vesting basis over the requisite service period once the performance condition is satisfied.</w:t>
      </w:r>
    </w:p>
    <w:p>
      <w:pPr>
        <w:spacing w:after="0" w:line="119" w:lineRule="exact"/>
        <w:rPr>
          <w:sz w:val="20"/>
          <w:szCs w:val="20"/>
          <w:color w:val="auto"/>
        </w:rPr>
      </w:pPr>
    </w:p>
    <w:p>
      <w:pPr>
        <w:ind w:left="1260" w:right="819" w:firstLine="360"/>
        <w:spacing w:after="0" w:line="291" w:lineRule="auto"/>
        <w:rPr>
          <w:sz w:val="20"/>
          <w:szCs w:val="20"/>
          <w:color w:val="auto"/>
        </w:rPr>
      </w:pPr>
      <w:r>
        <w:rPr>
          <w:rFonts w:ascii="Arial" w:cs="Arial" w:eastAsia="Arial" w:hAnsi="Arial"/>
          <w:sz w:val="16"/>
          <w:szCs w:val="16"/>
          <w:color w:val="auto"/>
        </w:rPr>
        <w:t>Upon the Closing, we began recording stock-based compensation expense during the three months ended September 30, 2021 based on the grant-date fair value of the RSUs using the graded vesting</w:t>
      </w:r>
    </w:p>
    <w:p>
      <w:pPr>
        <w:ind w:left="1260" w:right="1099"/>
        <w:spacing w:after="0" w:line="260" w:lineRule="auto"/>
        <w:rPr>
          <w:sz w:val="20"/>
          <w:szCs w:val="20"/>
          <w:color w:val="auto"/>
        </w:rPr>
      </w:pPr>
      <w:r>
        <w:rPr>
          <w:rFonts w:ascii="Arial" w:cs="Arial" w:eastAsia="Arial" w:hAnsi="Arial"/>
          <w:sz w:val="18"/>
          <w:szCs w:val="18"/>
          <w:color w:val="auto"/>
        </w:rPr>
        <w:t>attribution method. See the section entitled “</w:t>
      </w:r>
      <w:r>
        <w:rPr>
          <w:rFonts w:ascii="Arial" w:cs="Arial" w:eastAsia="Arial" w:hAnsi="Arial"/>
          <w:sz w:val="18"/>
          <w:szCs w:val="18"/>
          <w:i w:val="1"/>
          <w:iCs w:val="1"/>
          <w:color w:val="auto"/>
        </w:rPr>
        <w:t>Unaudited Pro Forma Condensed Combined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 Basis of Pro Forma Presentation</w:t>
      </w:r>
      <w:r>
        <w:rPr>
          <w:rFonts w:ascii="Arial" w:cs="Arial" w:eastAsia="Arial" w:hAnsi="Arial"/>
          <w:sz w:val="18"/>
          <w:szCs w:val="18"/>
          <w:color w:val="auto"/>
        </w:rPr>
        <w:t>” for more information.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CEO RSU Award</w:t>
      </w:r>
    </w:p>
    <w:p>
      <w:pPr>
        <w:spacing w:after="0" w:line="15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March 2021, our board of directors approved the grant of 11,293,177 RSUs to Peter Rawlinson as Lucid’s CEO under the 2021 Plan (the “</w:t>
      </w:r>
      <w:r>
        <w:rPr>
          <w:rFonts w:ascii="Arial" w:cs="Arial" w:eastAsia="Arial" w:hAnsi="Arial"/>
          <w:sz w:val="17"/>
          <w:szCs w:val="17"/>
          <w:i w:val="1"/>
          <w:iCs w:val="1"/>
          <w:color w:val="auto"/>
        </w:rPr>
        <w:t>CEO RSU Award</w:t>
      </w:r>
      <w:r>
        <w:rPr>
          <w:rFonts w:ascii="Arial" w:cs="Arial" w:eastAsia="Arial" w:hAnsi="Arial"/>
          <w:sz w:val="17"/>
          <w:szCs w:val="17"/>
          <w:color w:val="auto"/>
        </w:rPr>
        <w:t>”) to encourage Mr. Rawlinson to focus on the long-term success of Lucid. Upon the Closing, the Lucid RSUs underlying the CEO RSU Award were cancelled and exchanged into Lucid Group RSUs under the Incentive Plan as adjusted by the Exchange Ratio. The CEO RSU Award is comprised of 5,232,507 RSUs subject to performance and service conditions (the “</w:t>
      </w:r>
      <w:r>
        <w:rPr>
          <w:rFonts w:ascii="Arial" w:cs="Arial" w:eastAsia="Arial" w:hAnsi="Arial"/>
          <w:sz w:val="17"/>
          <w:szCs w:val="17"/>
          <w:i w:val="1"/>
          <w:iCs w:val="1"/>
          <w:color w:val="auto"/>
        </w:rPr>
        <w:t>CEO Time-Based RSUs</w:t>
      </w:r>
      <w:r>
        <w:rPr>
          <w:rFonts w:ascii="Arial" w:cs="Arial" w:eastAsia="Arial" w:hAnsi="Arial"/>
          <w:sz w:val="17"/>
          <w:szCs w:val="17"/>
          <w:color w:val="auto"/>
        </w:rPr>
        <w:t>”) and 6,060,670 RSUs subject to performance and market conditions (the “</w:t>
      </w:r>
      <w:r>
        <w:rPr>
          <w:rFonts w:ascii="Arial" w:cs="Arial" w:eastAsia="Arial" w:hAnsi="Arial"/>
          <w:sz w:val="17"/>
          <w:szCs w:val="17"/>
          <w:i w:val="1"/>
          <w:iCs w:val="1"/>
          <w:color w:val="auto"/>
        </w:rPr>
        <w:t>CEO Performance RSUs</w:t>
      </w:r>
      <w:r>
        <w:rPr>
          <w:rFonts w:ascii="Arial" w:cs="Arial" w:eastAsia="Arial" w:hAnsi="Arial"/>
          <w:sz w:val="17"/>
          <w:szCs w:val="17"/>
          <w:color w:val="auto"/>
        </w:rPr>
        <w:t>”), as described further below. Upon the consummation of the Transactions, the 5,232,507 CEO Time-Based RSUs and 6,060,670 CEO Performance RSUs were cancelled and exchanged for 13,834,748 and 16,024,411 Lucid Group RSUs, respectively, for shares of Class A common stock with the same terms and vesting conditions except for the number of shares, which is adjusted by the Exchange</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Ratio of 2.644. Upon the Closing, we began recording stock-based compensation expense during the three months ended September 30, 2021 based on the grant-date fair value of the RSUs using the graded vesting attribution method. See the section entitled “</w:t>
      </w:r>
      <w:r>
        <w:rPr>
          <w:rFonts w:ascii="Arial" w:cs="Arial" w:eastAsia="Arial" w:hAnsi="Arial"/>
          <w:sz w:val="18"/>
          <w:szCs w:val="18"/>
          <w:i w:val="1"/>
          <w:iCs w:val="1"/>
          <w:color w:val="auto"/>
        </w:rPr>
        <w:t>Unaudited Pro Forma Condensed Combined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 Basis of Pro Forma Presentation” </w:t>
      </w:r>
      <w:r>
        <w:rPr>
          <w:rFonts w:ascii="Arial" w:cs="Arial" w:eastAsia="Arial" w:hAnsi="Arial"/>
          <w:sz w:val="18"/>
          <w:szCs w:val="18"/>
          <w:color w:val="auto"/>
        </w:rPr>
        <w:t>for more information.</w:t>
      </w:r>
    </w:p>
    <w:p>
      <w:pPr>
        <w:spacing w:after="0" w:line="107"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i w:val="1"/>
          <w:iCs w:val="1"/>
          <w:color w:val="auto"/>
        </w:rPr>
        <w:t xml:space="preserve">CEO Time -Based RSUs — </w:t>
      </w:r>
      <w:r>
        <w:rPr>
          <w:rFonts w:ascii="Arial" w:cs="Arial" w:eastAsia="Arial" w:hAnsi="Arial"/>
          <w:sz w:val="18"/>
          <w:szCs w:val="18"/>
          <w:color w:val="auto"/>
        </w:rPr>
        <w:t>The performance condition was satisfied upon the Closing. The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will be satisfied in 16 equal quarterly installments on March 5, June 5, September 5, and December 5 beginning on the first quarterly installment date that is at least two months after the Closing, which will be December 5, 2021, provided that Mr. Rawlinson remains in continuous service through each vesting date.</w:t>
      </w:r>
    </w:p>
    <w:p>
      <w:pPr>
        <w:spacing w:after="0" w:line="122"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The grant date fair value of the CEO Time-Based RSUs was estimated to be $284.0 million and will be recognized using a graded vesting attribution method over the service period for each tranche. The grant date fair value of the CEO Time-Based RSUs was based on the estimated fair value of Lucid’s underlying common shares as of the date of the grant. No share-based compensation expense has been recognized to date in the historical consolidated financial statements of Lucid for these CEO Time-Based RSUs, as the achievement of the performance condition could not be deemed probable until the Closing occurred.</w:t>
      </w:r>
    </w:p>
    <w:p>
      <w:pPr>
        <w:spacing w:after="0" w:line="108"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7"/>
          <w:szCs w:val="17"/>
          <w:i w:val="1"/>
          <w:iCs w:val="1"/>
          <w:color w:val="auto"/>
        </w:rPr>
        <w:t xml:space="preserve">CEO Performance RSUs — </w:t>
      </w:r>
      <w:r>
        <w:rPr>
          <w:rFonts w:ascii="Arial" w:cs="Arial" w:eastAsia="Arial" w:hAnsi="Arial"/>
          <w:sz w:val="17"/>
          <w:szCs w:val="17"/>
          <w:color w:val="auto"/>
        </w:rPr>
        <w:t>The performance condition was satisfied upon the Closing. The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will be satisfied based upon the achievement of certain market capitalization goals of Lucid Group (each, as depicted in table below, a “</w:t>
      </w:r>
      <w:r>
        <w:rPr>
          <w:rFonts w:ascii="Arial" w:cs="Arial" w:eastAsia="Arial" w:hAnsi="Arial"/>
          <w:sz w:val="17"/>
          <w:szCs w:val="17"/>
          <w:i w:val="1"/>
          <w:iCs w:val="1"/>
          <w:color w:val="auto"/>
        </w:rPr>
        <w:t>Lucid Group Market Capitalization Target</w:t>
      </w:r>
      <w:r>
        <w:rPr>
          <w:rFonts w:ascii="Arial" w:cs="Arial" w:eastAsia="Arial" w:hAnsi="Arial"/>
          <w:sz w:val="17"/>
          <w:szCs w:val="17"/>
          <w:color w:val="auto"/>
        </w:rPr>
        <w:t>”) and the continued employment of Mr. Rawlinson at each vesting date during the five-year period beginning after the Closing (“</w:t>
      </w:r>
      <w:r>
        <w:rPr>
          <w:rFonts w:ascii="Arial" w:cs="Arial" w:eastAsia="Arial" w:hAnsi="Arial"/>
          <w:sz w:val="17"/>
          <w:szCs w:val="17"/>
          <w:i w:val="1"/>
          <w:iCs w:val="1"/>
          <w:color w:val="auto"/>
        </w:rPr>
        <w:t>Performance Period</w:t>
      </w:r>
      <w:r>
        <w:rPr>
          <w:rFonts w:ascii="Arial" w:cs="Arial" w:eastAsia="Arial" w:hAnsi="Arial"/>
          <w:sz w:val="17"/>
          <w:szCs w:val="17"/>
          <w:color w:val="auto"/>
        </w:rPr>
        <w:t>”). The CEO Performance RSUs will vest only if Lucid Group achieves the Lucid Group Market Capitalization Targets specified in the table below, which if achieved, would allow Lucid Group’s other stockholders to benefit from the increases in our market capitalization.</w:t>
      </w:r>
    </w:p>
    <w:p>
      <w:pPr>
        <w:spacing w:after="0" w:line="99" w:lineRule="exact"/>
        <w:rPr>
          <w:sz w:val="20"/>
          <w:szCs w:val="20"/>
          <w:color w:val="auto"/>
        </w:rPr>
      </w:pPr>
    </w:p>
    <w:p>
      <w:pPr>
        <w:ind w:left="1260" w:right="779" w:firstLine="360"/>
        <w:spacing w:after="0" w:line="258" w:lineRule="auto"/>
        <w:rPr>
          <w:sz w:val="20"/>
          <w:szCs w:val="20"/>
          <w:color w:val="auto"/>
        </w:rPr>
      </w:pPr>
      <w:r>
        <w:rPr>
          <w:rFonts w:ascii="Arial" w:cs="Arial" w:eastAsia="Arial" w:hAnsi="Arial"/>
          <w:sz w:val="17"/>
          <w:szCs w:val="17"/>
          <w:color w:val="auto"/>
        </w:rPr>
        <w:t>Each Lucid Group Market Capitalization Target is calculated by multiplying (i) a volume weighted average trading price of Class A common stock measured over any rolling six calendar month period by</w:t>
      </w:r>
    </w:p>
    <w:p>
      <w:pPr>
        <w:spacing w:after="0" w:line="1" w:lineRule="exact"/>
        <w:rPr>
          <w:sz w:val="20"/>
          <w:szCs w:val="20"/>
          <w:color w:val="auto"/>
        </w:rPr>
      </w:pPr>
    </w:p>
    <w:p>
      <w:pPr>
        <w:ind w:left="1260" w:right="639"/>
        <w:spacing w:after="0" w:line="256" w:lineRule="auto"/>
        <w:tabs>
          <w:tab w:leader="none" w:pos="1543"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average total number outstanding shares of Class A common stock reported on a public filing with the SEC for the two most recently completed quarterly reporting periods. This measurement period was designed to reward Mr. Rawlinson only if a sustained growth in Lucid Group’s market capitalization is achieved. The market conditions will be satisfied in five tranches, as follows:</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Lucid Group Market</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 Lucid RSUs</w:t>
            </w:r>
          </w:p>
        </w:tc>
        <w:tc>
          <w:tcPr>
            <w:tcW w:w="1860" w:type="dxa"/>
            <w:vAlign w:val="bottom"/>
          </w:tcPr>
          <w:p>
            <w:pPr>
              <w:ind w:left="20"/>
              <w:spacing w:after="0"/>
              <w:rPr>
                <w:sz w:val="20"/>
                <w:szCs w:val="20"/>
                <w:color w:val="auto"/>
              </w:rPr>
            </w:pPr>
            <w:r>
              <w:rPr>
                <w:rFonts w:ascii="Arial" w:cs="Arial" w:eastAsia="Arial" w:hAnsi="Arial"/>
                <w:sz w:val="14"/>
                <w:szCs w:val="14"/>
                <w:b w:val="1"/>
                <w:bCs w:val="1"/>
                <w:color w:val="auto"/>
                <w:w w:val="91"/>
              </w:rPr>
              <w:t>Number of Lucid Group RSUs</w:t>
            </w:r>
          </w:p>
        </w:tc>
      </w:tr>
      <w:tr>
        <w:trPr>
          <w:trHeight w:val="230"/>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Tranche</w:t>
            </w: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Capitalization Target</w:t>
            </w: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Eligible to Vest</w:t>
            </w:r>
          </w:p>
        </w:tc>
        <w:tc>
          <w:tcPr>
            <w:tcW w:w="1860" w:type="dxa"/>
            <w:vAlign w:val="bottom"/>
          </w:tcPr>
          <w:p>
            <w:pPr>
              <w:jc w:val="center"/>
              <w:spacing w:after="0" w:line="230" w:lineRule="exact"/>
              <w:rPr>
                <w:sz w:val="20"/>
                <w:szCs w:val="20"/>
                <w:color w:val="auto"/>
              </w:rPr>
            </w:pPr>
            <w:r>
              <w:rPr>
                <w:rFonts w:ascii="Arial" w:cs="Arial" w:eastAsia="Arial" w:hAnsi="Arial"/>
                <w:sz w:val="14"/>
                <w:szCs w:val="14"/>
                <w:b w:val="1"/>
                <w:bCs w:val="1"/>
                <w:color w:val="auto"/>
                <w:w w:val="85"/>
              </w:rPr>
              <w:t>Eligible to Vest</w:t>
            </w:r>
            <w:r>
              <w:rPr>
                <w:rFonts w:ascii="Arial" w:cs="Arial" w:eastAsia="Arial" w:hAnsi="Arial"/>
                <w:sz w:val="21"/>
                <w:szCs w:val="21"/>
                <w:b w:val="1"/>
                <w:bCs w:val="1"/>
                <w:color w:val="auto"/>
                <w:w w:val="85"/>
                <w:vertAlign w:val="superscript"/>
              </w:rPr>
              <w:t>(1)</w:t>
            </w:r>
          </w:p>
        </w:tc>
      </w:tr>
      <w:tr>
        <w:trPr>
          <w:trHeight w:val="250"/>
        </w:trPr>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$23,500,000,000</w:t>
            </w:r>
          </w:p>
        </w:tc>
        <w:tc>
          <w:tcPr>
            <w:tcW w:w="22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1,317,537</w:t>
            </w:r>
          </w:p>
        </w:tc>
        <w:tc>
          <w:tcPr>
            <w:tcW w:w="220" w:type="dxa"/>
            <w:vAlign w:val="bottom"/>
            <w:tcBorders>
              <w:top w:val="single" w:sz="8" w:color="CCEEFF"/>
            </w:tcBorders>
            <w:shd w:val="clear" w:color="auto" w:fill="CCEEFF"/>
          </w:tcPr>
          <w:p>
            <w:pPr>
              <w:spacing w:after="0"/>
              <w:rPr>
                <w:sz w:val="21"/>
                <w:szCs w:val="21"/>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3,483,568</w:t>
            </w:r>
          </w:p>
        </w:tc>
      </w:tr>
      <w:tr>
        <w:trPr>
          <w:trHeight w:val="257"/>
        </w:trPr>
        <w:tc>
          <w:tcPr>
            <w:tcW w:w="2960" w:type="dxa"/>
            <w:vAlign w:val="bottom"/>
          </w:tcPr>
          <w:p>
            <w:pPr>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$35,250,000,000</w:t>
            </w:r>
          </w:p>
        </w:tc>
        <w:tc>
          <w:tcPr>
            <w:tcW w:w="220" w:type="dxa"/>
            <w:vAlign w:val="bottom"/>
          </w:tcPr>
          <w:p>
            <w:pPr>
              <w:spacing w:after="0"/>
              <w:rPr>
                <w:sz w:val="22"/>
                <w:szCs w:val="22"/>
                <w:color w:val="auto"/>
              </w:rPr>
            </w:pPr>
          </w:p>
        </w:tc>
        <w:tc>
          <w:tcPr>
            <w:tcW w:w="1420" w:type="dxa"/>
            <w:vAlign w:val="bottom"/>
          </w:tcPr>
          <w:p>
            <w:pPr>
              <w:jc w:val="right"/>
              <w:ind w:right="255"/>
              <w:spacing w:after="0"/>
              <w:rPr>
                <w:sz w:val="20"/>
                <w:szCs w:val="20"/>
                <w:color w:val="auto"/>
              </w:rPr>
            </w:pPr>
            <w:r>
              <w:rPr>
                <w:rFonts w:ascii="Arial" w:cs="Arial" w:eastAsia="Arial" w:hAnsi="Arial"/>
                <w:sz w:val="18"/>
                <w:szCs w:val="18"/>
                <w:color w:val="auto"/>
              </w:rPr>
              <w:t>1,317,537</w:t>
            </w:r>
          </w:p>
        </w:tc>
        <w:tc>
          <w:tcPr>
            <w:tcW w:w="22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3,483,568</w:t>
            </w:r>
          </w:p>
        </w:tc>
      </w:tr>
      <w:tr>
        <w:trPr>
          <w:trHeight w:val="25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$47,000,000,000</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1,317,537</w:t>
            </w:r>
          </w:p>
        </w:tc>
        <w:tc>
          <w:tcPr>
            <w:tcW w:w="220" w:type="dxa"/>
            <w:vAlign w:val="bottom"/>
            <w:shd w:val="clear" w:color="auto" w:fill="CCEEFF"/>
          </w:tcPr>
          <w:p>
            <w:pPr>
              <w:spacing w:after="0"/>
              <w:rPr>
                <w:sz w:val="22"/>
                <w:szCs w:val="2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3,483,568</w:t>
            </w:r>
          </w:p>
        </w:tc>
      </w:tr>
      <w:tr>
        <w:trPr>
          <w:trHeight w:val="257"/>
        </w:trPr>
        <w:tc>
          <w:tcPr>
            <w:tcW w:w="2960" w:type="dxa"/>
            <w:vAlign w:val="bottom"/>
          </w:tcPr>
          <w:p>
            <w:pPr>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$58,750,000,000</w:t>
            </w:r>
          </w:p>
        </w:tc>
        <w:tc>
          <w:tcPr>
            <w:tcW w:w="220" w:type="dxa"/>
            <w:vAlign w:val="bottom"/>
          </w:tcPr>
          <w:p>
            <w:pPr>
              <w:spacing w:after="0"/>
              <w:rPr>
                <w:sz w:val="22"/>
                <w:szCs w:val="22"/>
                <w:color w:val="auto"/>
              </w:rPr>
            </w:pPr>
          </w:p>
        </w:tc>
        <w:tc>
          <w:tcPr>
            <w:tcW w:w="1420" w:type="dxa"/>
            <w:vAlign w:val="bottom"/>
          </w:tcPr>
          <w:p>
            <w:pPr>
              <w:jc w:val="right"/>
              <w:ind w:right="255"/>
              <w:spacing w:after="0"/>
              <w:rPr>
                <w:sz w:val="20"/>
                <w:szCs w:val="20"/>
                <w:color w:val="auto"/>
              </w:rPr>
            </w:pPr>
            <w:r>
              <w:rPr>
                <w:rFonts w:ascii="Arial" w:cs="Arial" w:eastAsia="Arial" w:hAnsi="Arial"/>
                <w:sz w:val="18"/>
                <w:szCs w:val="18"/>
                <w:color w:val="auto"/>
              </w:rPr>
              <w:t>1,317,537</w:t>
            </w:r>
          </w:p>
        </w:tc>
        <w:tc>
          <w:tcPr>
            <w:tcW w:w="22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3,483,568</w:t>
            </w:r>
          </w:p>
        </w:tc>
      </w:tr>
      <w:tr>
        <w:trPr>
          <w:trHeight w:val="25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$70,500,000,000</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790,522</w:t>
            </w:r>
          </w:p>
        </w:tc>
        <w:tc>
          <w:tcPr>
            <w:tcW w:w="220" w:type="dxa"/>
            <w:vAlign w:val="bottom"/>
            <w:shd w:val="clear" w:color="auto" w:fill="CCEEFF"/>
          </w:tcPr>
          <w:p>
            <w:pPr>
              <w:spacing w:after="0"/>
              <w:rPr>
                <w:sz w:val="22"/>
                <w:szCs w:val="2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2,090,140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-822325</wp:posOffset>
            </wp:positionV>
            <wp:extent cx="1371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-822325</wp:posOffset>
            </wp:positionV>
            <wp:extent cx="13716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-822325</wp:posOffset>
            </wp:positionV>
            <wp:extent cx="1371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4" w:lineRule="exact"/>
        <w:rPr>
          <w:sz w:val="20"/>
          <w:szCs w:val="20"/>
          <w:color w:val="auto"/>
        </w:rPr>
      </w:pPr>
    </w:p>
    <w:p>
      <w:pPr>
        <w:ind w:left="1620" w:hanging="360"/>
        <w:spacing w:after="0"/>
        <w:tabs>
          <w:tab w:leader="none" w:pos="1620" w:val="left"/>
        </w:tabs>
        <w:numPr>
          <w:ilvl w:val="0"/>
          <w:numId w:val="52"/>
        </w:numPr>
        <w:rPr>
          <w:rFonts w:ascii="Arial" w:cs="Arial" w:eastAsia="Arial" w:hAnsi="Arial"/>
          <w:sz w:val="27"/>
          <w:szCs w:val="27"/>
          <w:i w:val="1"/>
          <w:iCs w:val="1"/>
          <w:color w:val="auto"/>
          <w:vertAlign w:val="superscript"/>
        </w:rPr>
      </w:pPr>
      <w:r>
        <w:rPr>
          <w:rFonts w:ascii="Arial" w:cs="Arial" w:eastAsia="Arial" w:hAnsi="Arial"/>
          <w:sz w:val="18"/>
          <w:szCs w:val="18"/>
          <w:i w:val="1"/>
          <w:iCs w:val="1"/>
          <w:color w:val="auto"/>
        </w:rPr>
        <w:t>as adjusted based upon the Exchange Ratio of 2.644</w:t>
      </w:r>
    </w:p>
    <w:p>
      <w:pPr>
        <w:spacing w:after="0" w:line="148"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The Lucid Group Market Capitalization Targets will be adjusted to reflect any stock splits, stock dividends, combinations, reorganizations, reclassifications, or similar event under the Incentive Plan. If the Lucid Group Market Capitalization Targets are not satisfied during the Performance Period, the portion of the CEO Performance RSUs subject to such Lucid Group Market Capitalization Target will not vest.</w:t>
      </w:r>
    </w:p>
    <w:p>
      <w:pPr>
        <w:spacing w:after="0" w:line="9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grant date fair value of the CEO Performance RSUs was estimated to be $272.1 million and will be recognized using a graded vesting attribution method over the estimated derived service periods for the five tranches of 0.72 years, 0.79 years, 1.72 years, 2.18 years and 2.51 years, respectively. The grant date fair value and the derived service period for each tranche of the CEO Performance RSUs was determined using a Monte Carlo simulation method, which incorporates the possibility that the Lucid Group Market Capitalization Targets may not be satisfied. The Monte Carlo simulation is affected by a number of variables, including the fair value of our underlying common shares, the expected common share price volatility over the expected term, the expected dividend yield of our common shares over the expected term, the risk-free interest rates over the expected term and the expected term of the RSUs.</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Six Months Ended</w:t>
            </w:r>
          </w:p>
        </w:tc>
      </w:tr>
      <w:tr>
        <w:trPr>
          <w:trHeight w:val="186"/>
        </w:trPr>
        <w:tc>
          <w:tcPr>
            <w:tcW w:w="708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Arial" w:cs="Arial" w:eastAsia="Arial" w:hAnsi="Arial"/>
                <w:sz w:val="14"/>
                <w:szCs w:val="14"/>
                <w:b w:val="1"/>
                <w:bCs w:val="1"/>
                <w:color w:val="auto"/>
              </w:rPr>
              <w:t>June 30, 2021</w:t>
            </w:r>
          </w:p>
        </w:tc>
      </w:tr>
      <w:tr>
        <w:trPr>
          <w:trHeight w:val="26"/>
        </w:trPr>
        <w:tc>
          <w:tcPr>
            <w:tcW w:w="70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1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60.0%</w:t>
            </w:r>
          </w:p>
        </w:tc>
      </w:tr>
      <w:tr>
        <w:trPr>
          <w:trHeight w:val="257"/>
        </w:trPr>
        <w:tc>
          <w:tcPr>
            <w:tcW w:w="70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tcPr>
          <w:p>
            <w:pPr>
              <w:jc w:val="right"/>
              <w:ind w:right="316"/>
              <w:spacing w:after="0"/>
              <w:rPr>
                <w:sz w:val="20"/>
                <w:szCs w:val="20"/>
                <w:color w:val="auto"/>
              </w:rPr>
            </w:pPr>
            <w:r>
              <w:rPr>
                <w:rFonts w:ascii="Arial" w:cs="Arial" w:eastAsia="Arial" w:hAnsi="Arial"/>
                <w:sz w:val="18"/>
                <w:szCs w:val="18"/>
                <w:color w:val="auto"/>
              </w:rPr>
              <w:t>5.0</w:t>
            </w:r>
          </w:p>
        </w:tc>
      </w:tr>
      <w:tr>
        <w:trPr>
          <w:trHeight w:val="25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0.9%</w:t>
            </w:r>
          </w:p>
        </w:tc>
      </w:tr>
      <w:tr>
        <w:trPr>
          <w:trHeight w:val="257"/>
        </w:trPr>
        <w:tc>
          <w:tcPr>
            <w:tcW w:w="7080" w:type="dxa"/>
            <w:vAlign w:val="bottom"/>
          </w:tcPr>
          <w:p>
            <w:pPr>
              <w:spacing w:after="0"/>
              <w:rPr>
                <w:sz w:val="20"/>
                <w:szCs w:val="20"/>
                <w:color w:val="auto"/>
              </w:rPr>
            </w:pPr>
            <w:r>
              <w:rPr>
                <w:rFonts w:ascii="Arial" w:cs="Arial" w:eastAsia="Arial" w:hAnsi="Arial"/>
                <w:sz w:val="18"/>
                <w:szCs w:val="18"/>
                <w:color w:val="auto"/>
              </w:rPr>
              <w:t>Expected dividends</w:t>
            </w:r>
          </w:p>
        </w:tc>
        <w:tc>
          <w:tcPr>
            <w:tcW w:w="1120" w:type="dxa"/>
            <w:vAlign w:val="bottom"/>
          </w:tcPr>
          <w:p>
            <w:pPr>
              <w:jc w:val="right"/>
              <w:ind w:right="316"/>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-659130</wp:posOffset>
            </wp:positionV>
            <wp:extent cx="44919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74" w:lineRule="exact"/>
        <w:rPr>
          <w:sz w:val="20"/>
          <w:szCs w:val="20"/>
          <w:color w:val="auto"/>
        </w:rPr>
      </w:pPr>
    </w:p>
    <w:p>
      <w:pPr>
        <w:ind w:left="1260" w:right="1300" w:firstLine="360"/>
        <w:spacing w:after="0" w:line="241" w:lineRule="auto"/>
        <w:rPr>
          <w:sz w:val="20"/>
          <w:szCs w:val="20"/>
          <w:color w:val="auto"/>
        </w:rPr>
      </w:pPr>
      <w:r>
        <w:rPr>
          <w:rFonts w:ascii="Arial" w:cs="Arial" w:eastAsia="Arial" w:hAnsi="Arial"/>
          <w:sz w:val="18"/>
          <w:szCs w:val="18"/>
          <w:color w:val="auto"/>
        </w:rPr>
        <w:t>The derived service periods for the five tranches were determined based on the median vesting time for the simulations that achieved the vesting hurdle. Share-based compensation expense associated with each of the five tranches under the CEO Performance RSUs will be recognized over the earlier of (i) the derived service periods of each tranche and (ii) the date on which the market condition is satisfied, using the graded vesting attribution method.</w:t>
      </w:r>
    </w:p>
    <w:p>
      <w:pPr>
        <w:spacing w:after="0" w:line="122" w:lineRule="exact"/>
        <w:rPr>
          <w:sz w:val="20"/>
          <w:szCs w:val="20"/>
          <w:color w:val="auto"/>
        </w:rPr>
      </w:pPr>
    </w:p>
    <w:p>
      <w:pPr>
        <w:ind w:left="1260" w:right="1280" w:firstLine="360"/>
        <w:spacing w:after="0" w:line="239" w:lineRule="auto"/>
        <w:rPr>
          <w:sz w:val="20"/>
          <w:szCs w:val="20"/>
          <w:color w:val="auto"/>
        </w:rPr>
      </w:pPr>
      <w:r>
        <w:rPr>
          <w:rFonts w:ascii="Arial" w:cs="Arial" w:eastAsia="Arial" w:hAnsi="Arial"/>
          <w:sz w:val="18"/>
          <w:szCs w:val="18"/>
          <w:color w:val="auto"/>
        </w:rPr>
        <w:t>If the Lucid Group Market Capitalization Targets are met sooner than the derived service period, the share-based compensation expense will be adjusted to reflect the cumulative expense associated with the vested award. The share-based compensation expense will be recognized over the requisite service period that Mr. Rawlinson remains employed, regardless of whether the Lucid Group Market Capitalization Targets are achieved. No share-based compensation expense has been recognized to date in the historical consolidated financial statements for Lucid for these CEO Performance RSUs as the achievement of the performance condition was not deemed probable until the Closing occurred.</w:t>
      </w:r>
    </w:p>
    <w:p>
      <w:pPr>
        <w:spacing w:after="0" w:line="123" w:lineRule="exact"/>
        <w:rPr>
          <w:sz w:val="20"/>
          <w:szCs w:val="20"/>
          <w:color w:val="auto"/>
        </w:rPr>
      </w:pPr>
    </w:p>
    <w:p>
      <w:pPr>
        <w:ind w:left="1260" w:right="1280" w:firstLine="360"/>
        <w:spacing w:after="0" w:line="238" w:lineRule="auto"/>
        <w:rPr>
          <w:sz w:val="20"/>
          <w:szCs w:val="20"/>
          <w:color w:val="auto"/>
        </w:rPr>
      </w:pPr>
      <w:r>
        <w:rPr>
          <w:rFonts w:ascii="Arial" w:cs="Arial" w:eastAsia="Arial" w:hAnsi="Arial"/>
          <w:sz w:val="18"/>
          <w:szCs w:val="18"/>
          <w:i w:val="1"/>
          <w:iCs w:val="1"/>
          <w:color w:val="auto"/>
        </w:rPr>
        <w:t xml:space="preserve">Tax Withholding </w:t>
      </w:r>
      <w:r>
        <w:rPr>
          <w:rFonts w:ascii="Arial" w:cs="Arial" w:eastAsia="Arial" w:hAnsi="Arial"/>
          <w:sz w:val="18"/>
          <w:szCs w:val="18"/>
          <w:color w:val="auto"/>
        </w:rPr>
        <w:t>— During the first year following the Closing, we expect that Lucid Group will settle</w:t>
      </w:r>
      <w:r>
        <w:rPr>
          <w:rFonts w:ascii="Arial" w:cs="Arial" w:eastAsia="Arial" w:hAnsi="Arial"/>
          <w:sz w:val="18"/>
          <w:szCs w:val="18"/>
          <w:i w:val="1"/>
          <w:iCs w:val="1"/>
          <w:color w:val="auto"/>
        </w:rPr>
        <w:t xml:space="preserve"> </w:t>
      </w:r>
      <w:r>
        <w:rPr>
          <w:rFonts w:ascii="Arial" w:cs="Arial" w:eastAsia="Arial" w:hAnsi="Arial"/>
          <w:sz w:val="18"/>
          <w:szCs w:val="18"/>
          <w:color w:val="auto"/>
        </w:rPr>
        <w:t>tax withholding obligations in connection with any vesting of the CEO RSU Award through “net settlement,” i.e., by remitting cash to satisfy the tax withholding obligation and withholding a number of the vested shares on each vesting date. The amount of the tax withholding due on each vesting and net settlement date will be based on the fair value of the Class A common stock on such vesting and net settlement date. Depending on the fair value of the Class A common stock and the number of RSUs vesting on any applicable vesting and net settlement date, such net settlement could require Lucid Group to expend substantial cash funds to satisfy tax withholding.</w:t>
      </w:r>
    </w:p>
    <w:p>
      <w:pPr>
        <w:spacing w:after="0" w:line="113" w:lineRule="exact"/>
        <w:rPr>
          <w:sz w:val="20"/>
          <w:szCs w:val="20"/>
          <w:color w:val="auto"/>
        </w:rPr>
      </w:pPr>
    </w:p>
    <w:p>
      <w:pPr>
        <w:ind w:left="1260" w:right="1360" w:firstLine="360"/>
        <w:spacing w:after="0" w:line="237" w:lineRule="auto"/>
        <w:rPr>
          <w:sz w:val="20"/>
          <w:szCs w:val="20"/>
          <w:color w:val="auto"/>
        </w:rPr>
      </w:pPr>
      <w:r>
        <w:rPr>
          <w:rFonts w:ascii="Arial" w:cs="Arial" w:eastAsia="Arial" w:hAnsi="Arial"/>
          <w:sz w:val="18"/>
          <w:szCs w:val="18"/>
          <w:color w:val="auto"/>
        </w:rPr>
        <w:t>The following tables illustrate the use of cash funds that Lucid Group may be required to remit to satisfy tax withholding obligations in connection with any potential vesting and net settlement of the CEO RSU Award during the first year after the Closing, assuming an aggregate tax withholding rate of 51.03% and various per-share prices of Class A common stock, which are assumed to be constant throughout the year. The tax withholding information is presented for illustrative purposes only and represents management’s estimates based on information available as of the date of this prospectus. The tax withholding information requires numerous assumptions, including with respect to tax withholding rates, outstanding shares of Class A common stock and the per-share values of Class A common stock on applicable vesting dates. If the actual facts are different than our assumptions, Lucid Group’s use of cash to satisfy tax withholding obligations in connection with any potential vesting and net settlement of the CEO RSU Award, and as a result Lucid Group’s future operating results and financial condition, could differ materially from these estimates.</w:t>
      </w:r>
    </w:p>
    <w:p>
      <w:pPr>
        <w:spacing w:after="0" w:line="126" w:lineRule="exact"/>
        <w:rPr>
          <w:sz w:val="20"/>
          <w:szCs w:val="20"/>
          <w:color w:val="auto"/>
        </w:rPr>
      </w:pPr>
    </w:p>
    <w:p>
      <w:pPr>
        <w:ind w:left="1260" w:right="1300" w:firstLine="360"/>
        <w:spacing w:after="0" w:line="253" w:lineRule="auto"/>
        <w:rPr>
          <w:sz w:val="20"/>
          <w:szCs w:val="20"/>
          <w:color w:val="auto"/>
        </w:rPr>
      </w:pPr>
      <w:r>
        <w:rPr>
          <w:rFonts w:ascii="Arial" w:cs="Arial" w:eastAsia="Arial" w:hAnsi="Arial"/>
          <w:sz w:val="17"/>
          <w:szCs w:val="17"/>
          <w:i w:val="1"/>
          <w:iCs w:val="1"/>
          <w:color w:val="auto"/>
        </w:rPr>
        <w:t xml:space="preserve">CEO Time-Based RSUs Tax Withholding </w:t>
      </w:r>
      <w:r>
        <w:rPr>
          <w:rFonts w:ascii="Arial" w:cs="Arial" w:eastAsia="Arial" w:hAnsi="Arial"/>
          <w:sz w:val="17"/>
          <w:szCs w:val="17"/>
          <w:color w:val="auto"/>
        </w:rPr>
        <w:t>— The illustrative tax withholding for the CEO Time-Based</w:t>
      </w:r>
      <w:r>
        <w:rPr>
          <w:rFonts w:ascii="Arial" w:cs="Arial" w:eastAsia="Arial" w:hAnsi="Arial"/>
          <w:sz w:val="17"/>
          <w:szCs w:val="17"/>
          <w:i w:val="1"/>
          <w:iCs w:val="1"/>
          <w:color w:val="auto"/>
        </w:rPr>
        <w:t xml:space="preserve"> </w:t>
      </w:r>
      <w:r>
        <w:rPr>
          <w:rFonts w:ascii="Arial" w:cs="Arial" w:eastAsia="Arial" w:hAnsi="Arial"/>
          <w:sz w:val="17"/>
          <w:szCs w:val="17"/>
          <w:color w:val="auto"/>
        </w:rPr>
        <w:t>RSUs provided below assumes various per-share prices of Class A common stock that may be experienced upon any vesting and net settlement of the first four quarterly installments of the CEO Time-Based RSUs which could occur during the first year following the consummation of the Transactions. The illustrative tax withholding is calculated by multiplying (i) the number of CEO Time-Based RSUs (as cancelled and exchanged into Lucid Group RSUs) that could vest and net settle during the first year following the consummation of the Transactions by (ii) the respective target stock price and by (iii) the assumed 51.03% tax withholding rate. The actual per-share price of Class A common stock at the vesting and net settlement date may differ from the target stock prices illustrated below, which could result in material differences in the actual cash remitted to satisfy tax withholding obligations.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Target Stock</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Illustrative Shares</w:t>
            </w:r>
          </w:p>
        </w:tc>
        <w:tc>
          <w:tcPr>
            <w:tcW w:w="1040" w:type="dxa"/>
            <w:vAlign w:val="bottom"/>
          </w:tcPr>
          <w:p>
            <w:pPr>
              <w:jc w:val="center"/>
              <w:ind w:left="2"/>
              <w:spacing w:after="0"/>
              <w:rPr>
                <w:sz w:val="20"/>
                <w:szCs w:val="20"/>
                <w:color w:val="auto"/>
              </w:rPr>
            </w:pPr>
            <w:r>
              <w:rPr>
                <w:rFonts w:ascii="Arial" w:cs="Arial" w:eastAsia="Arial" w:hAnsi="Arial"/>
                <w:sz w:val="14"/>
                <w:szCs w:val="14"/>
                <w:b w:val="1"/>
                <w:bCs w:val="1"/>
                <w:color w:val="auto"/>
                <w:w w:val="89"/>
              </w:rPr>
              <w:t>Illustrative Tax</w:t>
            </w: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4"/>
                <w:szCs w:val="14"/>
                <w:b w:val="1"/>
                <w:bCs w:val="1"/>
                <w:color w:val="auto"/>
              </w:rPr>
              <w:t>Vested Lucid Group Awards (in 1st Year)</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w w:val="87"/>
              </w:rPr>
              <w:t>Price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Withheld for Taxes</w:t>
            </w:r>
          </w:p>
        </w:tc>
        <w:tc>
          <w:tcPr>
            <w:tcW w:w="1040" w:type="dxa"/>
            <w:vAlign w:val="bottom"/>
          </w:tcPr>
          <w:p>
            <w:pPr>
              <w:jc w:val="center"/>
              <w:ind w:left="22"/>
              <w:spacing w:after="0"/>
              <w:rPr>
                <w:sz w:val="20"/>
                <w:szCs w:val="20"/>
                <w:color w:val="auto"/>
              </w:rPr>
            </w:pPr>
            <w:r>
              <w:rPr>
                <w:rFonts w:ascii="Arial" w:cs="Arial" w:eastAsia="Arial" w:hAnsi="Arial"/>
                <w:sz w:val="14"/>
                <w:szCs w:val="14"/>
                <w:b w:val="1"/>
                <w:bCs w:val="1"/>
                <w:color w:val="auto"/>
                <w:w w:val="91"/>
              </w:rPr>
              <w:t>Withholding</w:t>
            </w: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20" w:type="dxa"/>
            <w:vAlign w:val="bottom"/>
            <w:tcBorders>
              <w:bottom w:val="single" w:sz="8" w:color="auto"/>
            </w:tcBorders>
            <w:gridSpan w:val="3"/>
          </w:tcPr>
          <w:p>
            <w:pPr>
              <w:spacing w:after="0"/>
              <w:rPr>
                <w:sz w:val="2"/>
                <w:szCs w:val="2"/>
                <w:color w:val="auto"/>
              </w:rPr>
            </w:pPr>
          </w:p>
        </w:tc>
        <w:tc>
          <w:tcPr>
            <w:tcW w:w="1260" w:type="dxa"/>
            <w:vAlign w:val="bottom"/>
          </w:tcPr>
          <w:p>
            <w:pPr>
              <w:spacing w:after="0"/>
              <w:rPr>
                <w:sz w:val="2"/>
                <w:szCs w:val="2"/>
                <w:color w:val="auto"/>
              </w:rPr>
            </w:pPr>
          </w:p>
        </w:tc>
      </w:tr>
      <w:tr>
        <w:trPr>
          <w:trHeight w:val="198"/>
        </w:trPr>
        <w:tc>
          <w:tcPr>
            <w:tcW w:w="12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gridSpan w:val="3"/>
          </w:tcPr>
          <w:p>
            <w:pPr>
              <w:ind w:left="280"/>
              <w:spacing w:after="0"/>
              <w:rPr>
                <w:sz w:val="20"/>
                <w:szCs w:val="20"/>
                <w:color w:val="auto"/>
              </w:rPr>
            </w:pPr>
            <w:r>
              <w:rPr>
                <w:rFonts w:ascii="Arial" w:cs="Arial" w:eastAsia="Arial" w:hAnsi="Arial"/>
                <w:sz w:val="14"/>
                <w:szCs w:val="14"/>
                <w:b w:val="1"/>
                <w:bCs w:val="1"/>
                <w:color w:val="auto"/>
                <w:w w:val="94"/>
              </w:rPr>
              <w:t>(in thousands, except share and per share data)</w:t>
            </w:r>
          </w:p>
        </w:tc>
        <w:tc>
          <w:tcPr>
            <w:tcW w:w="1260" w:type="dxa"/>
            <w:vAlign w:val="bottom"/>
          </w:tcPr>
          <w:p>
            <w:pPr>
              <w:spacing w:after="0"/>
              <w:rPr>
                <w:sz w:val="17"/>
                <w:szCs w:val="17"/>
                <w:color w:val="auto"/>
              </w:rPr>
            </w:pPr>
          </w:p>
        </w:tc>
      </w:tr>
      <w:tr>
        <w:trPr>
          <w:trHeight w:val="25"/>
        </w:trPr>
        <w:tc>
          <w:tcPr>
            <w:tcW w:w="12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260" w:type="dxa"/>
            <w:vAlign w:val="bottom"/>
          </w:tcPr>
          <w:p>
            <w:pPr>
              <w:spacing w:after="0"/>
              <w:rPr>
                <w:sz w:val="23"/>
                <w:szCs w:val="2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3,458,688</w:t>
            </w:r>
          </w:p>
        </w:tc>
        <w:tc>
          <w:tcPr>
            <w:tcW w:w="2560" w:type="dxa"/>
            <w:vAlign w:val="bottom"/>
            <w:gridSpan w:val="3"/>
            <w:shd w:val="clear" w:color="auto" w:fill="CCEEFF"/>
          </w:tcPr>
          <w:p>
            <w:pPr>
              <w:jc w:val="center"/>
              <w:ind w:left="1490"/>
              <w:spacing w:after="0"/>
              <w:rPr>
                <w:sz w:val="20"/>
                <w:szCs w:val="20"/>
                <w:color w:val="auto"/>
              </w:rPr>
            </w:pPr>
            <w:r>
              <w:rPr>
                <w:rFonts w:ascii="Arial" w:cs="Arial" w:eastAsia="Arial" w:hAnsi="Arial"/>
                <w:sz w:val="18"/>
                <w:szCs w:val="18"/>
                <w:color w:val="auto"/>
                <w:w w:val="90"/>
              </w:rPr>
              <w:t>$10.00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1,764,968</w:t>
            </w:r>
          </w:p>
        </w:tc>
        <w:tc>
          <w:tcPr>
            <w:tcW w:w="1040" w:type="dxa"/>
            <w:vAlign w:val="bottom"/>
            <w:shd w:val="clear" w:color="auto" w:fill="CCEEFF"/>
          </w:tcPr>
          <w:p>
            <w:pPr>
              <w:jc w:val="center"/>
              <w:ind w:left="42"/>
              <w:spacing w:after="0"/>
              <w:rPr>
                <w:sz w:val="20"/>
                <w:szCs w:val="20"/>
                <w:color w:val="auto"/>
              </w:rPr>
            </w:pPr>
            <w:r>
              <w:rPr>
                <w:rFonts w:ascii="Arial" w:cs="Arial" w:eastAsia="Arial" w:hAnsi="Arial"/>
                <w:sz w:val="18"/>
                <w:szCs w:val="18"/>
                <w:color w:val="auto"/>
                <w:w w:val="92"/>
              </w:rPr>
              <w:t>$17,650</w:t>
            </w:r>
          </w:p>
        </w:tc>
        <w:tc>
          <w:tcPr>
            <w:tcW w:w="1260" w:type="dxa"/>
            <w:vAlign w:val="bottom"/>
          </w:tcPr>
          <w:p>
            <w:pPr>
              <w:spacing w:after="0"/>
              <w:rPr>
                <w:sz w:val="23"/>
                <w:szCs w:val="23"/>
                <w:color w:val="auto"/>
              </w:rPr>
            </w:pPr>
          </w:p>
        </w:tc>
      </w:tr>
      <w:tr>
        <w:trPr>
          <w:trHeight w:val="621"/>
        </w:trPr>
        <w:tc>
          <w:tcPr>
            <w:tcW w:w="1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-984885</wp:posOffset>
            </wp:positionV>
            <wp:extent cx="1371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-984885</wp:posOffset>
            </wp:positionV>
            <wp:extent cx="1371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8" w:name="page99"/>
    <w:bookmarkEnd w:id="9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rPr>
              <w:t>Target Stock</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Illustrative Shares</w:t>
            </w:r>
          </w:p>
        </w:tc>
        <w:tc>
          <w:tcPr>
            <w:tcW w:w="1040" w:type="dxa"/>
            <w:vAlign w:val="bottom"/>
          </w:tcPr>
          <w:p>
            <w:pPr>
              <w:ind w:left="120"/>
              <w:spacing w:after="0"/>
              <w:rPr>
                <w:sz w:val="20"/>
                <w:szCs w:val="20"/>
                <w:color w:val="auto"/>
              </w:rPr>
            </w:pPr>
            <w:r>
              <w:rPr>
                <w:rFonts w:ascii="Arial" w:cs="Arial" w:eastAsia="Arial" w:hAnsi="Arial"/>
                <w:sz w:val="14"/>
                <w:szCs w:val="14"/>
                <w:b w:val="1"/>
                <w:bCs w:val="1"/>
                <w:color w:val="auto"/>
                <w:w w:val="91"/>
              </w:rPr>
              <w:t>Illustrative Tax</w:t>
            </w:r>
          </w:p>
        </w:tc>
      </w:tr>
      <w:tr>
        <w:trPr>
          <w:trHeight w:val="186"/>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Vested Lucid Group Awards (in 1st Year)</w:t>
            </w: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Price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Withheld for Taxes</w:t>
            </w:r>
          </w:p>
        </w:tc>
        <w:tc>
          <w:tcPr>
            <w:tcW w:w="1040" w:type="dxa"/>
            <w:vAlign w:val="bottom"/>
          </w:tcPr>
          <w:p>
            <w:pPr>
              <w:jc w:val="center"/>
              <w:ind w:left="55"/>
              <w:spacing w:after="0"/>
              <w:rPr>
                <w:sz w:val="20"/>
                <w:szCs w:val="20"/>
                <w:color w:val="auto"/>
              </w:rPr>
            </w:pPr>
            <w:r>
              <w:rPr>
                <w:rFonts w:ascii="Arial" w:cs="Arial" w:eastAsia="Arial" w:hAnsi="Arial"/>
                <w:sz w:val="14"/>
                <w:szCs w:val="14"/>
                <w:b w:val="1"/>
                <w:bCs w:val="1"/>
                <w:color w:val="auto"/>
                <w:w w:val="91"/>
              </w:rPr>
              <w:t>Withholding</w:t>
            </w:r>
          </w:p>
        </w:tc>
      </w:tr>
      <w:tr>
        <w:trPr>
          <w:trHeight w:val="26"/>
        </w:trPr>
        <w:tc>
          <w:tcPr>
            <w:tcW w:w="4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00" w:type="dxa"/>
            <w:vAlign w:val="bottom"/>
            <w:tcBorders>
              <w:bottom w:val="single" w:sz="8" w:color="auto"/>
            </w:tcBorders>
            <w:gridSpan w:val="3"/>
          </w:tcPr>
          <w:p>
            <w:pPr>
              <w:spacing w:after="0"/>
              <w:rPr>
                <w:sz w:val="2"/>
                <w:szCs w:val="2"/>
                <w:color w:val="auto"/>
              </w:rPr>
            </w:pPr>
          </w:p>
        </w:tc>
      </w:tr>
      <w:tr>
        <w:trPr>
          <w:trHeight w:val="197"/>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gridSpan w:val="3"/>
          </w:tcPr>
          <w:p>
            <w:pPr>
              <w:ind w:left="280"/>
              <w:spacing w:after="0"/>
              <w:rPr>
                <w:sz w:val="20"/>
                <w:szCs w:val="20"/>
                <w:color w:val="auto"/>
              </w:rPr>
            </w:pPr>
            <w:r>
              <w:rPr>
                <w:rFonts w:ascii="Arial" w:cs="Arial" w:eastAsia="Arial" w:hAnsi="Arial"/>
                <w:sz w:val="14"/>
                <w:szCs w:val="14"/>
                <w:b w:val="1"/>
                <w:bCs w:val="1"/>
                <w:color w:val="auto"/>
                <w:w w:val="94"/>
              </w:rPr>
              <w:t>(in thousands, except share and per share data)</w:t>
            </w:r>
          </w:p>
        </w:tc>
      </w:tr>
      <w:tr>
        <w:trPr>
          <w:trHeight w:val="26"/>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3,458,688</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1,764,968</w:t>
            </w:r>
          </w:p>
        </w:tc>
        <w:tc>
          <w:tcPr>
            <w:tcW w:w="104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87"/>
              </w:rPr>
              <w:t>26,475</w:t>
            </w:r>
          </w:p>
        </w:tc>
      </w:tr>
      <w:tr>
        <w:trPr>
          <w:trHeight w:val="257"/>
        </w:trPr>
        <w:tc>
          <w:tcPr>
            <w:tcW w:w="4680" w:type="dxa"/>
            <w:vAlign w:val="bottom"/>
          </w:tcPr>
          <w:p>
            <w:pPr>
              <w:spacing w:after="0"/>
              <w:rPr>
                <w:sz w:val="20"/>
                <w:szCs w:val="20"/>
                <w:color w:val="auto"/>
              </w:rPr>
            </w:pPr>
            <w:r>
              <w:rPr>
                <w:rFonts w:ascii="Arial" w:cs="Arial" w:eastAsia="Arial" w:hAnsi="Arial"/>
                <w:sz w:val="18"/>
                <w:szCs w:val="18"/>
                <w:color w:val="auto"/>
              </w:rPr>
              <w:t>3,458,688</w:t>
            </w:r>
          </w:p>
        </w:tc>
        <w:tc>
          <w:tcPr>
            <w:tcW w:w="2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1,764,968</w:t>
            </w:r>
          </w:p>
        </w:tc>
        <w:tc>
          <w:tcPr>
            <w:tcW w:w="1040" w:type="dxa"/>
            <w:vAlign w:val="bottom"/>
          </w:tcPr>
          <w:p>
            <w:pPr>
              <w:jc w:val="center"/>
              <w:ind w:left="75"/>
              <w:spacing w:after="0"/>
              <w:rPr>
                <w:sz w:val="20"/>
                <w:szCs w:val="20"/>
                <w:color w:val="auto"/>
              </w:rPr>
            </w:pPr>
            <w:r>
              <w:rPr>
                <w:rFonts w:ascii="Arial" w:cs="Arial" w:eastAsia="Arial" w:hAnsi="Arial"/>
                <w:sz w:val="18"/>
                <w:szCs w:val="18"/>
                <w:color w:val="auto"/>
                <w:w w:val="87"/>
              </w:rPr>
              <w:t>35,299</w:t>
            </w:r>
          </w:p>
        </w:tc>
      </w:tr>
      <w:tr>
        <w:trPr>
          <w:trHeight w:val="25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3,458,688</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1,764,968</w:t>
            </w:r>
          </w:p>
        </w:tc>
        <w:tc>
          <w:tcPr>
            <w:tcW w:w="104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87"/>
              </w:rPr>
              <w:t>44,124</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3,458,688</w:t>
            </w:r>
          </w:p>
        </w:tc>
        <w:tc>
          <w:tcPr>
            <w:tcW w:w="22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30.00</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1,764,968</w:t>
            </w:r>
          </w:p>
        </w:tc>
        <w:tc>
          <w:tcPr>
            <w:tcW w:w="1040" w:type="dxa"/>
            <w:vAlign w:val="bottom"/>
          </w:tcPr>
          <w:p>
            <w:pPr>
              <w:jc w:val="center"/>
              <w:ind w:left="75"/>
              <w:spacing w:after="0"/>
              <w:rPr>
                <w:sz w:val="20"/>
                <w:szCs w:val="20"/>
                <w:color w:val="auto"/>
              </w:rPr>
            </w:pPr>
            <w:r>
              <w:rPr>
                <w:rFonts w:ascii="Arial" w:cs="Arial" w:eastAsia="Arial" w:hAnsi="Arial"/>
                <w:sz w:val="18"/>
                <w:szCs w:val="18"/>
                <w:color w:val="auto"/>
                <w:w w:val="87"/>
              </w:rPr>
              <w:t>52,949</w:t>
            </w:r>
          </w:p>
        </w:tc>
      </w:tr>
      <w:tr>
        <w:trPr>
          <w:trHeight w:val="27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3,458,688</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1,764,968</w:t>
            </w:r>
          </w:p>
        </w:tc>
        <w:tc>
          <w:tcPr>
            <w:tcW w:w="104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87"/>
              </w:rPr>
              <w:t>61,774</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3,458,688</w:t>
            </w:r>
          </w:p>
        </w:tc>
        <w:tc>
          <w:tcPr>
            <w:tcW w:w="22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1,764,968</w:t>
            </w:r>
          </w:p>
        </w:tc>
        <w:tc>
          <w:tcPr>
            <w:tcW w:w="1040" w:type="dxa"/>
            <w:vAlign w:val="bottom"/>
          </w:tcPr>
          <w:p>
            <w:pPr>
              <w:jc w:val="center"/>
              <w:ind w:left="75"/>
              <w:spacing w:after="0"/>
              <w:rPr>
                <w:sz w:val="20"/>
                <w:szCs w:val="20"/>
                <w:color w:val="auto"/>
              </w:rPr>
            </w:pPr>
            <w:r>
              <w:rPr>
                <w:rFonts w:ascii="Arial" w:cs="Arial" w:eastAsia="Arial" w:hAnsi="Arial"/>
                <w:sz w:val="18"/>
                <w:szCs w:val="18"/>
                <w:color w:val="auto"/>
                <w:w w:val="87"/>
              </w:rPr>
              <w:t>70,599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5283200</wp:posOffset>
            </wp:positionH>
            <wp:positionV relativeFrom="paragraph">
              <wp:posOffset>-1156970</wp:posOffset>
            </wp:positionV>
            <wp:extent cx="137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-1156970</wp:posOffset>
            </wp:positionV>
            <wp:extent cx="137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9"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i w:val="1"/>
          <w:iCs w:val="1"/>
          <w:color w:val="auto"/>
        </w:rPr>
        <w:t xml:space="preserve">CEO Performance RSUs Tax Withholding </w:t>
      </w:r>
      <w:r>
        <w:rPr>
          <w:rFonts w:ascii="Arial" w:cs="Arial" w:eastAsia="Arial" w:hAnsi="Arial"/>
          <w:sz w:val="17"/>
          <w:szCs w:val="17"/>
          <w:color w:val="auto"/>
        </w:rPr>
        <w:t>— The illustrative tax withholding for the CEO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RSUs provided below assumes various target per-share prices of Class A common stock that may be experienced upon any vesting and net settlement of the CEO Performance RSUs which could occur during the first year following the consummation of the Transactions. The target stock prices for each Lucid Group Market Capitalization Target threshold have been derived using the total number of shares of Class A common stock outstanding upon the consummation of the Transactions as presented in the section entitled “</w:t>
      </w:r>
      <w:r>
        <w:rPr>
          <w:rFonts w:ascii="Arial" w:cs="Arial" w:eastAsia="Arial" w:hAnsi="Arial"/>
          <w:sz w:val="17"/>
          <w:szCs w:val="17"/>
          <w:i w:val="1"/>
          <w:iCs w:val="1"/>
          <w:color w:val="auto"/>
        </w:rPr>
        <w:t>Unaudited Pro Forma Condensed Combined Financial Information Basis of Pro Forma Presentation.</w:t>
      </w:r>
      <w:r>
        <w:rPr>
          <w:rFonts w:ascii="Arial" w:cs="Arial" w:eastAsia="Arial" w:hAnsi="Arial"/>
          <w:sz w:val="17"/>
          <w:szCs w:val="17"/>
          <w:color w:val="auto"/>
        </w:rPr>
        <w:t>” The illustrative tax withholding is calculated for each target stock price by multiplying (i) the number of CEO Performance RSUs (as cancelled and exchanged into Lucid Group RSUs) that could vest and net settle at each Lucid Group Market Capitalization Target threshold by (ii) the respective target stock price for each Lucid Group Market Capitalization Target threshold and by (iii) the assumed 51.03% tax rate. The actual per-share price of Class A common stock at the vesting and net settlement date may differ from the target stock price illustrated below, which could result in material differences in the actual cash remitted to satisfy tax withholding obligations.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Lucid Group</w:t>
            </w:r>
          </w:p>
        </w:tc>
        <w:tc>
          <w:tcPr>
            <w:tcW w:w="1140" w:type="dxa"/>
            <w:vAlign w:val="bottom"/>
          </w:tcPr>
          <w:p>
            <w:pPr>
              <w:jc w:val="right"/>
              <w:ind w:right="57"/>
              <w:spacing w:after="0"/>
              <w:rPr>
                <w:sz w:val="20"/>
                <w:szCs w:val="20"/>
                <w:color w:val="auto"/>
              </w:rPr>
            </w:pPr>
            <w:r>
              <w:rPr>
                <w:rFonts w:ascii="Arial" w:cs="Arial" w:eastAsia="Arial" w:hAnsi="Arial"/>
                <w:sz w:val="14"/>
                <w:szCs w:val="14"/>
                <w:b w:val="1"/>
                <w:bCs w:val="1"/>
                <w:color w:val="auto"/>
              </w:rPr>
              <w:t>Target Market</w:t>
            </w:r>
          </w:p>
        </w:tc>
        <w:tc>
          <w:tcPr>
            <w:tcW w:w="1000" w:type="dxa"/>
            <w:vAlign w:val="bottom"/>
          </w:tcPr>
          <w:p>
            <w:pPr>
              <w:jc w:val="right"/>
              <w:ind w:right="35"/>
              <w:spacing w:after="0"/>
              <w:rPr>
                <w:sz w:val="20"/>
                <w:szCs w:val="20"/>
                <w:color w:val="auto"/>
              </w:rPr>
            </w:pPr>
            <w:r>
              <w:rPr>
                <w:rFonts w:ascii="Arial" w:cs="Arial" w:eastAsia="Arial" w:hAnsi="Arial"/>
                <w:sz w:val="14"/>
                <w:szCs w:val="14"/>
                <w:b w:val="1"/>
                <w:bCs w:val="1"/>
                <w:color w:val="auto"/>
              </w:rPr>
              <w:t>Target Stock</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Illustrative Shares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9"/>
              </w:rPr>
              <w:t>Illustrative Tax</w:t>
            </w:r>
          </w:p>
        </w:tc>
      </w:tr>
      <w:tr>
        <w:trPr>
          <w:trHeight w:val="186"/>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Tranche</w:t>
            </w:r>
          </w:p>
        </w:tc>
        <w:tc>
          <w:tcPr>
            <w:tcW w:w="90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Award</w:t>
            </w:r>
          </w:p>
        </w:tc>
        <w:tc>
          <w:tcPr>
            <w:tcW w:w="1140" w:type="dxa"/>
            <w:vAlign w:val="bottom"/>
          </w:tcPr>
          <w:p>
            <w:pPr>
              <w:jc w:val="right"/>
              <w:ind w:right="57"/>
              <w:spacing w:after="0"/>
              <w:rPr>
                <w:sz w:val="20"/>
                <w:szCs w:val="20"/>
                <w:color w:val="auto"/>
              </w:rPr>
            </w:pPr>
            <w:r>
              <w:rPr>
                <w:rFonts w:ascii="Arial" w:cs="Arial" w:eastAsia="Arial" w:hAnsi="Arial"/>
                <w:sz w:val="14"/>
                <w:szCs w:val="14"/>
                <w:b w:val="1"/>
                <w:bCs w:val="1"/>
                <w:color w:val="auto"/>
              </w:rPr>
              <w:t>Capitalization</w:t>
            </w: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Price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Withheld for Taxes</w:t>
            </w:r>
          </w:p>
        </w:tc>
        <w:tc>
          <w:tcPr>
            <w:tcW w:w="1040" w:type="dxa"/>
            <w:vAlign w:val="bottom"/>
          </w:tcPr>
          <w:p>
            <w:pPr>
              <w:jc w:val="right"/>
              <w:ind w:right="15"/>
              <w:spacing w:after="0"/>
              <w:rPr>
                <w:sz w:val="20"/>
                <w:szCs w:val="20"/>
                <w:color w:val="auto"/>
              </w:rPr>
            </w:pPr>
            <w:r>
              <w:rPr>
                <w:rFonts w:ascii="Arial" w:cs="Arial" w:eastAsia="Arial" w:hAnsi="Arial"/>
                <w:sz w:val="14"/>
                <w:szCs w:val="14"/>
                <w:b w:val="1"/>
                <w:bCs w:val="1"/>
                <w:color w:val="auto"/>
              </w:rPr>
              <w:t>Withholding</w:t>
            </w:r>
          </w:p>
        </w:tc>
      </w:tr>
      <w:tr>
        <w:trPr>
          <w:trHeight w:val="25"/>
        </w:trPr>
        <w:tc>
          <w:tcPr>
            <w:tcW w:w="2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8"/>
        </w:trPr>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40" w:type="dxa"/>
            <w:vAlign w:val="bottom"/>
            <w:gridSpan w:val="3"/>
          </w:tcPr>
          <w:p>
            <w:pPr>
              <w:ind w:left="460"/>
              <w:spacing w:after="0"/>
              <w:rPr>
                <w:sz w:val="20"/>
                <w:szCs w:val="20"/>
                <w:color w:val="auto"/>
              </w:rPr>
            </w:pPr>
            <w:r>
              <w:rPr>
                <w:rFonts w:ascii="Arial" w:cs="Arial" w:eastAsia="Arial" w:hAnsi="Arial"/>
                <w:sz w:val="14"/>
                <w:szCs w:val="14"/>
                <w:b w:val="1"/>
                <w:bCs w:val="1"/>
                <w:color w:val="auto"/>
                <w:w w:val="96"/>
              </w:rPr>
              <w:t>(in thousands, except share and per share data)</w:t>
            </w:r>
          </w:p>
        </w:tc>
        <w:tc>
          <w:tcPr>
            <w:tcW w:w="1040" w:type="dxa"/>
            <w:vAlign w:val="bottom"/>
          </w:tcPr>
          <w:p>
            <w:pPr>
              <w:spacing w:after="0"/>
              <w:rPr>
                <w:sz w:val="17"/>
                <w:szCs w:val="17"/>
                <w:color w:val="auto"/>
              </w:rPr>
            </w:pPr>
          </w:p>
        </w:tc>
      </w:tr>
      <w:tr>
        <w:trPr>
          <w:trHeight w:val="25"/>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9"/>
              </w:rPr>
              <w:t>3,483,568</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$23,500,000</w:t>
            </w: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$14.52</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1,777,665</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$25,076</w:t>
            </w:r>
          </w:p>
        </w:tc>
      </w:tr>
      <w:tr>
        <w:trPr>
          <w:trHeight w:val="257"/>
        </w:trPr>
        <w:tc>
          <w:tcPr>
            <w:tcW w:w="2500" w:type="dxa"/>
            <w:vAlign w:val="bottom"/>
          </w:tcPr>
          <w:p>
            <w:pPr>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2"/>
                <w:szCs w:val="22"/>
                <w:color w:val="auto"/>
              </w:rPr>
            </w:pPr>
          </w:p>
        </w:tc>
        <w:tc>
          <w:tcPr>
            <w:tcW w:w="900" w:type="dxa"/>
            <w:vAlign w:val="bottom"/>
          </w:tcPr>
          <w:p>
            <w:pPr>
              <w:jc w:val="center"/>
              <w:ind w:right="15"/>
              <w:spacing w:after="0"/>
              <w:rPr>
                <w:sz w:val="20"/>
                <w:szCs w:val="20"/>
                <w:color w:val="auto"/>
              </w:rPr>
            </w:pPr>
            <w:r>
              <w:rPr>
                <w:rFonts w:ascii="Arial" w:cs="Arial" w:eastAsia="Arial" w:hAnsi="Arial"/>
                <w:sz w:val="18"/>
                <w:szCs w:val="18"/>
                <w:color w:val="auto"/>
                <w:w w:val="89"/>
              </w:rPr>
              <w:t>3,483,568</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32,250,000</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19.92</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1,777,665</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34,412</w:t>
            </w:r>
          </w:p>
        </w:tc>
      </w:tr>
      <w:tr>
        <w:trPr>
          <w:trHeight w:val="25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9"/>
              </w:rPr>
              <w:t>3,483,568</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47,000,000</w:t>
            </w: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29.04</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1,777,665</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50,151</w:t>
            </w:r>
          </w:p>
        </w:tc>
      </w:tr>
      <w:tr>
        <w:trPr>
          <w:trHeight w:val="270"/>
        </w:trPr>
        <w:tc>
          <w:tcPr>
            <w:tcW w:w="2500" w:type="dxa"/>
            <w:vAlign w:val="bottom"/>
          </w:tcPr>
          <w:p>
            <w:pPr>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900" w:type="dxa"/>
            <w:vAlign w:val="bottom"/>
          </w:tcPr>
          <w:p>
            <w:pPr>
              <w:jc w:val="center"/>
              <w:ind w:right="15"/>
              <w:spacing w:after="0"/>
              <w:rPr>
                <w:sz w:val="20"/>
                <w:szCs w:val="20"/>
                <w:color w:val="auto"/>
              </w:rPr>
            </w:pPr>
            <w:r>
              <w:rPr>
                <w:rFonts w:ascii="Arial" w:cs="Arial" w:eastAsia="Arial" w:hAnsi="Arial"/>
                <w:sz w:val="18"/>
                <w:szCs w:val="18"/>
                <w:color w:val="auto"/>
                <w:w w:val="89"/>
              </w:rPr>
              <w:t>3,483,568</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58,750,000</w:t>
            </w:r>
          </w:p>
        </w:tc>
        <w:tc>
          <w:tcPr>
            <w:tcW w:w="1000" w:type="dxa"/>
            <w:vAlign w:val="bottom"/>
          </w:tcPr>
          <w:p>
            <w:pPr>
              <w:jc w:val="right"/>
              <w:ind w:right="155"/>
              <w:spacing w:after="0"/>
              <w:rPr>
                <w:sz w:val="20"/>
                <w:szCs w:val="20"/>
                <w:color w:val="auto"/>
              </w:rPr>
            </w:pPr>
            <w:r>
              <w:rPr>
                <w:rFonts w:ascii="Arial" w:cs="Arial" w:eastAsia="Arial" w:hAnsi="Arial"/>
                <w:sz w:val="18"/>
                <w:szCs w:val="18"/>
                <w:color w:val="auto"/>
              </w:rPr>
              <w:t>36.30</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1,777,665</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62,689</w:t>
            </w:r>
          </w:p>
        </w:tc>
      </w:tr>
      <w:tr>
        <w:trPr>
          <w:trHeight w:val="27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9"/>
              </w:rPr>
              <w:t>2,090,140</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70,500,000</w:t>
            </w: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43.56</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1,066,598</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45,136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-984885</wp:posOffset>
            </wp:positionV>
            <wp:extent cx="137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-984885</wp:posOffset>
            </wp:positionV>
            <wp:extent cx="137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-984885</wp:posOffset>
            </wp:positionV>
            <wp:extent cx="137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-984885</wp:posOffset>
            </wp:positionV>
            <wp:extent cx="137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Share Valuation</w:t>
      </w:r>
    </w:p>
    <w:p>
      <w:pPr>
        <w:spacing w:after="0" w:line="148"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The fair value of our common shares has historically been determined by the Lucid board of directors with the assistance of management and third-party valuation services providers. In the absence of a public trading market for our common shares, on each grant date, we develop an estimate of the fair value of our common shares based on the information known on the date of grant, upon a review of any recent events and their potential impact on the estimated fair value per common share, and in part on input from third-party valuations.</w:t>
      </w:r>
    </w:p>
    <w:p>
      <w:pPr>
        <w:spacing w:after="0" w:line="122"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Our common share valuations were determined in accordance with the guidelines outlined in the American Institute of Certified Public Accountants Practice Aid, Valuation of Privately-Held-Company Equity Securities Issued as Compensation. The assumptions used to determine the estimated fair value of our common shares are based on numerous objective and subjective factors, combined with management’s judgment, including:</w:t>
      </w:r>
    </w:p>
    <w:p>
      <w:pPr>
        <w:spacing w:after="0" w:line="81" w:lineRule="exact"/>
        <w:rPr>
          <w:sz w:val="20"/>
          <w:szCs w:val="20"/>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independent third-party valuations of our common shares;</w:t>
      </w:r>
    </w:p>
    <w:p>
      <w:pPr>
        <w:spacing w:after="0" w:line="117"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prices at which we sold our common and convertible preferred shares to outside investors in arms-length transactions;</w:t>
      </w:r>
    </w:p>
    <w:p>
      <w:pPr>
        <w:spacing w:after="0" w:line="48"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shares relative to those of our common shares;</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results of operations, financial position, and capital resources;</w:t>
      </w:r>
    </w:p>
    <w:p>
      <w:pPr>
        <w:spacing w:after="0" w:line="117"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history and nature of our business, the progress of our research and development efforts, our stage of development, business strategy, and outlook;</w:t>
      </w:r>
    </w:p>
    <w:p>
      <w:pPr>
        <w:spacing w:after="0" w:line="62"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external market conditions affecting the automotive and electric vehicles industry, competitive environment, and other trends within the industry;</w:t>
      </w:r>
    </w:p>
    <w:p>
      <w:pPr>
        <w:spacing w:after="0" w:line="62"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sale of our company given prevailing market conditions;</w:t>
      </w:r>
    </w:p>
    <w:p>
      <w:pPr>
        <w:spacing w:after="0" w:line="62"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lack of marketability of our common shares and the fact that the option grants involve illiquid securities in a private company;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and</w:t>
      </w:r>
    </w:p>
    <w:p>
      <w:pPr>
        <w:spacing w:after="0" w:line="117" w:lineRule="exact"/>
        <w:rPr>
          <w:rFonts w:ascii="Arial" w:cs="Arial" w:eastAsia="Arial" w:hAnsi="Arial"/>
          <w:sz w:val="18"/>
          <w:szCs w:val="18"/>
          <w:color w:val="auto"/>
        </w:rPr>
      </w:pPr>
    </w:p>
    <w:p>
      <w:pPr>
        <w:ind w:left="1800" w:right="559" w:hanging="180"/>
        <w:spacing w:after="0" w:line="308" w:lineRule="auto"/>
        <w:tabs>
          <w:tab w:leader="none" w:pos="18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general U.S. and global market conditions, including general economic outlook including economic growth, inflation and unemployment, interest rate environment, and global economic trends.</w:t>
      </w:r>
    </w:p>
    <w:p>
      <w:pPr>
        <w:spacing w:after="0" w:line="79"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In determining the fair value of our common shares, we established the enterprise value of the Lucid business using the market approach and the income approach. Under the income approach, forecasted cash flows are discounted to the present value at a risk-adjusted discount rate. The valuation analyses determine discrete free cash flows over multiple years based on forecasted financial information provided by our management and a terminal value for the residual period beyond the discrete forecast, which are discounted at a rate of return that accounts for both the time value of money and investment risk factors. Under the market approach, a group of guideline publicly traded companies with similar financial and operating characteristics to Lucid are selected, and valuation multiples based on the guideline public companies’ financial information and market data are calculated. Based on the observed valuation multiples, an appropriate multiple was selected to apply to our historical and forecasted revenue results.</w:t>
      </w:r>
    </w:p>
    <w:p>
      <w:pPr>
        <w:spacing w:after="0" w:line="11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 performing a valuation analysis of Lucid’s equity value and our preferred shares, common shares, tranche rights and warrants, we used the probability weighted expected return method (“</w:t>
      </w:r>
      <w:r>
        <w:rPr>
          <w:rFonts w:ascii="Arial" w:cs="Arial" w:eastAsia="Arial" w:hAnsi="Arial"/>
          <w:sz w:val="18"/>
          <w:szCs w:val="18"/>
          <w:i w:val="1"/>
          <w:iCs w:val="1"/>
          <w:color w:val="auto"/>
        </w:rPr>
        <w:t>PWERM</w:t>
      </w:r>
      <w:r>
        <w:rPr>
          <w:rFonts w:ascii="Arial" w:cs="Arial" w:eastAsia="Arial" w:hAnsi="Arial"/>
          <w:sz w:val="18"/>
          <w:szCs w:val="18"/>
          <w:color w:val="auto"/>
        </w:rPr>
        <w:t>”) framework. The PWERM framework is a scenario-based methodology that estimates the fair value of common shares based upon an analysis of future values for Lucid, assuming various outcomes. The common share value is based on the probability-weighted present value of expected future investment returns considering each of the possible outcomes available as well as the rights of each class of shares. The future value of the common shares under each outcome is discounted back to the valuation date at an appropriate risk-adjusted discount rate and probability weighted to arrive at an indication of value for the common shares.</w:t>
      </w:r>
    </w:p>
    <w:p>
      <w:pPr>
        <w:spacing w:after="0" w:line="115"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We considered three scenarios in the PWERM framework: option pricing method (“OPM”) scenario, as-converted SPAC scenario, and as-converted IPO scenario. Under the OPM scenario, we used the OPM to allocate the equity value to respective classes of securities. The OPM, which models each class of equity securities as a call option with a unique claim on Lucid’s assets, treats Lucid common shares and convertible preferred shares as call options on an equity value with exercise prices based on the liquidation preference of our convertible preferred shares. The common shares are modeled as a call option with a claim on the equity value at an exercise price equal to the remaining value immediately after Lucid’s convertible preferred shares are liquidated. The OPM scenario assumes that investors will convert in an IPO or high value sale if the value appreciates sufficiently, but also captures the value of the downside protection from the preferred liquidation preferences if Lucid does not grow as much as planned. Under the OPM scenario, we considered 40% probability that an IPO or high value sale will be completed in June 2022.</w:t>
      </w:r>
    </w:p>
    <w:p>
      <w:pPr>
        <w:spacing w:after="0" w:line="11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The as-converted scenarios presume a high-value exit scenario in which all Lucid convertible preferred shares convert into Lucid common shares based upon their conversion terms and differences in the rights and preferences of the share of Lucid convertible preferred shares are ignored. Under the as-converted scenarios, we considered 40% probability that a merger with a SPAC will be completed in June 2021 and 20% probability that an IPO will be completed in June 2022.</w:t>
      </w:r>
    </w:p>
    <w:p>
      <w:pPr>
        <w:spacing w:after="0" w:line="120" w:lineRule="exact"/>
        <w:rPr>
          <w:sz w:val="20"/>
          <w:szCs w:val="20"/>
          <w:color w:val="auto"/>
        </w:rPr>
      </w:pPr>
    </w:p>
    <w:p>
      <w:pPr>
        <w:ind w:left="1260" w:right="1099" w:firstLine="360"/>
        <w:spacing w:after="0" w:line="342" w:lineRule="auto"/>
        <w:rPr>
          <w:sz w:val="20"/>
          <w:szCs w:val="20"/>
          <w:color w:val="auto"/>
        </w:rPr>
      </w:pPr>
      <w:r>
        <w:rPr>
          <w:rFonts w:ascii="Arial" w:cs="Arial" w:eastAsia="Arial" w:hAnsi="Arial"/>
          <w:sz w:val="16"/>
          <w:szCs w:val="16"/>
          <w:color w:val="auto"/>
        </w:rPr>
        <w:t>In determining the fair value of our common shares subsequent to the announcement of the Transactions, the Company used a market approach based on the $15.00 per share purchase price of</w:t>
      </w:r>
    </w:p>
    <w:p>
      <w:pPr>
        <w:sectPr>
          <w:pgSz w:w="11900" w:h="16838" w:orient="portrait"/>
          <w:cols w:equalWidth="0" w:num="1">
            <w:col w:w="9879"/>
          </w:cols>
          <w:pgMar w:left="580" w:top="131" w:right="1440" w:bottom="1440" w:gutter="0" w:footer="0" w:header="0"/>
        </w:sectPr>
      </w:pPr>
    </w:p>
    <w:p>
      <w:pPr>
        <w:spacing w:after="0" w:line="29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Churchill’s Class A common stock pursuant to the PIPE Investment and the closing prices of the publicly traded Churchill’s Class A common stock as of the grant date, each multiplied by the Exchange Ratio, which has been determined in accordance with the Merger Agreement and assumes Lucid had $547.6 million in net cash as of two business days prior to the Closing Date.</w:t>
      </w:r>
    </w:p>
    <w:p>
      <w:pPr>
        <w:spacing w:after="0" w:line="107"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In all scenarios, a discount for lack of marketability (“</w:t>
      </w:r>
      <w:r>
        <w:rPr>
          <w:rFonts w:ascii="Arial" w:cs="Arial" w:eastAsia="Arial" w:hAnsi="Arial"/>
          <w:sz w:val="18"/>
          <w:szCs w:val="18"/>
          <w:i w:val="1"/>
          <w:iCs w:val="1"/>
          <w:color w:val="auto"/>
        </w:rPr>
        <w:t>DLOM</w:t>
      </w:r>
      <w:r>
        <w:rPr>
          <w:rFonts w:ascii="Arial" w:cs="Arial" w:eastAsia="Arial" w:hAnsi="Arial"/>
          <w:sz w:val="18"/>
          <w:szCs w:val="18"/>
          <w:color w:val="auto"/>
        </w:rPr>
        <w:t>”) was applied to arrive at a fair value of common shares. A DLOM was meant to account for the lack of marketability of shares that was not publicly traded.</w:t>
      </w:r>
    </w:p>
    <w:p>
      <w:pPr>
        <w:spacing w:after="0" w:line="11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 impact our valuations as of each valuation date and may have a material impact on the valuation of our common shares. Following the Closing, our Board will determine the fair value of each share of underlying common stock based on the closing price of Class A common stock as reported on the date of grant.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of Contingent Forward Contract</w:t>
      </w:r>
    </w:p>
    <w:p>
      <w:pPr>
        <w:spacing w:after="0" w:line="158"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6"/>
          <w:szCs w:val="16"/>
          <w:color w:val="auto"/>
        </w:rPr>
        <w:t>We account for the contingent forward contract to purchase Lucid Series E Preferred Shares as a derivative liability because the contingent forward contract may require us to issue additional shares at a future date. The contingent forward contract is recorded at fair value upon issuance and is subject to remeasurement to fair value at each period end, with any fair value adjustments recognized as a component within other income (expense), net in our consolidated statements of operations and comprehensive loss.</w:t>
      </w:r>
    </w:p>
    <w:p>
      <w:pPr>
        <w:spacing w:after="0" w:line="7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In February 2021, Ayar agreed to be obligated to purchase up to 75,918,392 Lucid Series E Preferred Shares at approximately $7.90 per share, subject to other existing preferred shareholders being provided a right of first refusal to purchase up to 8,977,769 Lucid Series E Preferred Shares at approximately $7.90 per share. We and Ayar also agreed to allow Lucid, subject to Ayar’s approval, to provide members of our board of directors, employees, consultants, and others a right of first refusal to purchase a portion of the Lucid Series E Preferred Shares that Ayar would otherwise be required to purchase. Ayar remained obligated to purchase any amount of the Lucid Series E Preferred Shares that were offered but not purchased by the other parties such that the issuance of the Lucid Series E Preferred Shares would meet the total target of 75,918,392 shares at approximately $7.90 per share.</w:t>
      </w:r>
    </w:p>
    <w:p>
      <w:pPr>
        <w:spacing w:after="0" w:line="124" w:lineRule="exact"/>
        <w:rPr>
          <w:sz w:val="20"/>
          <w:szCs w:val="20"/>
          <w:color w:val="auto"/>
        </w:rPr>
      </w:pPr>
    </w:p>
    <w:p>
      <w:pPr>
        <w:ind w:left="1260" w:right="519" w:firstLine="360"/>
        <w:spacing w:after="0" w:line="271" w:lineRule="auto"/>
        <w:rPr>
          <w:sz w:val="20"/>
          <w:szCs w:val="20"/>
          <w:color w:val="auto"/>
        </w:rPr>
      </w:pPr>
      <w:r>
        <w:rPr>
          <w:rFonts w:ascii="Arial" w:cs="Arial" w:eastAsia="Arial" w:hAnsi="Arial"/>
          <w:sz w:val="17"/>
          <w:szCs w:val="17"/>
          <w:color w:val="auto"/>
        </w:rPr>
        <w:t>In February 2021, Ayar purchased 50,612,262 Lucid Series E Preferred Shares at approximately $7.90 per share. In March 2021, we offered members of our board of directors, employees, and service providers the right to purchase 2,248,391 Lucid Series E Preferred Shares at approximately $7.90 per share, of which 1,977,371 shares were purchased in April 2021, including 202,449 shares purchased by our CEO and 627,347 shares purchased by members of our board of directors. In April 2021, certain of our existing preferred shareholders purchased 8,977,769 Lucid Series E Preferred Shares at approximately $7.90 per share, and the remaining 14,350,990 Lucid Series E Preferred Shares were purchased at approximately $7.90 per share to settle the remaining contingent forward contract in April 2021.</w:t>
      </w:r>
    </w:p>
    <w:p>
      <w:pPr>
        <w:spacing w:after="0" w:line="111"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We determined the right and obligation to participate in the Lucid Series E Preferred Shares financing to be a freestanding derivative liability in the form of a contingent forward contract to be measured at fair value and recorded the initial valuation of $2,167.3 million in February 2021 as a deemed dividend. We also determined that the Lucid Series E Preferred Shares offered in March 2021 to members of our board of directors, employees, consultants, and others that provided services to Lucid the right to purchase 2,248,391 Lucid Series E Preferred Shares at approximately $7.90 per share should be recognized as share-based compensation as of the offer date. We recognized share-based compensation expense of $20.7 million and $123.6 million during the three and six months ended June 30, 2021 related to such grants. Each grant also resulted in a reduction to the total shares subject to the contingent forward contract with Ayar.</w:t>
      </w:r>
    </w:p>
    <w:p>
      <w:pPr>
        <w:spacing w:after="0" w:line="100"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The contingent forward contract liability was subsequently remeasured to fair value at period end with changes in fair value adjustments recognized as a component within other income (expense), net in our consolidated statements of operations and comprehensive loss. We recognized a loss of $12.4 million and</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77" w:lineRule="auto"/>
        <w:rPr>
          <w:sz w:val="20"/>
          <w:szCs w:val="20"/>
          <w:color w:val="auto"/>
        </w:rPr>
      </w:pPr>
      <w:r>
        <w:rPr>
          <w:rFonts w:ascii="Arial" w:cs="Arial" w:eastAsia="Arial" w:hAnsi="Arial"/>
          <w:sz w:val="18"/>
          <w:szCs w:val="18"/>
          <w:color w:val="auto"/>
        </w:rPr>
        <w:t>$454.5 million related to the fair value remeasurements during the three and six months ended June 30, 2021, respectively, and the fourth closing was fully settled as of June 30, 2021.</w:t>
      </w:r>
    </w:p>
    <w:p>
      <w:pPr>
        <w:spacing w:after="0" w:line="8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fair value of the contingent forward contract liability for the Lucid Series E Preferred Shares issued in February 2021 and April 2021 was determined based on the forward payoff, which was determined as the difference between the estimated Lucid Series E Preferred Shares fair value and the $7.90 per share purchase price.</w:t>
      </w:r>
    </w:p>
    <w:p>
      <w:pPr>
        <w:spacing w:after="0" w:line="119"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In September 2018, we granted Ayar the right to purchase Lucid Series D Preferred Shares in future periods, in connection with the execution of the Securities Purchase Agreement. Ayar’s right to purchase the Lucid Series D Preferred Shares was exercisable in multiple tranches, with the first tranche of</w:t>
      </w:r>
    </w:p>
    <w:p>
      <w:pPr>
        <w:ind w:left="1260" w:right="499"/>
        <w:spacing w:after="0" w:line="252" w:lineRule="auto"/>
        <w:rPr>
          <w:sz w:val="20"/>
          <w:szCs w:val="20"/>
          <w:color w:val="auto"/>
        </w:rPr>
      </w:pPr>
      <w:r>
        <w:rPr>
          <w:rFonts w:ascii="Arial" w:cs="Arial" w:eastAsia="Arial" w:hAnsi="Arial"/>
          <w:sz w:val="18"/>
          <w:szCs w:val="18"/>
          <w:color w:val="auto"/>
        </w:rPr>
        <w:t>$200.0 million contingent upon the approval of Ayar’s equity investment into Lucid by Committee on Foreign Investment in the United States and the second and third tranches of $400.0 million each were issuable upon Lucid achieving certain milestones. We determined Ayar’s right to participate in future Lucid Series D Preferred Shares financing to be a freestanding derivative liability in the form of contingent forward contracts to be measured at fair value and recorded the initial valuation of $18.6 million as a debt discount to the convertible notes issued in September 2018.</w:t>
      </w:r>
    </w:p>
    <w:p>
      <w:pPr>
        <w:spacing w:after="0" w:line="126"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The PWERM framework was used to estimate the fair value of the contingent forward contract at the date that the Securities Purchase Agreement was executed and subsequently as of June 30, 2021. In our valuation model, we considered the probability of investment, the purchase price per share, number of shares, the value of the contingent Lucid Series D Preferred Shares as of the valuation date, present value factor based on the risk-free rate of 0.1% and the time from the valuation date to the date of the investment, and the Lucid Series D Preferred Shares value as of each investment date using the PWERM framework. We used OPM to allocate the equity value in scenarios when the milestones were achieved during 2020.</w:t>
      </w:r>
    </w:p>
    <w:p>
      <w:pPr>
        <w:spacing w:after="0" w:line="96"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revalue the contingent forward contract reporting period utilizing models that are sensitive to changes in the unobservable inputs such as changes in the estimated probability of achievement of milestones or fair value of our shares. Changes in the fair value of these instruments can result from changes to one or multiple inputs, including adjustments to the assumed interest rate (coupon rate), yield (market rate), effective interest rate, discount rate and dividend yield as well as changes in the amount and timing of the anticipated achievement of milestones. Assumed interest rate (coupon rate) and yield (market rate) are based on the noncumulative dividend rate of 8% of the Lucid Series D Preferred Shares original issuance price. The discount rate represented a measure of the credit risk associated with settling the financial instrument. The expected dividend yield is assumed to be zero as we have never paid dividends and do not have current plans to pay any dividends on our common shares. Significant judgment is employed in determining these assumptions as of the date that the Securities Purchase Agreement was executed transaction date and for each subsequent period.</w:t>
      </w:r>
    </w:p>
    <w:p>
      <w:pPr>
        <w:spacing w:after="0" w:line="132"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Changes in fair value of our contingent forward contracts are recognized as a component of other income (expense), net in our consolidated statements of operations and comprehensive loss. We classify the fair value of the contingent forward contract as a liability within our consolidated balance sheet until settlement.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Convertible Preferred Share Warrant Liability</w:t>
      </w:r>
    </w:p>
    <w:p>
      <w:pPr>
        <w:spacing w:after="0" w:line="158"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We account for warrants to purchase shares of Lucid Series D Preferred Shares as liabilities at their estimated fair value because these warrants may obligate us to transfer assets to the holders at a future date under certain circumstances, such as a merger, acquisition, reorganization, sale of all or substantially all of our assets, each a change of control event. The warrants are recorded at fair value upon issuance and are subject to remeasurement to fair value at each period end, with any fair value adjustments recognized as a component within other income (expense), net in our consolidated statements of operations and comprehensive loss.</w:t>
      </w:r>
    </w:p>
    <w:p>
      <w:pPr>
        <w:spacing w:after="0" w:line="114"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We used a Black-Scholes model to calculate the fair value of its redeemable convertible preferred stock warrant liability using the following inputs:</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w w:val="96"/>
              </w:rPr>
              <w:t>December 31,</w:t>
            </w:r>
          </w:p>
        </w:tc>
      </w:tr>
      <w:tr>
        <w:trPr>
          <w:trHeight w:val="186"/>
        </w:trPr>
        <w:tc>
          <w:tcPr>
            <w:tcW w:w="7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7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50.00%</w:t>
            </w:r>
          </w:p>
        </w:tc>
      </w:tr>
      <w:tr>
        <w:trPr>
          <w:trHeight w:val="257"/>
        </w:trPr>
        <w:tc>
          <w:tcPr>
            <w:tcW w:w="72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0.5 – 1.5</w:t>
            </w:r>
          </w:p>
        </w:tc>
      </w:tr>
      <w:tr>
        <w:trPr>
          <w:trHeight w:val="25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0.09 – 0.12%</w:t>
            </w:r>
          </w:p>
        </w:tc>
      </w:tr>
      <w:tr>
        <w:trPr>
          <w:trHeight w:val="257"/>
        </w:trPr>
        <w:tc>
          <w:tcPr>
            <w:tcW w:w="72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-659130</wp:posOffset>
            </wp:positionV>
            <wp:extent cx="45859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101"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The estimated fair value of the convertible preferred stock warrant liability is calculated using other key assumptions including the probability and value of the next equity financing, enterprise value, and discount for lack of marketability.</w:t>
      </w:r>
    </w:p>
    <w:p>
      <w:pPr>
        <w:spacing w:after="0" w:line="101"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In February 2021, all outstanding warrants to purchase shares of Lucid Series D Preferred Shares were exercised. Upon final settlement, we recorded a loss of $7.0 million in the consolidated statements of operations for the six months ended June 30, 2021 related to the fair value remeasurement upon exercise and converted the warrant into Lucid Series D Preferred Shares. We recorded a $0.1 million loss related to fair value remeasurements of the warrants for the three and six months ended June 30, 2020.</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We utilize the asset and liability method in accounting for income taxes. Under this method, deferred tax assets and liabilities are recorded based on the estimated future tax effects of temporary differences between the financial reporting and tax bases of existing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We recognize the effect on deferred income taxes of a change in tax rates in the period that includes the enactment date. Valuation allowances are established when necessary to reduce deferred tax assets to the net amount that we believe is more-likely-than-not to be realized.</w:t>
      </w:r>
    </w:p>
    <w:p>
      <w:pPr>
        <w:spacing w:after="0" w:line="124"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We make estimates, assumptions and judgments to determine our provision for Lucid’s income taxes, deferred tax assets and liabilities, and any valuation allowance recorded against deferred tax assets. We consider all available evidence, both positive and negative, including historical levels of income, expectations and risks associated with estimates of future taxable income, and ongoing tax planning strategies in assessing the need for a valuation allowance. We assess the likelihood that our deferred tax assets will be recovered from future taxable income, and to the extent it believes that recovery is not likely, it establishes a valuation allowance.</w:t>
      </w:r>
    </w:p>
    <w:p>
      <w:pPr>
        <w:spacing w:after="0" w:line="110"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prospectus, have not been material, are recognized within provision for income taxes.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58"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See Note 2 to our consolidated financial statements included elsewhere in this prospectus for more information regarding recently issued accounting pronouncements.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6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connection with the preparation of our consolidated financial statements as of and for the fiscal years ended December 31, 2020 and 2019, we identified material weaknesses in our internal control over financial reporting. See the subsection entitled “</w:t>
      </w:r>
      <w:r>
        <w:rPr>
          <w:rFonts w:ascii="Arial" w:cs="Arial" w:eastAsia="Arial" w:hAnsi="Arial"/>
          <w:sz w:val="18"/>
          <w:szCs w:val="18"/>
          <w:i w:val="1"/>
          <w:iCs w:val="1"/>
          <w:color w:val="auto"/>
        </w:rPr>
        <w:t>Risk Factors — We have identified material weaknesses in our</w:t>
      </w:r>
      <w:r>
        <w:rPr>
          <w:rFonts w:ascii="Arial" w:cs="Arial" w:eastAsia="Arial" w:hAnsi="Arial"/>
          <w:sz w:val="18"/>
          <w:szCs w:val="18"/>
          <w:color w:val="auto"/>
        </w:rPr>
        <w:t xml:space="preserve"> </w:t>
      </w:r>
      <w:r>
        <w:rPr>
          <w:rFonts w:ascii="Arial" w:cs="Arial" w:eastAsia="Arial" w:hAnsi="Arial"/>
          <w:sz w:val="18"/>
          <w:szCs w:val="18"/>
          <w:i w:val="1"/>
          <w:iCs w:val="1"/>
          <w:color w:val="auto"/>
        </w:rPr>
        <w:t>internal control over financial reporting. If we are unable to remediate these material weaknesses, or if we identify additional material weaknesses in the future or otherwise fail to develop and maintain an effective system of internal control over financial reporting, we may not be able to accurately or timely report our financial condition or results of operations, which may adversely affect investor confidence in us and the value of our common stock</w:t>
      </w:r>
      <w:r>
        <w:rPr>
          <w:rFonts w:ascii="Arial" w:cs="Arial" w:eastAsia="Arial" w:hAnsi="Arial"/>
          <w:sz w:val="18"/>
          <w:szCs w:val="18"/>
          <w:color w:val="auto"/>
        </w:rPr>
        <w:t>.”</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Section 102(b)(1) of the JOBS Act exempts “emerging growth companies” as defined in Section 2(A) of the Securities Act of 1933, as amended,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Lucid Group is an “emerging growth company” and has elected to take advantage of the benefits of this extended transition period.</w:t>
      </w:r>
    </w:p>
    <w:p>
      <w:pPr>
        <w:spacing w:after="0" w:line="124"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Lucid Group will use this extended transition period for complying with new or revised accounting standards that have different effective dates for public business entities and non-public business entities until the earlier of the date Lucid Group (a) is no longer an emerging growth company or (b) affirmatively and irrevocably opts out of the extended transition period provided in the JOBS Act. The extended transition period exemptions afforded by Lucid Group’s emerging growth company status may make it difficult or impossible to compare Lucid Group’s financial results with the financial results of another public company that is either not an emerging growth company or is an emerging growth company that has chosen not to take advantage of this exemption because of the potential differences in accounting standards used. Refer to Note 2 of the accompanying audited consolidated financial statements of Lucid included elsewhere in this prospectus for the recent accounting pronouncements adopted and the recent accounting pronouncements not yet adopted for the years ended December 31, 2020 and 2019.</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Lucid Group will remain an “emerging growth company” under the JOBS Act until the earliest of</w:t>
      </w:r>
    </w:p>
    <w:p>
      <w:pPr>
        <w:spacing w:after="0" w:line="23" w:lineRule="exact"/>
        <w:rPr>
          <w:sz w:val="20"/>
          <w:szCs w:val="20"/>
          <w:color w:val="auto"/>
        </w:rPr>
      </w:pPr>
    </w:p>
    <w:p>
      <w:pPr>
        <w:ind w:left="1520" w:hanging="260"/>
        <w:spacing w:after="0"/>
        <w:tabs>
          <w:tab w:leader="none" w:pos="1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last day of Lucid Group’s first fiscal year following the fifth anniversary of the Churchill IPO,</w:t>
      </w:r>
    </w:p>
    <w:p>
      <w:pPr>
        <w:spacing w:after="0" w:line="9" w:lineRule="exact"/>
        <w:rPr>
          <w:rFonts w:ascii="Arial" w:cs="Arial" w:eastAsia="Arial" w:hAnsi="Arial"/>
          <w:sz w:val="18"/>
          <w:szCs w:val="18"/>
          <w:color w:val="auto"/>
        </w:rPr>
      </w:pPr>
    </w:p>
    <w:p>
      <w:pPr>
        <w:ind w:left="1260" w:right="439"/>
        <w:spacing w:after="0" w:line="252" w:lineRule="auto"/>
        <w:tabs>
          <w:tab w:leader="none" w:pos="152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last date of Lucid Group’s fiscal year in which Lucid Group has total annual gross revenue of at least $1.07 billion, (c) the last date of Lucid Group’s fiscal year in which Lucid Group is deemed to be a “large accelerated filer” under the rules of the SEC with at least $700.0 million of outstanding securities held by non-affiliates or (d) the date on which Lucid Group has issued more than $1.0 billion in non-convertible debt securities during the previous three years. We expect that Lucid Group will cease to be an emerging growth company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Mission</w:t>
      </w:r>
    </w:p>
    <w:p>
      <w:pPr>
        <w:spacing w:after="0" w:line="148"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Our mission is to inspire the adoption of sustainable transportation by creating the most captivating luxury electric vehicles centered around the human experience.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About Us</w:t>
      </w:r>
    </w:p>
    <w:p>
      <w:pPr>
        <w:spacing w:after="0" w:line="16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are a technology and automotive company. We were founded in Silicon Valley in 2007 to develop the next generation of electric vehicle (“</w:t>
      </w:r>
      <w:r>
        <w:rPr>
          <w:rFonts w:ascii="Arial" w:cs="Arial" w:eastAsia="Arial" w:hAnsi="Arial"/>
          <w:sz w:val="18"/>
          <w:szCs w:val="18"/>
          <w:i w:val="1"/>
          <w:iCs w:val="1"/>
          <w:color w:val="auto"/>
        </w:rPr>
        <w:t>EV</w:t>
      </w:r>
      <w:r>
        <w:rPr>
          <w:rFonts w:ascii="Arial" w:cs="Arial" w:eastAsia="Arial" w:hAnsi="Arial"/>
          <w:sz w:val="18"/>
          <w:szCs w:val="18"/>
          <w:color w:val="auto"/>
        </w:rPr>
        <w:t>”) technologies. Today, we are a vertically-integrated company which (i) designs, engineers and builds electric vehicles, EV powertrains and battery systems in-house using our own equipment and factory, (ii) plans to offer a refined customer experience at our own geographically-distributed retail and service locations and through direct-to-consumer and retail sales and (iii) boasts a strong product roadmap of future vehicle programs and technologies. Our focus on in-house technological innovation and a “clean-sheet” approach to engineering and design have led to the development of our groundbreaking electric vehicle, the Lucid Air, which we expect to go into production in the second half of 2021.</w:t>
      </w:r>
    </w:p>
    <w:p>
      <w:pPr>
        <w:spacing w:after="0" w:line="124"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The Lucid Air is a luxury electric sedan that redefines both the luxury car segment and the electric vehicle space. Our Space Concept underpins our design, merging a spacious interior with a smaller exterior profile that is reminiscent of a high-performance sports car. This achievement is enabled by our miniaturized drive-train components, which also result in increased storage capacity.</w:t>
      </w:r>
    </w:p>
    <w:p>
      <w:pPr>
        <w:spacing w:after="0" w:line="10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The Lucid Air will be manufactured at our greenfield electric vehicle manufacturing facility in Casa Grande, Arizona, Advanced Manufacturing Plant-1 (“</w:t>
      </w:r>
      <w:r>
        <w:rPr>
          <w:rFonts w:ascii="Arial" w:cs="Arial" w:eastAsia="Arial" w:hAnsi="Arial"/>
          <w:sz w:val="17"/>
          <w:szCs w:val="17"/>
          <w:i w:val="1"/>
          <w:iCs w:val="1"/>
          <w:color w:val="auto"/>
        </w:rPr>
        <w:t>AMP-1</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Our manufacturing footprint in Casa Grande also includes the Lucid Powertrain Manufacturing Plant-1 (“</w:t>
      </w:r>
      <w:r>
        <w:rPr>
          <w:rFonts w:ascii="Arial" w:cs="Arial" w:eastAsia="Arial" w:hAnsi="Arial"/>
          <w:sz w:val="17"/>
          <w:szCs w:val="17"/>
          <w:i w:val="1"/>
          <w:iCs w:val="1"/>
          <w:color w:val="auto"/>
        </w:rPr>
        <w:t>LPM-1</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located a short distance from AMP-1. Once AMP-1 is fully built out, our vehicle manufacturing footprint in Casa Grande is expected to exceed</w:t>
      </w:r>
    </w:p>
    <w:p>
      <w:pPr>
        <w:spacing w:after="0" w:line="2" w:lineRule="exact"/>
        <w:rPr>
          <w:sz w:val="20"/>
          <w:szCs w:val="20"/>
          <w:color w:val="auto"/>
        </w:rPr>
      </w:pPr>
    </w:p>
    <w:p>
      <w:pPr>
        <w:ind w:left="1260" w:right="519"/>
        <w:spacing w:after="0" w:line="252" w:lineRule="auto"/>
        <w:rPr>
          <w:sz w:val="20"/>
          <w:szCs w:val="20"/>
          <w:color w:val="auto"/>
        </w:rPr>
      </w:pPr>
      <w:r>
        <w:rPr>
          <w:rFonts w:ascii="Arial" w:cs="Arial" w:eastAsia="Arial" w:hAnsi="Arial"/>
          <w:sz w:val="17"/>
          <w:szCs w:val="17"/>
          <w:color w:val="auto"/>
        </w:rPr>
        <w:t>5 million square feet on 495 acres. Our manufacturing plan has an initial planned annual output capacity of up to 34,000 vehicles per year followed by incremental build-out over time to deploy capital efficiently. By building AMP-1 from a clean slate, we expect to achieve greater operational efficiencies and more consistent production quality than it could achieve through outsourced manufacturing or adaptation of an existing facility. Vertical integration of manufacturing capabilities provides us the opportunity to improve product margins relative to an out -sourced manufacturing arrangement. We expect to diversify our vehicle portfolio and increase production capacity through localization of manufacturing in other geographies.</w:t>
      </w:r>
    </w:p>
    <w:p>
      <w:pPr>
        <w:spacing w:after="0" w:line="113"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We plan to sell vehicles directly to consumers through our retail sales network and through direct online sales. As of June 30, 2021, we have opened eight retail studios in the United States of America and expect to open additional locations by the end of 2021 in North America. We believe that owning our sales network provides an opportunity to control the customer experience and ensure that customer interactions are on-brand and pressure-free.</w:t>
      </w:r>
    </w:p>
    <w:p>
      <w:pPr>
        <w:spacing w:after="0" w:line="120"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We are also establishing an in-house vehicle service footprint, with brick-and-mortar service centers in various geographies and a planned mobile service fleet. In addition to our in-house service capabilities, we plan to have an approved list of vetted and specially trained body shop technicians to make necessary repairs to a customer’s Lucid Air. We also plan to have a third-party roadside assistance partner for urgent roadside needs. As a technology company, we will also be able to complement our in-house service offerings through remote vehicle diagnostics capabilities and over-the-air (“</w:t>
      </w:r>
      <w:r>
        <w:rPr>
          <w:rFonts w:ascii="Arial" w:cs="Arial" w:eastAsia="Arial" w:hAnsi="Arial"/>
          <w:sz w:val="17"/>
          <w:szCs w:val="17"/>
          <w:i w:val="1"/>
          <w:iCs w:val="1"/>
          <w:color w:val="auto"/>
        </w:rPr>
        <w:t>OTA</w:t>
      </w:r>
      <w:r>
        <w:rPr>
          <w:rFonts w:ascii="Arial" w:cs="Arial" w:eastAsia="Arial" w:hAnsi="Arial"/>
          <w:sz w:val="17"/>
          <w:szCs w:val="17"/>
          <w:color w:val="auto"/>
        </w:rPr>
        <w:t>”) updates. This combination of in-house capabilities, ancillary service partners and remote support and update capability is expected to enable us to meet our customers’ service expectations.</w:t>
      </w:r>
    </w:p>
    <w:p>
      <w:pPr>
        <w:spacing w:after="0" w:line="97"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We expect to launch additional vehicles over the coming decade. We have already commenced engineering and design work for Project Gravity, a luxury sports utility vehicle (“</w:t>
      </w:r>
      <w:r>
        <w:rPr>
          <w:rFonts w:ascii="Arial" w:cs="Arial" w:eastAsia="Arial" w:hAnsi="Arial"/>
          <w:sz w:val="18"/>
          <w:szCs w:val="18"/>
          <w:i w:val="1"/>
          <w:iCs w:val="1"/>
          <w:color w:val="auto"/>
        </w:rPr>
        <w:t>SUV</w:t>
      </w:r>
      <w:r>
        <w:rPr>
          <w:rFonts w:ascii="Arial" w:cs="Arial" w:eastAsia="Arial" w:hAnsi="Arial"/>
          <w:sz w:val="18"/>
          <w:szCs w:val="18"/>
          <w:color w:val="auto"/>
        </w:rPr>
        <w:t>”) that is expected to leverage the same platform as the Lucid Air and many of the technological advancements developed for the Lucid Air. We expect to begin production of Project Gravity at the end of 2023. After the Lucid Air and Project Gravity, we plan to leverage our technological and manufacturing advancements to develop and manufacture progressively more affordable vehicles in higher volumes.</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We further believe that our battery systems expertise positions us to produce compelling stationary energy storage system (“</w:t>
      </w:r>
      <w:r>
        <w:rPr>
          <w:rFonts w:ascii="Arial" w:cs="Arial" w:eastAsia="Arial" w:hAnsi="Arial"/>
          <w:sz w:val="18"/>
          <w:szCs w:val="18"/>
          <w:i w:val="1"/>
          <w:iCs w:val="1"/>
          <w:color w:val="auto"/>
        </w:rPr>
        <w:t>ESS</w:t>
      </w:r>
      <w:r>
        <w:rPr>
          <w:rFonts w:ascii="Arial" w:cs="Arial" w:eastAsia="Arial" w:hAnsi="Arial"/>
          <w:sz w:val="18"/>
          <w:szCs w:val="18"/>
          <w:color w:val="auto"/>
        </w:rPr>
        <w:t>”) products. ESS is a technologically adjacent opportunity which can leverage the modular design of our battery packs and our extensive experience with battery pack and battery management systems. By seeking to address the residential, commercial and utility-scale energy storage markets, we can further address climate change through enhanced flexibility, efficiency and stability of the electrical grid. We can also offer to customers an ability to add resiliency to their home’s power supply in the event of an outage, through our future ESS products or the Lucid Air’s planned vehicle-to-grid (“</w:t>
      </w:r>
      <w:r>
        <w:rPr>
          <w:rFonts w:ascii="Arial" w:cs="Arial" w:eastAsia="Arial" w:hAnsi="Arial"/>
          <w:sz w:val="18"/>
          <w:szCs w:val="18"/>
          <w:i w:val="1"/>
          <w:iCs w:val="1"/>
          <w:color w:val="auto"/>
        </w:rPr>
        <w:t>V2G</w:t>
      </w:r>
      <w:r>
        <w:rPr>
          <w:rFonts w:ascii="Arial" w:cs="Arial" w:eastAsia="Arial" w:hAnsi="Arial"/>
          <w:sz w:val="18"/>
          <w:szCs w:val="18"/>
          <w:color w:val="auto"/>
        </w:rPr>
        <w:t>”) capabilities.</w:t>
      </w:r>
    </w:p>
    <w:p>
      <w:pPr>
        <w:spacing w:after="0" w:line="113"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Beyond the sale of Lucid branded vehicles, we believe that our technological prowess and manufacturing capabilities present a further opportunity to generate revenue and combat climate change through the sale or licensing of electric vehicle powertrain and battery technology. Such powertrain and battery arrangements could facilitate and accelerate the shift to electrification for traditional automotive original equipment manufacturers (“</w:t>
      </w:r>
      <w:r>
        <w:rPr>
          <w:rFonts w:ascii="Arial" w:cs="Arial" w:eastAsia="Arial" w:hAnsi="Arial"/>
          <w:sz w:val="18"/>
          <w:szCs w:val="18"/>
          <w:i w:val="1"/>
          <w:iCs w:val="1"/>
          <w:color w:val="auto"/>
        </w:rPr>
        <w:t>OEMs</w:t>
      </w:r>
      <w:r>
        <w:rPr>
          <w:rFonts w:ascii="Arial" w:cs="Arial" w:eastAsia="Arial" w:hAnsi="Arial"/>
          <w:sz w:val="18"/>
          <w:szCs w:val="18"/>
          <w:color w:val="auto"/>
        </w:rPr>
        <w:t>”) and “capex-light” EV companies alike. The sale or licensing of our technology would also enable us to refine our manufacturing efficiencies and the real world, practical operation of our technologies.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 Opportunity</w:t>
      </w:r>
    </w:p>
    <w:p>
      <w:pPr>
        <w:spacing w:after="0" w:line="162" w:lineRule="exact"/>
        <w:rPr>
          <w:sz w:val="20"/>
          <w:szCs w:val="20"/>
          <w:color w:val="auto"/>
        </w:rPr>
      </w:pPr>
    </w:p>
    <w:p>
      <w:pPr>
        <w:ind w:left="1260" w:right="579" w:firstLine="360"/>
        <w:spacing w:after="0" w:line="262" w:lineRule="auto"/>
        <w:rPr>
          <w:sz w:val="20"/>
          <w:szCs w:val="20"/>
          <w:color w:val="auto"/>
        </w:rPr>
      </w:pPr>
      <w:r>
        <w:rPr>
          <w:rFonts w:ascii="Arial" w:cs="Arial" w:eastAsia="Arial" w:hAnsi="Arial"/>
          <w:sz w:val="17"/>
          <w:szCs w:val="17"/>
          <w:color w:val="auto"/>
        </w:rPr>
        <w:t>The Lucid Air is a fully- electric sedan that targets “Post-Luxury” consumers. We look past traditional definitions of luxury in order to appeal to customers who expect more. We recognize that luxury in the automotive space is shifting. While legacy luxury automakers emphasize status, opulence and indulgence, the Lucid brand embraces elegance, modernity, sustainability and a sense of well-being.</w:t>
      </w:r>
    </w:p>
    <w:p>
      <w:pPr>
        <w:spacing w:after="0" w:line="105"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believe we have the opportunity to define electric luxury by uniting our California aesthetic with our high-tech, Silicon Valley roots. Current luxury vehicles are born out of traditions established by internal combustion automotive manufacture and design. We have the opportunity to create ourselves as a leader in the next wave of innovation in the vehicle space. With the Lucid Air, Lucid targets not only consumers who desire electric vehicles, but also consumers who desire high-end luxury vehicles and the accompanying luxury experience.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initial product, the Lucid Air, is positioned to compete in the global luxury car market.</w:t>
      </w:r>
    </w:p>
    <w:p>
      <w:pPr>
        <w:spacing w:after="0" w:line="158"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We define the luxury automotive experience as one composed of, among others, three essential elements: (i) luxury in product, with high-end comfort and significant attention to detail in design, content, materials, fit and finish, (ii) a superior level of customer interaction, with high- touch customer interactions throughout both the sales cycle and ownership journey, and (iii) a convenience in service that exceeds that of a non-luxury automotive experience. We believe that our vehicles will be able to deliver the luxury experience that our target customers have become accustomed to based on their experience owning traditional luxury vehicles.</w:t>
      </w:r>
    </w:p>
    <w:p>
      <w:pPr>
        <w:spacing w:after="0" w:line="123"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Through an initial focus on the high-end luxury market, we intend to define an exclusive and recognizable brand that is synonymous with luxury. Over time, Lucid intends to develop and manufacture progressively more affordable vehicles in higher volumes. Our ultimate goal is to make an impact on the global warming crisis through mass production of sustainable transportation.</w:t>
      </w:r>
    </w:p>
    <w:p>
      <w:pPr>
        <w:spacing w:after="0" w:line="107"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Increased government mandates for electrification, combined with consumers’ growing desire for clean energy vehicles, are driving electrification of the automotive industry at a rapid pace and on a global scale. The market is still nascent, with approximately 5% of global vehicle sales in 2020 being electric vehicles. This presents a significant opportunity for us to address unmet needs in this market.</w:t>
      </w:r>
    </w:p>
    <w:p>
      <w:pPr>
        <w:spacing w:after="0" w:line="120" w:lineRule="exact"/>
        <w:rPr>
          <w:sz w:val="20"/>
          <w:szCs w:val="20"/>
          <w:color w:val="auto"/>
        </w:rPr>
      </w:pPr>
    </w:p>
    <w:p>
      <w:pPr>
        <w:ind w:left="1260" w:right="579" w:firstLine="360"/>
        <w:spacing w:after="0" w:line="262" w:lineRule="auto"/>
        <w:rPr>
          <w:sz w:val="20"/>
          <w:szCs w:val="20"/>
          <w:color w:val="auto"/>
        </w:rPr>
      </w:pPr>
      <w:r>
        <w:rPr>
          <w:rFonts w:ascii="Arial" w:cs="Arial" w:eastAsia="Arial" w:hAnsi="Arial"/>
          <w:sz w:val="17"/>
          <w:szCs w:val="17"/>
          <w:color w:val="auto"/>
        </w:rPr>
        <w:t>The Lucid Air is expected to help define Lucid as a brand. The design of the Lucid Air is intended to capture the potential of electrification through a fusion of art and science. As our flagship product, the Lucid Air is intended to establish the bar for excellence across all our future products and experiences. We expect to sell vehicles in North America in 2021, Europe and the Middle East in 2022 and China in 2023.</w:t>
      </w:r>
    </w:p>
    <w:p>
      <w:pPr>
        <w:spacing w:after="0" w:line="105"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Our second vehicle, Project Gravity, is planned as a full-size luxury SUV that is expected to achieve the efficiency, performance and spacious interior that make the Lucid Air special. Beyond the Lucid Air and Project Gravity, we have a planned roadmap to release additional vehicles through the next decade.</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79" w:firstLine="360"/>
        <w:spacing w:after="0" w:line="291" w:lineRule="auto"/>
        <w:rPr>
          <w:sz w:val="20"/>
          <w:szCs w:val="20"/>
          <w:color w:val="auto"/>
        </w:rPr>
      </w:pPr>
      <w:r>
        <w:rPr>
          <w:rFonts w:ascii="Arial" w:cs="Arial" w:eastAsia="Arial" w:hAnsi="Arial"/>
          <w:sz w:val="17"/>
          <w:szCs w:val="17"/>
          <w:color w:val="auto"/>
        </w:rPr>
        <w:t>By 2030, we plan to manufacture and sell an expanded portfolio of luxury and premium vehicles at different price points, including sedans, SUVs and crossover utility vehicles</w:t>
      </w:r>
      <w:r>
        <w:rPr>
          <w:rFonts w:ascii="Arial" w:cs="Arial" w:eastAsia="Arial" w:hAnsi="Arial"/>
          <w:sz w:val="17"/>
          <w:szCs w:val="17"/>
          <w:i w:val="1"/>
          <w:iCs w:val="1"/>
          <w:color w:val="auto"/>
        </w:rPr>
        <w:t>,</w:t>
      </w:r>
      <w:r>
        <w:rPr>
          <w:rFonts w:ascii="Arial" w:cs="Arial" w:eastAsia="Arial" w:hAnsi="Arial"/>
          <w:sz w:val="17"/>
          <w:szCs w:val="17"/>
          <w:color w:val="auto"/>
        </w:rPr>
        <w:t xml:space="preserve"> pickup trucks and coupes.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ind w:left="1800" w:right="579" w:hanging="180"/>
        <w:spacing w:after="0" w:line="259"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Proven, Real World Validation. </w:t>
      </w:r>
      <w:r>
        <w:rPr>
          <w:rFonts w:ascii="Arial" w:cs="Arial" w:eastAsia="Arial" w:hAnsi="Arial"/>
          <w:sz w:val="18"/>
          <w:szCs w:val="18"/>
          <w:color w:val="auto"/>
        </w:rPr>
        <w:t>Our battery technology has been developed over the past decade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validated as world-class technology. Through its prototype vehicles and in its role as the sole battery supplier to the premier EV racing series, our patented battery technology has driven more than 20 million real world miles since Lucid’s inception.</w:t>
      </w:r>
    </w:p>
    <w:p>
      <w:pPr>
        <w:spacing w:after="0" w:line="78" w:lineRule="exact"/>
        <w:rPr>
          <w:rFonts w:ascii="Arial" w:cs="Arial" w:eastAsia="Arial" w:hAnsi="Arial"/>
          <w:sz w:val="18"/>
          <w:szCs w:val="18"/>
          <w:color w:val="auto"/>
        </w:rPr>
      </w:pPr>
    </w:p>
    <w:p>
      <w:pPr>
        <w:ind w:left="1800" w:right="499" w:hanging="180"/>
        <w:spacing w:after="0" w:line="275" w:lineRule="auto"/>
        <w:tabs>
          <w:tab w:leader="none" w:pos="180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Highly Differentiated Performance. </w:t>
      </w:r>
      <w:r>
        <w:rPr>
          <w:rFonts w:ascii="Arial" w:cs="Arial" w:eastAsia="Arial" w:hAnsi="Arial"/>
          <w:sz w:val="17"/>
          <w:szCs w:val="17"/>
          <w:color w:val="auto"/>
        </w:rPr>
        <w:t>Our advancements in battery pack and drivetrain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created through a clean-sheet approach to engineering, have resulted in compelling performance and efficiency in our vehicles. The Lucid Air is expected to be available in a configuration with over 1,000 horsepower and the ability to accelerate from zero to 60 miles per hour in less than 2.5 seconds, translating to a projected quarter-mile time below ten seconds.</w:t>
      </w:r>
    </w:p>
    <w:p>
      <w:pPr>
        <w:spacing w:after="0" w:line="54" w:lineRule="exact"/>
        <w:rPr>
          <w:rFonts w:ascii="Arial" w:cs="Arial" w:eastAsia="Arial" w:hAnsi="Arial"/>
          <w:sz w:val="17"/>
          <w:szCs w:val="17"/>
          <w:color w:val="auto"/>
        </w:rPr>
      </w:pPr>
    </w:p>
    <w:p>
      <w:pPr>
        <w:ind w:left="1800" w:right="519" w:hanging="180"/>
        <w:spacing w:after="0" w:line="254"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Revolutionary Battery System / Range. </w:t>
      </w:r>
      <w:r>
        <w:rPr>
          <w:rFonts w:ascii="Arial" w:cs="Arial" w:eastAsia="Arial" w:hAnsi="Arial"/>
          <w:sz w:val="18"/>
          <w:szCs w:val="18"/>
          <w:color w:val="auto"/>
        </w:rPr>
        <w:t>We anticipate that some variants of the Lucid Air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with a projected EPA estimated range in excess of 500 miles on a single charge. With 900V+ electrical architecture, some variants of the Lucid Air are expected to be able to achieve sufficient charge in approximately 20 minutes to travel 300 miles. This charging speed is facilitated by our Wünderbox. The Wünderbox is our multi-function, high-voltage, bi-directional charging unit that is expected to allow V2G capabilities, enabling a Lucid Air to serve as back-up power for residential applications in emergency outages. We plan to introduce this functionality via OTA updates after launch of the Lucid Air.</w:t>
      </w:r>
    </w:p>
    <w:p>
      <w:pPr>
        <w:spacing w:after="0" w:line="79" w:lineRule="exact"/>
        <w:rPr>
          <w:rFonts w:ascii="Arial" w:cs="Arial" w:eastAsia="Arial" w:hAnsi="Arial"/>
          <w:sz w:val="18"/>
          <w:szCs w:val="18"/>
          <w:color w:val="auto"/>
        </w:rPr>
      </w:pPr>
    </w:p>
    <w:p>
      <w:pPr>
        <w:ind w:left="1800" w:right="439" w:hanging="180"/>
        <w:spacing w:after="0" w:line="261"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Lucid Electric Advanced Platform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LEAP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Lucid Air will be underpinned by the Lucid Electric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Platform, or LEAP. This vehicle platform is designed to support other vehicle variants to be built on the same underbody as the Lucid Air, enabling greater speed to market and efficiency in capital deployment.</w:t>
      </w:r>
    </w:p>
    <w:p>
      <w:pPr>
        <w:spacing w:after="0" w:line="75" w:lineRule="exact"/>
        <w:rPr>
          <w:rFonts w:ascii="Arial" w:cs="Arial" w:eastAsia="Arial" w:hAnsi="Arial"/>
          <w:sz w:val="18"/>
          <w:szCs w:val="18"/>
          <w:color w:val="auto"/>
        </w:rPr>
      </w:pPr>
    </w:p>
    <w:p>
      <w:pPr>
        <w:ind w:left="1800" w:right="559" w:hanging="180"/>
        <w:spacing w:after="0" w:line="275" w:lineRule="auto"/>
        <w:tabs>
          <w:tab w:leader="none" w:pos="180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Directly Owned Manufacturing. </w:t>
      </w:r>
      <w:r>
        <w:rPr>
          <w:rFonts w:ascii="Arial" w:cs="Arial" w:eastAsia="Arial" w:hAnsi="Arial"/>
          <w:sz w:val="17"/>
          <w:szCs w:val="17"/>
          <w:color w:val="auto"/>
        </w:rPr>
        <w:t>We completed the first phase of construction on AMP-1, the first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purpose-built EV manufacturing facility in North America, in December 2020. Key elements of our vehicle engineering enable efficient and advanced manufacturing processes with a high degree of quality control. For example, the aircraft-inspired riveted and bonded monocoque body structure is designed to enhance structural efficiency and replace spot welds in the manufacturing process.</w:t>
      </w:r>
    </w:p>
    <w:p>
      <w:pPr>
        <w:spacing w:after="0" w:line="54" w:lineRule="exact"/>
        <w:rPr>
          <w:rFonts w:ascii="Arial" w:cs="Arial" w:eastAsia="Arial" w:hAnsi="Arial"/>
          <w:sz w:val="17"/>
          <w:szCs w:val="17"/>
          <w:color w:val="auto"/>
        </w:rPr>
      </w:pPr>
    </w:p>
    <w:p>
      <w:pPr>
        <w:ind w:left="1800" w:right="519" w:hanging="180"/>
        <w:spacing w:after="0" w:line="272" w:lineRule="auto"/>
        <w:tabs>
          <w:tab w:leader="none" w:pos="180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In-House Sales and Service. </w:t>
      </w:r>
      <w:r>
        <w:rPr>
          <w:rFonts w:ascii="Arial" w:cs="Arial" w:eastAsia="Arial" w:hAnsi="Arial"/>
          <w:sz w:val="17"/>
          <w:szCs w:val="17"/>
          <w:color w:val="auto"/>
        </w:rPr>
        <w:t>Consistent with the focus on quality in its manufacturing processes,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intend to implement a direct sales strategy to maintain control over the customer experience and ensure that interactions are aligned with the Lucid brand. We expect to enable this tight control over the customer experience by vertically integrating its sales operations instead of relying on a traditional outsourced dealership model. We plan to build and scale our own service operations to support customers, in addition to cultivating partnerships with body shop and other ancillary service partners that meet our expectations for customer service.</w:t>
      </w:r>
    </w:p>
    <w:p>
      <w:pPr>
        <w:spacing w:after="0" w:line="69" w:lineRule="exact"/>
        <w:rPr>
          <w:rFonts w:ascii="Arial" w:cs="Arial" w:eastAsia="Arial" w:hAnsi="Arial"/>
          <w:sz w:val="17"/>
          <w:szCs w:val="17"/>
          <w:color w:val="auto"/>
        </w:rPr>
      </w:pPr>
    </w:p>
    <w:p>
      <w:pPr>
        <w:ind w:left="1800" w:right="579" w:hanging="180"/>
        <w:spacing w:after="0" w:line="255"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 Design. </w:t>
      </w:r>
      <w:r>
        <w:rPr>
          <w:rFonts w:ascii="Arial" w:cs="Arial" w:eastAsia="Arial" w:hAnsi="Arial"/>
          <w:sz w:val="18"/>
          <w:szCs w:val="18"/>
          <w:color w:val="auto"/>
        </w:rPr>
        <w:t>Our first vehicle, the Lucid Air, fuses art and science to capture the potential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electrification. As our flagship product, the Air establishes the bar for excellence across all of our products and experiences. Our “Space Concept” represents a technical breakthrough, achieved through a ground-up rethink in the way an automobile is designed. Our reimagining of the car has resulted in more interior space for the driver, passengers and storage within a more compact, sporty and efficient exterior.</w:t>
      </w:r>
    </w:p>
    <w:p>
      <w:pPr>
        <w:spacing w:after="0" w:line="84" w:lineRule="exact"/>
        <w:rPr>
          <w:rFonts w:ascii="Arial" w:cs="Arial" w:eastAsia="Arial" w:hAnsi="Arial"/>
          <w:sz w:val="18"/>
          <w:szCs w:val="18"/>
          <w:color w:val="auto"/>
        </w:rPr>
      </w:pPr>
    </w:p>
    <w:p>
      <w:pPr>
        <w:ind w:left="1800" w:right="439" w:hanging="180"/>
        <w:spacing w:after="0" w:line="272" w:lineRule="auto"/>
        <w:tabs>
          <w:tab w:leader="none" w:pos="180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Favorable Market Trends. </w:t>
      </w:r>
      <w:r>
        <w:rPr>
          <w:rFonts w:ascii="Arial" w:cs="Arial" w:eastAsia="Arial" w:hAnsi="Arial"/>
          <w:sz w:val="17"/>
          <w:szCs w:val="17"/>
          <w:color w:val="auto"/>
        </w:rPr>
        <w:t>As consumers seek brands that align with their values, we are positioned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address the wants and needs of a new generation of “post-luxury consumers.” The Lucid Air is expected to be the first true luxury electric vehicle and will position us to build its brand and reputation. By building the Lucid brand and achieving scale and efficiency in our manufacturing footprint, we believe we will have the opportunity over time to create more affordable and attainable technology to allow broader adoption in the EV space and the ability to capitalize on adjacent market opportunities, like marine, aviation and stationary energy storage.</w:t>
      </w:r>
    </w:p>
    <w:p>
      <w:pPr>
        <w:spacing w:after="0" w:line="55" w:lineRule="exact"/>
        <w:rPr>
          <w:rFonts w:ascii="Arial" w:cs="Arial" w:eastAsia="Arial" w:hAnsi="Arial"/>
          <w:sz w:val="17"/>
          <w:szCs w:val="17"/>
          <w:color w:val="auto"/>
        </w:rPr>
      </w:pPr>
    </w:p>
    <w:p>
      <w:pPr>
        <w:ind w:left="1800" w:right="739" w:hanging="180"/>
        <w:spacing w:after="0" w:line="308" w:lineRule="auto"/>
        <w:tabs>
          <w:tab w:leader="none" w:pos="180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Management Team Experience. </w:t>
      </w:r>
      <w:r>
        <w:rPr>
          <w:rFonts w:ascii="Arial" w:cs="Arial" w:eastAsia="Arial" w:hAnsi="Arial"/>
          <w:sz w:val="17"/>
          <w:szCs w:val="17"/>
          <w:color w:val="auto"/>
        </w:rPr>
        <w:t>We have assembled a seasoned management team with deep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in the automotive, EV and disruptive technology spaces, led by Peter Rawlinson, who</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spacing w:after="0" w:line="248" w:lineRule="auto"/>
        <w:rPr>
          <w:sz w:val="20"/>
          <w:szCs w:val="20"/>
          <w:color w:val="auto"/>
        </w:rPr>
      </w:pPr>
      <w:r>
        <w:rPr>
          <w:rFonts w:ascii="Arial" w:cs="Arial" w:eastAsia="Arial" w:hAnsi="Arial"/>
          <w:sz w:val="18"/>
          <w:szCs w:val="18"/>
          <w:color w:val="auto"/>
        </w:rPr>
        <w:t>served as the Chief Engineer of the Tesla Model S program. The management team is rounded out by executives with significant industry experience from such companies as Apple, Tesla, Mazda, Audi, Volkswagen, General Motors and Ford, among others.</w:t>
      </w:r>
    </w:p>
    <w:p>
      <w:pPr>
        <w:spacing w:after="0" w:line="74" w:lineRule="exact"/>
        <w:rPr>
          <w:sz w:val="20"/>
          <w:szCs w:val="20"/>
          <w:color w:val="auto"/>
        </w:rPr>
      </w:pPr>
    </w:p>
    <w:p>
      <w:pPr>
        <w:ind w:left="1800" w:right="439" w:hanging="180"/>
        <w:spacing w:after="0" w:line="259"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Strategic Partnerships. </w:t>
      </w:r>
      <w:r>
        <w:rPr>
          <w:rFonts w:ascii="Arial" w:cs="Arial" w:eastAsia="Arial" w:hAnsi="Arial"/>
          <w:sz w:val="18"/>
          <w:szCs w:val="18"/>
          <w:color w:val="auto"/>
        </w:rPr>
        <w:t>We have established strong relationships with suppliers and partners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the Lucid Air. We have battery cell supply agreements in place with leading suppliers in the electric vehicle space and a commercial partnership with Electrify America to deliver a differentiated charging experience for our customers.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Growth Strategy</w:t>
      </w:r>
    </w:p>
    <w:p>
      <w:pPr>
        <w:spacing w:after="0" w:line="148" w:lineRule="exact"/>
        <w:rPr>
          <w:sz w:val="20"/>
          <w:szCs w:val="20"/>
          <w:color w:val="auto"/>
        </w:rPr>
      </w:pPr>
    </w:p>
    <w:p>
      <w:pPr>
        <w:jc w:val="both"/>
        <w:ind w:left="1260" w:right="459" w:firstLine="360"/>
        <w:spacing w:after="0" w:line="248" w:lineRule="auto"/>
        <w:rPr>
          <w:sz w:val="20"/>
          <w:szCs w:val="20"/>
          <w:color w:val="auto"/>
        </w:rPr>
      </w:pPr>
      <w:r>
        <w:rPr>
          <w:rFonts w:ascii="Arial" w:cs="Arial" w:eastAsia="Arial" w:hAnsi="Arial"/>
          <w:sz w:val="18"/>
          <w:szCs w:val="18"/>
          <w:color w:val="auto"/>
        </w:rPr>
        <w:t>We aim to create opportunity as an automotive company, an energy storage systems manufacturer and a technology supplier for other automotive OEMs and other applications such as aircraft (including eVTOL), heavy machinery, agriculture and marine transportation.</w:t>
      </w:r>
    </w:p>
    <w:p>
      <w:pPr>
        <w:spacing w:after="0" w:line="70" w:lineRule="exact"/>
        <w:rPr>
          <w:sz w:val="20"/>
          <w:szCs w:val="20"/>
          <w:color w:val="auto"/>
        </w:rPr>
      </w:pPr>
    </w:p>
    <w:p>
      <w:pPr>
        <w:ind w:left="1800" w:right="479" w:hanging="180"/>
        <w:spacing w:after="0" w:line="277" w:lineRule="auto"/>
        <w:tabs>
          <w:tab w:leader="none" w:pos="180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Vehicle Roadmap</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established a planned roadmap for future vehicle lines that includes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vehicle types that are expected to perform well in various customer segments. By utilizing the Lucid Air to establish the brand, we plan to leverage economies of scale and efficiency of operations to unlock sales in more mass market segments. We will seek to establish a strong customer base in the luxury and premium vehicle markets across the globe.</w:t>
      </w:r>
    </w:p>
    <w:p>
      <w:pPr>
        <w:spacing w:after="0" w:line="63" w:lineRule="exact"/>
        <w:rPr>
          <w:rFonts w:ascii="Arial" w:cs="Arial" w:eastAsia="Arial" w:hAnsi="Arial"/>
          <w:sz w:val="17"/>
          <w:szCs w:val="17"/>
          <w:color w:val="auto"/>
        </w:rPr>
      </w:pPr>
    </w:p>
    <w:p>
      <w:pPr>
        <w:ind w:left="1800" w:right="479" w:hanging="180"/>
        <w:spacing w:after="0" w:line="269" w:lineRule="auto"/>
        <w:tabs>
          <w:tab w:leader="none" w:pos="180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International Expansion. </w:t>
      </w:r>
      <w:r>
        <w:rPr>
          <w:rFonts w:ascii="Arial" w:cs="Arial" w:eastAsia="Arial" w:hAnsi="Arial"/>
          <w:sz w:val="17"/>
          <w:szCs w:val="17"/>
          <w:color w:val="auto"/>
        </w:rPr>
        <w:t>We expect to establish manufacturing facilities in multiple geographies,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Asia-Pacific, the Middle East and potentially Europe in the coming years along with a retail footprint throughout each region. These manufacturing facilities could include facilities for component subassembly, vehicle kit reassembly, complete built unit vehicle production and/or energy storage systems. We believe that establishing a global manufacturing footprint will help us to grow the brand, scale the business and address market demand in the Asia-Pacific, Middle East and European markets, while also taking action to address climate change. We anticipate that localized supply chain, production, distribution and retail can yield cost savings and environmental benefits with reduced transportation of product to the customer. As part of this strategy, our business plan contemplates manufacturing facilities in Saudi Arabia and China.</w:t>
      </w:r>
    </w:p>
    <w:p>
      <w:pPr>
        <w:spacing w:after="0" w:line="77" w:lineRule="exact"/>
        <w:rPr>
          <w:rFonts w:ascii="Arial" w:cs="Arial" w:eastAsia="Arial" w:hAnsi="Arial"/>
          <w:sz w:val="17"/>
          <w:szCs w:val="17"/>
          <w:color w:val="auto"/>
        </w:rPr>
      </w:pPr>
    </w:p>
    <w:p>
      <w:pPr>
        <w:ind w:left="1800" w:right="419" w:hanging="180"/>
        <w:spacing w:after="0" w:line="253"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Energy Storage Systems. </w:t>
      </w:r>
      <w:r>
        <w:rPr>
          <w:rFonts w:ascii="Arial" w:cs="Arial" w:eastAsia="Arial" w:hAnsi="Arial"/>
          <w:sz w:val="18"/>
          <w:szCs w:val="18"/>
          <w:color w:val="auto"/>
        </w:rPr>
        <w:t>We plan to leverage advancements in its battery pack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 learned through development of the Lucid Air to produce stationary ESS. This technologically adjacent business opportunity leverages our extensive battery pack and battery management systems experience and expertise and will position us to utilize the modular design of our battery pack to efficiently mass produce energy storage systems for residential, commercial and utility-scale applications. We intend to explore more cost-effective battery cell chemistries than those used in electric vehicle batteries, given the lower importance of gravimetrical energy density in ESS cells. We currently have a prototype ESS product operating at our headquarters in Newark, California.</w:t>
      </w:r>
    </w:p>
    <w:p>
      <w:pPr>
        <w:spacing w:after="0" w:line="88"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Technology Outbound Sales &amp; Licensing. </w:t>
      </w:r>
      <w:r>
        <w:rPr>
          <w:rFonts w:ascii="Arial" w:cs="Arial" w:eastAsia="Arial" w:hAnsi="Arial"/>
          <w:sz w:val="18"/>
          <w:szCs w:val="18"/>
          <w:color w:val="auto"/>
        </w:rPr>
        <w:t>We are actively engaged in supplying racing teams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premier EV racing series with our battery packs and software. We expect to expand this technology division to supply our world class technology beyond the world of racing to help accelerate the adoption of EVs.</w:t>
      </w:r>
    </w:p>
    <w:p>
      <w:pPr>
        <w:spacing w:after="0" w:line="119"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We are motivated to achieve a future where transportation is sustainable and works with the planet, not against it. The sale of technology solutions to traditional automotive OEMs would support that goal, as would sales to customers in the marine and aviation sectors. Our technology is modular and readily customizable, enhancing our suitability for build-to-print powertrain and battery solutions for other manufacturers.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Vehicles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Lucid Air</w:t>
      </w:r>
    </w:p>
    <w:p>
      <w:pPr>
        <w:spacing w:after="0" w:line="144"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We expect our first product, the Lucid Air, to define Lucid as a brand. The Air is designed to fuse art and science to capture the potential of electrification. As our flagship product, the Air is intended to establish the bar for excellence across all our future products and experiences.</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The Air is a state-of-the-art luxury electric sedan featuring a California-inspired design and underpinned by our race-proven battery and its powertrain technology. Featuring luxurious interior space in a mid-size exterior footprint, we anticipate that some variants of the Lucid Air will be available with a projected EPA estimated range of greater than 500 miles on a single charge.</w:t>
      </w:r>
    </w:p>
    <w:p>
      <w:pPr>
        <w:spacing w:after="0" w:line="107"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The Lucid Space Concept offers class -leading interior space, a sculpted battery pack and a massive front trunk (or “frunk”) with a capacity of over 280 liters. From the start of its development, we used the Lucid Space Concept to increase interior space. This new approach to sedan architecture takes advantage of our miniaturized EV drivetrain to deliver full-size interior volume with a mid-size exterior footprint. This technical breakthrough resulted in class-leading interior space for the driver, passengers and storage within a compact, agile and efficient exterior.</w:t>
      </w:r>
    </w:p>
    <w:p>
      <w:pPr>
        <w:spacing w:after="0" w:line="122" w:lineRule="exact"/>
        <w:rPr>
          <w:sz w:val="20"/>
          <w:szCs w:val="20"/>
          <w:color w:val="auto"/>
        </w:rPr>
      </w:pPr>
    </w:p>
    <w:p>
      <w:pPr>
        <w:ind w:left="1260" w:right="579" w:firstLine="360"/>
        <w:spacing w:after="0" w:line="227" w:lineRule="auto"/>
        <w:rPr>
          <w:sz w:val="20"/>
          <w:szCs w:val="20"/>
          <w:color w:val="auto"/>
        </w:rPr>
      </w:pPr>
      <w:r>
        <w:rPr>
          <w:rFonts w:ascii="Arial" w:cs="Arial" w:eastAsia="Arial" w:hAnsi="Arial"/>
          <w:sz w:val="18"/>
          <w:szCs w:val="18"/>
          <w:color w:val="auto"/>
        </w:rPr>
        <w:t>The Space Concept was achieved through a ground -up rethink in the way an automobile is designed. The launch edition of the Lucid Air is expected to have a “bench” style rear seat that provides expansive space for three adults with class leading legroom. Over the next few years, we intend to take further advantage of the Space Concept by launching an aircraft-inspired executive rear seat option. The Lucid Air’s interior is capped with a glass canopy that creates an even more extravagant sense of space.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Despite its expansive interior, the Lucid Air is more compact on the exterior than leading internal combustion engine vehicles in the same class and segment.</w:t>
      </w:r>
    </w:p>
    <w:p>
      <w:pPr>
        <w:spacing w:after="0" w:line="122"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7"/>
          <w:szCs w:val="17"/>
          <w:color w:val="auto"/>
        </w:rPr>
        <w:t>The centerpiece of the Lucid Air’s human-machine interface is its “Glass Cockpit,” a beautifully integrated, configurable infotainment system that is designed to provide a seamless connected experience for the driver. This state-of- the -art system is presented on a compound three-screen display assembly that curves in front of the driver — including two touch screens. This display is designed to sit in the driver’s line of sight to increase operator safety and reduce time looking away from the road. The Glass Cockpit is augmented by a retractable center screen for a more immersive user interface.</w:t>
      </w:r>
    </w:p>
    <w:p>
      <w:pPr>
        <w:spacing w:after="0" w:line="94"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The Lucid Air has the looks to match its advanced powertrain, with clean styling up front emphasized by slim headlights and a chrome strip that spans from one corner to the other. The hood features sculpting over the wheels to further emphasize power, and the windshield flows as one piece of glass all the way back to the B-pillar. The sleek lines work well with the Air’s short overhangs and large wheels. This pleasing shape is also functional, providing a low coefficient of drag at a mere 0.21 and enabling greater range and performance. Each of the Lucid Air’s interior themes is crafted with colors and materials that evoke iconic California locations at various times of day and night.</w:t>
      </w:r>
    </w:p>
    <w:p>
      <w:pPr>
        <w:spacing w:after="0" w:line="123"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Efficiency is the ultimate measure of EV technology, and we believe our technology leads the industry in this respect, with expected efficiency of greater than 4.5 miles per kilowatt-hour for some variants of the Lucid Air. The highly aerodynamic design of the Lucid Air provides longer range in its own right, driving faster miles-per-minute charging and the ability to provide equivalent range with a smaller, lower-cost battery pack.</w:t>
      </w:r>
    </w:p>
    <w:p>
      <w:pPr>
        <w:spacing w:after="0" w:line="122"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The Air’s advanced technology and efficiency have enabled us to design the Lucid Air to achieve both long range and high performance. These attributes have historically been mutually exclusive design goals, and the Lucid Air’s achievements in this regard further validate its technology.</w:t>
      </w:r>
    </w:p>
    <w:p>
      <w:pPr>
        <w:spacing w:after="0" w:line="101"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The Lucid Air is expected to be offered at various price points with different specifications. The initial variant of the Lucid Air that we plan to produce is the Lucid Air Dream Edition. The Dream Edition is the special edition launch version of the Lucid Air and is intended to compete with the flagship sedans from leading luxury automakers. We anticipate releasing three additional variants of the Lucid Air, stepping down in price and performance to make an EV that is more accessible to a broader audience.</w:t>
      </w:r>
    </w:p>
    <w:p>
      <w:pPr>
        <w:spacing w:after="0" w:line="106"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 xml:space="preserve">As discussed in “— </w:t>
      </w:r>
      <w:r>
        <w:rPr>
          <w:rFonts w:ascii="Arial" w:cs="Arial" w:eastAsia="Arial" w:hAnsi="Arial"/>
          <w:sz w:val="17"/>
          <w:szCs w:val="17"/>
          <w:i w:val="1"/>
          <w:iCs w:val="1"/>
          <w:color w:val="auto"/>
        </w:rPr>
        <w:t>Technology</w:t>
      </w:r>
      <w:r>
        <w:rPr>
          <w:rFonts w:ascii="Arial" w:cs="Arial" w:eastAsia="Arial" w:hAnsi="Arial"/>
          <w:sz w:val="17"/>
          <w:szCs w:val="17"/>
          <w:color w:val="auto"/>
        </w:rPr>
        <w:t>” below, the Lucid Air is underpinned by the LEAP, which is designed to support other vehicle variants to enable greater capital deployment efficiency and speed to market.</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Future Vehicle Programs</w:t>
      </w:r>
    </w:p>
    <w:p>
      <w:pPr>
        <w:spacing w:after="0" w:line="158"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The first vehicle planned to share the Lucid Air’s LEAP is our Project Gravity, which we expect to start producing at the end of 2023. We expect Project Gravity to achieve many of the attributes that make the Lucid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47625</wp:posOffset>
            </wp:positionV>
            <wp:extent cx="12344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9" w:lineRule="exact"/>
        <w:rPr>
          <w:sz w:val="20"/>
          <w:szCs w:val="20"/>
          <w:color w:val="auto"/>
        </w:rPr>
      </w:pPr>
    </w:p>
    <w:p>
      <w:pPr>
        <w:ind w:left="1620" w:hanging="360"/>
        <w:spacing w:after="0"/>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Glass canopy available on Lucid Air Dream and Grand Touring and Touring editions.</w:t>
      </w:r>
    </w:p>
    <w:p>
      <w:pPr>
        <w:sectPr>
          <w:pgSz w:w="11900" w:h="16838" w:orient="portrait"/>
          <w:cols w:equalWidth="0" w:num="1">
            <w:col w:w="9879"/>
          </w:cols>
          <w:pgMar w:left="580" w:top="131" w:right="1440" w:bottom="1440" w:gutter="0" w:footer="0" w:header="0"/>
        </w:sectPr>
      </w:pPr>
    </w:p>
    <w:p>
      <w:pPr>
        <w:spacing w:after="0" w:line="39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9" w:name="page110"/>
    <w:bookmarkEnd w:id="10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Air special, including a class-leading spacious interior and a more compact and efficient exterior. We anticipate that building the SUV on a common LEAP platform will enable efficiency in design, engineering and capital expenditure deployment for Project Gravity. When we approach the start of production of Project Gravity, we plan to increase capacity at our Casa Grande manufacturing facility to accommodate expected Lucid Air volumes at that point in time plus expected incremental volumes driven by Project Gravity customer demand.</w:t>
      </w:r>
    </w:p>
    <w:p>
      <w:pPr>
        <w:spacing w:after="0" w:line="108" w:lineRule="exact"/>
        <w:rPr>
          <w:sz w:val="20"/>
          <w:szCs w:val="20"/>
          <w:color w:val="auto"/>
        </w:rPr>
      </w:pPr>
    </w:p>
    <w:p>
      <w:pPr>
        <w:jc w:val="both"/>
        <w:ind w:left="1260" w:right="659" w:firstLine="360"/>
        <w:spacing w:after="0" w:line="248" w:lineRule="auto"/>
        <w:rPr>
          <w:sz w:val="20"/>
          <w:szCs w:val="20"/>
          <w:color w:val="auto"/>
        </w:rPr>
      </w:pPr>
      <w:r>
        <w:rPr>
          <w:rFonts w:ascii="Arial" w:cs="Arial" w:eastAsia="Arial" w:hAnsi="Arial"/>
          <w:sz w:val="18"/>
          <w:szCs w:val="18"/>
          <w:color w:val="auto"/>
        </w:rPr>
        <w:t>We have also developed a roadmap with additional vehicles and platforms to make its vehicles more accessible at a variety of price points. We plan to start at the high end to establish our brand but expect to manufacture progressively more affordable vehicles in higher volumes over time.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Technology</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We are a technology and automotive company. We seek to set new standards for sustainable transportation with the Lucid Air, and does so by focusing on proprietary, in -house technology development. We have developed cutting-edge electric vehicle technology that we believe sets a new benchmark for EVs. Core to our DNA is achievement of technical excellence.</w:t>
      </w:r>
    </w:p>
    <w:p>
      <w:pPr>
        <w:spacing w:after="0" w:line="120"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Our in-house engineering team is focused on delivering innovation in all facets of vehicle development, including hardware and software development, vehicle design and passenger comfort. The development of the Lucid Air was predicated on the premise that miniaturizing the powertrain would allow us to redesign what a car can be from the ground up.</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refined our battery technologies over many years in real-world applications, including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 million miles of vehicle testing and the supply of battery packs to all teams in the premier EV racing</w:t>
      </w:r>
    </w:p>
    <w:p>
      <w:pPr>
        <w:ind w:left="1260"/>
        <w:spacing w:after="0"/>
        <w:rPr>
          <w:sz w:val="20"/>
          <w:szCs w:val="20"/>
          <w:color w:val="auto"/>
        </w:rPr>
      </w:pPr>
      <w:r>
        <w:rPr>
          <w:rFonts w:ascii="Arial" w:cs="Arial" w:eastAsia="Arial" w:hAnsi="Arial"/>
          <w:sz w:val="17"/>
          <w:szCs w:val="17"/>
          <w:color w:val="auto"/>
        </w:rPr>
        <w:t>series. We have used the data accumulated from these activities to refine our technology and thoughtfully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develop the Lucid Air.</w:t>
      </w:r>
    </w:p>
    <w:p>
      <w:pPr>
        <w:spacing w:after="0" w:line="12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believe our in-house research and development organization establishes us as a leader across multiple technologies and areas of expertise. As of June 30, 2021, we owned approximately 167 issued U.S. patents, 31 pending U.S. patent applications, 154 issued foreign patents, 34 pending foreign patent applications and 4 pending Patent Cooperation Treaty patent applications. Our technological achievements include significant advancements to the core technologies that drive an electric vehicle. Areas where our in-house engineering has driven advancement include:</w:t>
      </w:r>
    </w:p>
    <w:p>
      <w:pPr>
        <w:spacing w:after="0" w:line="81" w:lineRule="exact"/>
        <w:rPr>
          <w:sz w:val="20"/>
          <w:szCs w:val="20"/>
          <w:color w:val="auto"/>
        </w:rPr>
      </w:pPr>
    </w:p>
    <w:p>
      <w:pPr>
        <w:ind w:left="1800" w:hanging="180"/>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Battery Pack.  </w:t>
      </w:r>
      <w:r>
        <w:rPr>
          <w:rFonts w:ascii="Arial" w:cs="Arial" w:eastAsia="Arial" w:hAnsi="Arial"/>
          <w:sz w:val="18"/>
          <w:szCs w:val="18"/>
          <w:color w:val="auto"/>
        </w:rPr>
        <w:t>The Lucid Air’s battery pack translates our motorsport experience and more than</w:t>
      </w:r>
    </w:p>
    <w:p>
      <w:pPr>
        <w:spacing w:after="0" w:line="23" w:lineRule="exact"/>
        <w:rPr>
          <w:rFonts w:ascii="Arial" w:cs="Arial" w:eastAsia="Arial" w:hAnsi="Arial"/>
          <w:sz w:val="18"/>
          <w:szCs w:val="18"/>
          <w:color w:val="auto"/>
        </w:rPr>
      </w:pPr>
    </w:p>
    <w:p>
      <w:pPr>
        <w:ind w:left="1800" w:right="439"/>
        <w:spacing w:after="0" w:line="271" w:lineRule="auto"/>
        <w:rPr>
          <w:rFonts w:ascii="Arial" w:cs="Arial" w:eastAsia="Arial" w:hAnsi="Arial"/>
          <w:sz w:val="18"/>
          <w:szCs w:val="18"/>
          <w:color w:val="auto"/>
        </w:rPr>
      </w:pPr>
      <w:r>
        <w:rPr>
          <w:rFonts w:ascii="Arial" w:cs="Arial" w:eastAsia="Arial" w:hAnsi="Arial"/>
          <w:sz w:val="17"/>
          <w:szCs w:val="17"/>
          <w:color w:val="auto"/>
        </w:rPr>
        <w:t>20 million miles of real-world testing into a compact and energy dense unit that was developed in-house with a clean-sheet approach to engineering. The battery pack is designed to be scalable and modular, providing opportunities for cost and range variations as we develop future LEAP platforms. It is also designed for performance, with advanced end-cooling technology and an advanced low-resistance architecture to reduce heat loss and increase range.</w:t>
      </w:r>
    </w:p>
    <w:p>
      <w:pPr>
        <w:spacing w:after="0" w:line="97" w:lineRule="exact"/>
        <w:rPr>
          <w:rFonts w:ascii="Arial" w:cs="Arial" w:eastAsia="Arial" w:hAnsi="Arial"/>
          <w:sz w:val="18"/>
          <w:szCs w:val="18"/>
          <w:color w:val="auto"/>
        </w:rPr>
      </w:pPr>
    </w:p>
    <w:p>
      <w:pPr>
        <w:ind w:left="1780" w:right="439"/>
        <w:spacing w:after="0"/>
        <w:rPr>
          <w:rFonts w:ascii="Arial" w:cs="Arial" w:eastAsia="Arial" w:hAnsi="Arial"/>
          <w:sz w:val="18"/>
          <w:szCs w:val="18"/>
          <w:color w:val="auto"/>
        </w:rPr>
      </w:pPr>
      <w:r>
        <w:rPr>
          <w:rFonts w:ascii="Arial" w:cs="Arial" w:eastAsia="Arial" w:hAnsi="Arial"/>
          <w:sz w:val="18"/>
          <w:szCs w:val="18"/>
          <w:color w:val="auto"/>
        </w:rPr>
        <w:t>Our battery pack incorporates battery cells from suppliers that have significant experience in the development and manufacture of cells for high-performance electric vehicle applications and robust battery cycle life. The battery cells incorporated into our battery packs are required to conform to our high standards, including with respect to our targets for range, energy density, recharge/ discharge rates and other characteristics, and to support our compact, energy-dense battery pack form. We have battery cell supply agreements with these suppliers in place.</w:t>
      </w:r>
    </w:p>
    <w:p>
      <w:pPr>
        <w:spacing w:after="0" w:line="121" w:lineRule="exact"/>
        <w:rPr>
          <w:rFonts w:ascii="Arial" w:cs="Arial" w:eastAsia="Arial" w:hAnsi="Arial"/>
          <w:sz w:val="18"/>
          <w:szCs w:val="18"/>
          <w:color w:val="auto"/>
        </w:rPr>
      </w:pPr>
    </w:p>
    <w:p>
      <w:pPr>
        <w:ind w:left="1780" w:right="419"/>
        <w:spacing w:after="0" w:line="243" w:lineRule="auto"/>
        <w:rPr>
          <w:rFonts w:ascii="Arial" w:cs="Arial" w:eastAsia="Arial" w:hAnsi="Arial"/>
          <w:sz w:val="18"/>
          <w:szCs w:val="18"/>
          <w:color w:val="auto"/>
        </w:rPr>
      </w:pPr>
      <w:r>
        <w:rPr>
          <w:rFonts w:ascii="Arial" w:cs="Arial" w:eastAsia="Arial" w:hAnsi="Arial"/>
          <w:sz w:val="18"/>
          <w:szCs w:val="18"/>
          <w:color w:val="auto"/>
        </w:rPr>
        <w:t>Our battery pack supports our vision to revolutionize EV technology through mass industrialization. Our single piece “brick” injection molded battery module is race derived yet designed for mass production, with electrical “bus bar” connectors that are integrally captured in the molding in a single operation — a profound technological advancement.</w:t>
      </w:r>
    </w:p>
    <w:p>
      <w:pPr>
        <w:spacing w:after="0" w:line="120" w:lineRule="exact"/>
        <w:rPr>
          <w:rFonts w:ascii="Arial" w:cs="Arial" w:eastAsia="Arial" w:hAnsi="Arial"/>
          <w:sz w:val="18"/>
          <w:szCs w:val="18"/>
          <w:color w:val="auto"/>
        </w:rPr>
      </w:pPr>
    </w:p>
    <w:p>
      <w:pPr>
        <w:ind w:left="1780" w:right="559"/>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We believe the technology developed for the battery packs in the Lucid Air can transfer to our other vehicles, to the industrialization of mass-market vehicles, and to technologically adjacent markets. See “— </w:t>
      </w:r>
      <w:r>
        <w:rPr>
          <w:rFonts w:ascii="Arial" w:cs="Arial" w:eastAsia="Arial" w:hAnsi="Arial"/>
          <w:sz w:val="18"/>
          <w:szCs w:val="18"/>
          <w:i w:val="1"/>
          <w:iCs w:val="1"/>
          <w:color w:val="auto"/>
        </w:rPr>
        <w:t>Growth Strategy.</w:t>
      </w:r>
      <w:r>
        <w:rPr>
          <w:rFonts w:ascii="Arial" w:cs="Arial" w:eastAsia="Arial" w:hAnsi="Arial"/>
          <w:sz w:val="18"/>
          <w:szCs w:val="18"/>
          <w:color w:val="auto"/>
        </w:rPr>
        <w:t>”</w:t>
      </w:r>
    </w:p>
    <w:p>
      <w:pPr>
        <w:spacing w:after="0" w:line="60" w:lineRule="exact"/>
        <w:rPr>
          <w:rFonts w:ascii="Arial" w:cs="Arial" w:eastAsia="Arial" w:hAnsi="Arial"/>
          <w:sz w:val="18"/>
          <w:szCs w:val="18"/>
          <w:color w:val="auto"/>
        </w:rPr>
      </w:pPr>
    </w:p>
    <w:p>
      <w:pPr>
        <w:ind w:left="1800" w:right="699" w:hanging="180"/>
        <w:spacing w:after="0" w:line="308" w:lineRule="auto"/>
        <w:tabs>
          <w:tab w:leader="none" w:pos="180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Lucid Electric Advanced Platform. </w:t>
      </w:r>
      <w:r>
        <w:rPr>
          <w:rFonts w:ascii="Arial" w:cs="Arial" w:eastAsia="Arial" w:hAnsi="Arial"/>
          <w:sz w:val="17"/>
          <w:szCs w:val="17"/>
          <w:color w:val="auto"/>
        </w:rPr>
        <w:t>The LEAP platform was designed and developed in-house,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incorporating our six key powertrain elements: (i) Battery Pack &amp; Battery Management Software,</w:t>
      </w: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39"/>
        <w:spacing w:after="0" w:line="279" w:lineRule="auto"/>
        <w:tabs>
          <w:tab w:leader="none" w:pos="2083" w:val="left"/>
        </w:tabs>
        <w:numPr>
          <w:ilvl w:val="0"/>
          <w:numId w:val="61"/>
        </w:numPr>
        <w:rPr>
          <w:rFonts w:ascii="Arial" w:cs="Arial" w:eastAsia="Arial" w:hAnsi="Arial"/>
          <w:sz w:val="17"/>
          <w:szCs w:val="17"/>
          <w:color w:val="auto"/>
        </w:rPr>
      </w:pPr>
      <w:r>
        <w:rPr>
          <w:rFonts w:ascii="Arial" w:cs="Arial" w:eastAsia="Arial" w:hAnsi="Arial"/>
          <w:sz w:val="17"/>
          <w:szCs w:val="17"/>
          <w:color w:val="auto"/>
        </w:rPr>
        <w:t>Electric Motors, (iii) Power Electronics, (iv) Transmission, (v) Control Software and (vi) Two-Way Onboard Boost-Charger (with bi-directional features expected to be enabled by OTA update after the launch of the Lucid Air). The LEAP structure is an enabling factor allowing the Lucid Space Concept to support class-leading interior and cargo room for a luxury or electric vehicle.</w:t>
      </w:r>
    </w:p>
    <w:p>
      <w:pPr>
        <w:spacing w:after="0" w:line="90" w:lineRule="exact"/>
        <w:rPr>
          <w:sz w:val="20"/>
          <w:szCs w:val="20"/>
          <w:color w:val="auto"/>
        </w:rPr>
      </w:pPr>
    </w:p>
    <w:p>
      <w:pPr>
        <w:ind w:left="1780" w:right="439"/>
        <w:spacing w:after="0" w:line="275" w:lineRule="auto"/>
        <w:rPr>
          <w:sz w:val="20"/>
          <w:szCs w:val="20"/>
          <w:color w:val="auto"/>
        </w:rPr>
      </w:pPr>
      <w:r>
        <w:rPr>
          <w:rFonts w:ascii="Arial" w:cs="Arial" w:eastAsia="Arial" w:hAnsi="Arial"/>
          <w:sz w:val="17"/>
          <w:szCs w:val="17"/>
          <w:color w:val="auto"/>
        </w:rPr>
        <w:t>By underpinning our vehicles on common LEAP platform(s), we expect to have the ability to support other vehicle variants, enabling greater capital efficiency and speed to market. Our full-size LEAP platform is expected to serve as the “skateboard” upon which the Lucid Air and Project Gravity, among other potential vehicles, are manufactured. We further expect to capture additional market share by diversifying our vehicle lineup supported by mid-size and larger LEAP platforms over time.</w:t>
      </w:r>
    </w:p>
    <w:p>
      <w:pPr>
        <w:spacing w:after="0" w:line="82" w:lineRule="exact"/>
        <w:rPr>
          <w:sz w:val="20"/>
          <w:szCs w:val="20"/>
          <w:color w:val="auto"/>
        </w:rPr>
      </w:pPr>
    </w:p>
    <w:p>
      <w:pPr>
        <w:ind w:left="1800" w:right="439" w:hanging="180"/>
        <w:spacing w:after="0" w:line="279" w:lineRule="auto"/>
        <w:tabs>
          <w:tab w:leader="none" w:pos="180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Electric Motor, Inverter and Transmission Drive Unit. </w:t>
      </w:r>
      <w:r>
        <w:rPr>
          <w:rFonts w:ascii="Arial" w:cs="Arial" w:eastAsia="Arial" w:hAnsi="Arial"/>
          <w:sz w:val="17"/>
          <w:szCs w:val="17"/>
          <w:color w:val="auto"/>
        </w:rPr>
        <w:t>Our motor and gearbox 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utilizes permanent magnet motors that were developed in-house. Combining these motors with an inverter and an integrated gearbox and differential creates an advanced 900V+ electric drive unit that weighs just 163lb (74kg) and is small enough to fit inside a carry-on roller bag.</w:t>
      </w:r>
    </w:p>
    <w:p>
      <w:pPr>
        <w:spacing w:after="0" w:line="90" w:lineRule="exact"/>
        <w:rPr>
          <w:rFonts w:ascii="Arial" w:cs="Arial" w:eastAsia="Arial" w:hAnsi="Arial"/>
          <w:sz w:val="17"/>
          <w:szCs w:val="17"/>
          <w:color w:val="auto"/>
        </w:rPr>
      </w:pPr>
    </w:p>
    <w:p>
      <w:pPr>
        <w:ind w:left="1780" w:right="519"/>
        <w:spacing w:after="0" w:line="263" w:lineRule="auto"/>
        <w:rPr>
          <w:rFonts w:ascii="Arial" w:cs="Arial" w:eastAsia="Arial" w:hAnsi="Arial"/>
          <w:sz w:val="17"/>
          <w:szCs w:val="17"/>
          <w:color w:val="auto"/>
        </w:rPr>
      </w:pPr>
      <w:r>
        <w:rPr>
          <w:rFonts w:ascii="Arial" w:cs="Arial" w:eastAsia="Arial" w:hAnsi="Arial"/>
          <w:sz w:val="18"/>
          <w:szCs w:val="18"/>
          <w:color w:val="auto"/>
        </w:rPr>
        <w:t>Each drive unit produces up to 670hp, with a power density that we believe is industry-leading at up to 9.0hp/kg. This compactness allows for one, two or even three units to be used to power a Lucid Air.</w:t>
      </w:r>
    </w:p>
    <w:p>
      <w:pPr>
        <w:spacing w:after="0" w:line="116" w:lineRule="exact"/>
        <w:rPr>
          <w:rFonts w:ascii="Arial" w:cs="Arial" w:eastAsia="Arial" w:hAnsi="Arial"/>
          <w:sz w:val="17"/>
          <w:szCs w:val="17"/>
          <w:color w:val="auto"/>
        </w:rPr>
      </w:pPr>
    </w:p>
    <w:p>
      <w:pPr>
        <w:ind w:left="1780" w:right="439"/>
        <w:spacing w:after="0" w:line="257" w:lineRule="auto"/>
        <w:rPr>
          <w:rFonts w:ascii="Arial" w:cs="Arial" w:eastAsia="Arial" w:hAnsi="Arial"/>
          <w:sz w:val="17"/>
          <w:szCs w:val="17"/>
          <w:color w:val="auto"/>
        </w:rPr>
      </w:pPr>
      <w:r>
        <w:rPr>
          <w:rFonts w:ascii="Arial" w:cs="Arial" w:eastAsia="Arial" w:hAnsi="Arial"/>
          <w:sz w:val="18"/>
          <w:szCs w:val="18"/>
          <w:color w:val="auto"/>
        </w:rPr>
        <w:t>The enablers of these electric motor characteristics include a set of inventions that are part of our intellectual property portfolio. Most notably, a new motor winding technology has been introduced to increase power output and reduce electrical losses. The motor also features an innovative cooling system that more effectively removes heat from the stator winding, reducing losses and boosting efficiency.</w:t>
      </w:r>
    </w:p>
    <w:p>
      <w:pPr>
        <w:spacing w:after="0" w:line="120" w:lineRule="exact"/>
        <w:rPr>
          <w:rFonts w:ascii="Arial" w:cs="Arial" w:eastAsia="Arial" w:hAnsi="Arial"/>
          <w:sz w:val="17"/>
          <w:szCs w:val="17"/>
          <w:color w:val="auto"/>
        </w:rPr>
      </w:pPr>
    </w:p>
    <w:p>
      <w:pPr>
        <w:ind w:left="1780" w:right="519"/>
        <w:spacing w:after="0" w:line="255" w:lineRule="auto"/>
        <w:rPr>
          <w:rFonts w:ascii="Arial" w:cs="Arial" w:eastAsia="Arial" w:hAnsi="Arial"/>
          <w:sz w:val="17"/>
          <w:szCs w:val="17"/>
          <w:color w:val="auto"/>
        </w:rPr>
      </w:pPr>
      <w:r>
        <w:rPr>
          <w:rFonts w:ascii="Arial" w:cs="Arial" w:eastAsia="Arial" w:hAnsi="Arial"/>
          <w:sz w:val="18"/>
          <w:szCs w:val="18"/>
          <w:color w:val="auto"/>
        </w:rPr>
        <w:t>The compactness of these electric drive units lays the foundation for our Space Concept vehicle design approach. The fully integrated transmission and differential also contribute to this approach. Together, these components comprise a unified, integrated rotational system that is both lightweight and extremely efficient. Meanwhile, we leverage a high voltage, silicon-carbide MOSFET (metal-oxide-semiconductor field-effect transistor) system in our inverters to increase efficiency, especially in real-world driving conditions.</w:t>
      </w:r>
    </w:p>
    <w:p>
      <w:pPr>
        <w:spacing w:after="0" w:line="111" w:lineRule="exact"/>
        <w:rPr>
          <w:rFonts w:ascii="Arial" w:cs="Arial" w:eastAsia="Arial" w:hAnsi="Arial"/>
          <w:sz w:val="17"/>
          <w:szCs w:val="17"/>
          <w:color w:val="auto"/>
        </w:rPr>
      </w:pPr>
    </w:p>
    <w:p>
      <w:pPr>
        <w:ind w:left="1780" w:right="459"/>
        <w:spacing w:after="0" w:line="255" w:lineRule="auto"/>
        <w:rPr>
          <w:rFonts w:ascii="Arial" w:cs="Arial" w:eastAsia="Arial" w:hAnsi="Arial"/>
          <w:sz w:val="17"/>
          <w:szCs w:val="17"/>
          <w:color w:val="auto"/>
        </w:rPr>
      </w:pPr>
      <w:r>
        <w:rPr>
          <w:rFonts w:ascii="Arial" w:cs="Arial" w:eastAsia="Arial" w:hAnsi="Arial"/>
          <w:sz w:val="18"/>
          <w:szCs w:val="18"/>
          <w:color w:val="auto"/>
        </w:rPr>
        <w:t>In the obsessive pursuit of lightweight construction that contributes to overall efficiency, our technology improves the key components of its powertrain while extracting even more performance. For example, as of March 11, 2021, based on our internal testing and measurements and publicly available competitor data, the Lucid Air’s compact motor produced more than twice the power for its weight than the nearest competitive EV. Less weight leads to increased efficiency, even as performance is elevated to new levels.</w:t>
      </w:r>
    </w:p>
    <w:p>
      <w:pPr>
        <w:spacing w:after="0" w:line="124" w:lineRule="exact"/>
        <w:rPr>
          <w:rFonts w:ascii="Arial" w:cs="Arial" w:eastAsia="Arial" w:hAnsi="Arial"/>
          <w:sz w:val="17"/>
          <w:szCs w:val="17"/>
          <w:color w:val="auto"/>
        </w:rPr>
      </w:pPr>
    </w:p>
    <w:p>
      <w:pPr>
        <w:ind w:left="1780" w:right="519"/>
        <w:spacing w:after="0" w:line="263" w:lineRule="auto"/>
        <w:rPr>
          <w:rFonts w:ascii="Arial" w:cs="Arial" w:eastAsia="Arial" w:hAnsi="Arial"/>
          <w:sz w:val="17"/>
          <w:szCs w:val="17"/>
          <w:color w:val="auto"/>
        </w:rPr>
      </w:pPr>
      <w:r>
        <w:rPr>
          <w:rFonts w:ascii="Arial" w:cs="Arial" w:eastAsia="Arial" w:hAnsi="Arial"/>
          <w:sz w:val="18"/>
          <w:szCs w:val="18"/>
          <w:color w:val="auto"/>
        </w:rPr>
        <w:t>Finally, we have also achieved breakthroughs in the advanced thermal management system within our electric motors. We have patented our efficient cooling design, which enables even higher levels of efficiency and performance.</w:t>
      </w:r>
    </w:p>
    <w:p>
      <w:pPr>
        <w:spacing w:after="0" w:line="75" w:lineRule="exact"/>
        <w:rPr>
          <w:rFonts w:ascii="Arial" w:cs="Arial" w:eastAsia="Arial" w:hAnsi="Arial"/>
          <w:sz w:val="17"/>
          <w:szCs w:val="17"/>
          <w:color w:val="auto"/>
        </w:rPr>
      </w:pPr>
    </w:p>
    <w:p>
      <w:pPr>
        <w:ind w:left="1800" w:right="439" w:hanging="180"/>
        <w:spacing w:after="0" w:line="259"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Bidirectional Charging. </w:t>
      </w:r>
      <w:r>
        <w:rPr>
          <w:rFonts w:ascii="Arial" w:cs="Arial" w:eastAsia="Arial" w:hAnsi="Arial"/>
          <w:sz w:val="18"/>
          <w:szCs w:val="18"/>
          <w:color w:val="auto"/>
        </w:rPr>
        <w:t>Our proprietary technology is designed to enable ultra-fast and bi-directional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charging. The 900V+ architecture combined with our Wünderbox as the heart of the Air’s electrical platform. The Wünderbox is a multi-function unit, developed in-house to ensure compatibility with charging systems of differing voltages, specifically boost-voltage charging.</w:t>
      </w:r>
    </w:p>
    <w:p>
      <w:pPr>
        <w:spacing w:after="0" w:line="119" w:lineRule="exact"/>
        <w:rPr>
          <w:rFonts w:ascii="Arial" w:cs="Arial" w:eastAsia="Arial" w:hAnsi="Arial"/>
          <w:sz w:val="18"/>
          <w:szCs w:val="18"/>
          <w:color w:val="auto"/>
        </w:rPr>
      </w:pPr>
    </w:p>
    <w:p>
      <w:pPr>
        <w:ind w:left="1780" w:right="519"/>
        <w:spacing w:after="0" w:line="263" w:lineRule="auto"/>
        <w:rPr>
          <w:rFonts w:ascii="Arial" w:cs="Arial" w:eastAsia="Arial" w:hAnsi="Arial"/>
          <w:sz w:val="18"/>
          <w:szCs w:val="18"/>
          <w:color w:val="auto"/>
        </w:rPr>
      </w:pPr>
      <w:r>
        <w:rPr>
          <w:rFonts w:ascii="Arial" w:cs="Arial" w:eastAsia="Arial" w:hAnsi="Arial"/>
          <w:sz w:val="18"/>
          <w:szCs w:val="18"/>
          <w:color w:val="auto"/>
        </w:rPr>
        <w:t>The Wünderbox is expected to provide the Lucid Air industry-leading charging speeds by allowing our customers to charge up to approximately 300kW-DC at a DC fast charging station, such as those available through our partnership with Electrify America.</w:t>
      </w:r>
    </w:p>
    <w:p>
      <w:pPr>
        <w:spacing w:after="0" w:line="102" w:lineRule="exact"/>
        <w:rPr>
          <w:rFonts w:ascii="Arial" w:cs="Arial" w:eastAsia="Arial" w:hAnsi="Arial"/>
          <w:sz w:val="18"/>
          <w:szCs w:val="18"/>
          <w:color w:val="auto"/>
        </w:rPr>
      </w:pPr>
    </w:p>
    <w:p>
      <w:pPr>
        <w:ind w:left="1780" w:right="439"/>
        <w:spacing w:after="0" w:line="286" w:lineRule="auto"/>
        <w:rPr>
          <w:rFonts w:ascii="Arial" w:cs="Arial" w:eastAsia="Arial" w:hAnsi="Arial"/>
          <w:sz w:val="18"/>
          <w:szCs w:val="18"/>
          <w:color w:val="auto"/>
        </w:rPr>
      </w:pPr>
      <w:r>
        <w:rPr>
          <w:rFonts w:ascii="Arial" w:cs="Arial" w:eastAsia="Arial" w:hAnsi="Arial"/>
          <w:sz w:val="17"/>
          <w:szCs w:val="17"/>
          <w:color w:val="auto"/>
        </w:rPr>
        <w:t>The Wünderbox is also designed to enable a wide array of future-ready, bi-directional power delivery features, such as V2G applications for situations such as managing home power outages. We expect to enable bi-directional functionality via an OTA update after launching the Lucid Air.</w:t>
      </w:r>
    </w:p>
    <w:p>
      <w:pPr>
        <w:spacing w:after="0" w:line="57" w:lineRule="exact"/>
        <w:rPr>
          <w:rFonts w:ascii="Arial" w:cs="Arial" w:eastAsia="Arial" w:hAnsi="Arial"/>
          <w:sz w:val="18"/>
          <w:szCs w:val="18"/>
          <w:color w:val="auto"/>
        </w:rPr>
      </w:pPr>
    </w:p>
    <w:p>
      <w:pPr>
        <w:ind w:left="1800" w:right="579" w:hanging="180"/>
        <w:spacing w:after="0" w:line="286" w:lineRule="auto"/>
        <w:tabs>
          <w:tab w:leader="none" w:pos="180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Infotainment System</w:t>
      </w:r>
      <w:r>
        <w:rPr>
          <w:rFonts w:ascii="Arial" w:cs="Arial" w:eastAsia="Arial" w:hAnsi="Arial"/>
          <w:sz w:val="17"/>
          <w:szCs w:val="17"/>
          <w:color w:val="auto"/>
        </w:rPr>
        <w:t>. Our infotainment system is designed to provide a seamless connected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both inside the car and out. With highly advanced processing capabilities, the system is designed to leverage data analytics and OTA updates to improve and refresh the vehicle over time.</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1" w:name="page112"/>
    <w:bookmarkEnd w:id="1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780" w:right="419"/>
        <w:spacing w:after="0" w:line="259" w:lineRule="auto"/>
        <w:rPr>
          <w:sz w:val="20"/>
          <w:szCs w:val="20"/>
          <w:color w:val="auto"/>
        </w:rPr>
      </w:pPr>
      <w:r>
        <w:rPr>
          <w:rFonts w:ascii="Arial" w:cs="Arial" w:eastAsia="Arial" w:hAnsi="Arial"/>
          <w:sz w:val="18"/>
          <w:szCs w:val="18"/>
          <w:color w:val="auto"/>
        </w:rPr>
        <w:t>We expect that our customers will, over time, enjoy seamless connectivity, including 4G LTE and Wi-Fi, as well as the ability to support Apple CarPlay, Android Auto and Amazon Alexa integrations. In addition, we expect to provide customers with the ability to remotely access climate controls and updates on their vehicle through a mobile application.</w:t>
      </w:r>
    </w:p>
    <w:p>
      <w:pPr>
        <w:spacing w:after="0" w:line="106" w:lineRule="exact"/>
        <w:rPr>
          <w:sz w:val="20"/>
          <w:szCs w:val="20"/>
          <w:color w:val="auto"/>
        </w:rPr>
      </w:pPr>
    </w:p>
    <w:p>
      <w:pPr>
        <w:ind w:left="1780" w:right="679"/>
        <w:spacing w:after="0" w:line="279" w:lineRule="auto"/>
        <w:rPr>
          <w:sz w:val="20"/>
          <w:szCs w:val="20"/>
          <w:color w:val="auto"/>
        </w:rPr>
      </w:pPr>
      <w:r>
        <w:rPr>
          <w:rFonts w:ascii="Arial" w:cs="Arial" w:eastAsia="Arial" w:hAnsi="Arial"/>
          <w:sz w:val="17"/>
          <w:szCs w:val="17"/>
          <w:color w:val="auto"/>
        </w:rPr>
        <w:t>Our smartphone application is expected to allow our customers to set Lucid ID profiles for a personalized experience based on profiles rather than the settings in place when the last driver left the vehicle. In addition, we expect to evolve the car-to-driver relationship by enabling predictive analytics to provide shortcuts and assistance based on learned driving behaviors.</w:t>
      </w:r>
    </w:p>
    <w:p>
      <w:pPr>
        <w:spacing w:after="0" w:line="77" w:lineRule="exact"/>
        <w:rPr>
          <w:sz w:val="20"/>
          <w:szCs w:val="20"/>
          <w:color w:val="auto"/>
        </w:rPr>
      </w:pPr>
    </w:p>
    <w:p>
      <w:pPr>
        <w:ind w:left="1800" w:right="479" w:hanging="180"/>
        <w:spacing w:after="0" w:line="254"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Lucid DreamDrive. </w:t>
      </w:r>
      <w:r>
        <w:rPr>
          <w:rFonts w:ascii="Arial" w:cs="Arial" w:eastAsia="Arial" w:hAnsi="Arial"/>
          <w:sz w:val="18"/>
          <w:szCs w:val="18"/>
          <w:color w:val="auto"/>
        </w:rPr>
        <w:t>The Lucid Air is equipped with an extensive sensor suite, high on-board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computing power and back-up systems for advanced autonomous driving and advanced driver assistance systems (“</w:t>
      </w:r>
      <w:r>
        <w:rPr>
          <w:rFonts w:ascii="Arial" w:cs="Arial" w:eastAsia="Arial" w:hAnsi="Arial"/>
          <w:sz w:val="18"/>
          <w:szCs w:val="18"/>
          <w:i w:val="1"/>
          <w:iCs w:val="1"/>
          <w:color w:val="auto"/>
        </w:rPr>
        <w:t>AD/ADAS</w:t>
      </w:r>
      <w:r>
        <w:rPr>
          <w:rFonts w:ascii="Arial" w:cs="Arial" w:eastAsia="Arial" w:hAnsi="Arial"/>
          <w:sz w:val="18"/>
          <w:szCs w:val="18"/>
          <w:color w:val="auto"/>
        </w:rPr>
        <w:t>”). With 32 sensors onboard, the Lucid Air is expected to launch with the most comprehensive sensor suite among currently available production vehicles. Lucid Air is planned to launch with Level 2 autonomous driving functionality and be capable of software upgrades OTA. Further, by collecting and analyzing fleet data, we expect to enhance our AD/ ADAS features and improve the Lucid experience over time.</w:t>
      </w:r>
    </w:p>
    <w:p>
      <w:pPr>
        <w:spacing w:after="0" w:line="86"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Lucid’s Micro Lens Array Lighting. </w:t>
      </w:r>
      <w:r>
        <w:rPr>
          <w:rFonts w:ascii="Arial" w:cs="Arial" w:eastAsia="Arial" w:hAnsi="Arial"/>
          <w:sz w:val="18"/>
          <w:szCs w:val="18"/>
          <w:color w:val="auto"/>
        </w:rPr>
        <w:t>A revolution in optical technology, our in-house created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engineered Intelligent Micro Lens Array (“</w:t>
      </w:r>
      <w:r>
        <w:rPr>
          <w:rFonts w:ascii="Arial" w:cs="Arial" w:eastAsia="Arial" w:hAnsi="Arial"/>
          <w:sz w:val="18"/>
          <w:szCs w:val="18"/>
          <w:i w:val="1"/>
          <w:iCs w:val="1"/>
          <w:color w:val="auto"/>
        </w:rPr>
        <w:t>MLA</w:t>
      </w:r>
      <w:r>
        <w:rPr>
          <w:rFonts w:ascii="Arial" w:cs="Arial" w:eastAsia="Arial" w:hAnsi="Arial"/>
          <w:sz w:val="18"/>
          <w:szCs w:val="18"/>
          <w:color w:val="auto"/>
        </w:rPr>
        <w:t>”) headlights provide an incredibly homogeneous and luminant light source.</w:t>
      </w:r>
    </w:p>
    <w:p>
      <w:pPr>
        <w:spacing w:after="0" w:line="116" w:lineRule="exact"/>
        <w:rPr>
          <w:rFonts w:ascii="Arial" w:cs="Arial" w:eastAsia="Arial" w:hAnsi="Arial"/>
          <w:sz w:val="18"/>
          <w:szCs w:val="18"/>
          <w:color w:val="auto"/>
        </w:rPr>
      </w:pPr>
    </w:p>
    <w:p>
      <w:pPr>
        <w:ind w:left="1780" w:right="739"/>
        <w:spacing w:after="0" w:line="277" w:lineRule="auto"/>
        <w:rPr>
          <w:rFonts w:ascii="Arial" w:cs="Arial" w:eastAsia="Arial" w:hAnsi="Arial"/>
          <w:sz w:val="18"/>
          <w:szCs w:val="18"/>
          <w:color w:val="auto"/>
        </w:rPr>
      </w:pPr>
      <w:r>
        <w:rPr>
          <w:rFonts w:ascii="Arial" w:cs="Arial" w:eastAsia="Arial" w:hAnsi="Arial"/>
          <w:sz w:val="18"/>
          <w:szCs w:val="18"/>
          <w:color w:val="auto"/>
        </w:rPr>
        <w:t>The MLA system is designed to automatically adapt to driving situations and provide exceptional outward visibility that makes it easier to see — and avoid — objects on the road.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Manufacturing</w:t>
      </w:r>
    </w:p>
    <w:p>
      <w:pPr>
        <w:spacing w:after="0" w:line="14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We have built and completed North America’s first greenfield, purpose-build EV manufacturing plant, AMP-1, in Casa Grande, Arizona. We are already utilizing the facility and manufacturing equipment to build our fleet of production representative, release candidate vehicles. Vertical integration of manufacturing capabilities provides us the opportunity to improve product margins relative to an out-sourced manufacturing arrangement.</w:t>
      </w:r>
    </w:p>
    <w:p>
      <w:pPr>
        <w:spacing w:after="0" w:line="120"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We carefully selected our Arizona site for a number of reasons, including infrastructure, talent, geographic location, proximity to a pre-existing automotive supply chain and strong support from state and local governments. The location of the facility also offers space for a large footprint and planned expansions.</w:t>
      </w:r>
    </w:p>
    <w:p>
      <w:pPr>
        <w:spacing w:after="0" w:line="11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AMP-1 is on track for an expected start of production of the Lucid Air in the second half of 2021. Within AMP-1, we expect to produce vehicles using innovative production processes and state-of-the-art equipment. Key elements of our vehicle engineering enable efficient and advanced manufacturing processes with a high degree of quality control. For example, the aircraft-inspired riveted and bonded monocoque body structure is designed to enhance structural efficiency and replace spot welds in the manufacturing process.</w:t>
      </w:r>
    </w:p>
    <w:p>
      <w:pPr>
        <w:spacing w:after="0" w:line="111"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Our manufacturing footprint in Casa Grande, AZ also includes the LPM-1 facility. We manufacture and assemble our complete electric powertrain at LPM-1, including assembly of battery packs, integrated drive units and the Wünderbox.</w:t>
      </w:r>
    </w:p>
    <w:p>
      <w:pPr>
        <w:spacing w:after="0" w:line="116"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 xml:space="preserve">The LPM-1 facility was designed to allow us to facilitate the future establishment of similar facilities for an expanded, global manufacturing footprint for vehicles. We believe the same design is scalable for manufacturing to address opportunities in technology sales and licensing. See “— </w:t>
      </w:r>
      <w:r>
        <w:rPr>
          <w:rFonts w:ascii="Arial" w:cs="Arial" w:eastAsia="Arial" w:hAnsi="Arial"/>
          <w:sz w:val="18"/>
          <w:szCs w:val="18"/>
          <w:i w:val="1"/>
          <w:iCs w:val="1"/>
          <w:color w:val="auto"/>
        </w:rPr>
        <w:t>Growth Strategy.</w:t>
      </w:r>
      <w:r>
        <w:rPr>
          <w:rFonts w:ascii="Arial" w:cs="Arial" w:eastAsia="Arial" w:hAnsi="Arial"/>
          <w:sz w:val="18"/>
          <w:szCs w:val="18"/>
          <w:color w:val="auto"/>
        </w:rPr>
        <w:t>” These facilities are expected to position us to serve global electric vehicle markets with a standard product utilizing our in-house manufacturing processes.</w:t>
      </w:r>
    </w:p>
    <w:p>
      <w:pPr>
        <w:spacing w:after="0" w:line="120"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We started the commissioning process for the AMP-1 and LPM-1 facilities in less than one year after breaking ground. As part of the commissioning, we tested our innovative production processes and state-of-the-art equipment to build our beta prototype test fleet and production-representative versions of the Lucid Air.</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2" w:name="page113"/>
    <w:bookmarkEnd w:id="1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AMP -1 and LPM-1 were designed with expansion in mind. This approach to planning our facilities includes a state -of-the-art paint shop designed with the necessary footprint and specialized infrastructure to be expanded to accommodate the needs of planned future phases of the factory.</w:t>
      </w:r>
    </w:p>
    <w:p>
      <w:pPr>
        <w:spacing w:after="0" w:line="101"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We plan to begin production with the Lucid Air Dream Edition in the second half of 2021. We have a multi-year plan to expand AMP-1 from its current output capacity of up to 34,000 units per year. Future expansions of AMP-1 are being planned to account for the launch of future vehicle programs intended to be manufactured in Arizona and to accomodate growth in sales volumes. Once AMP-1 is fully built out, our vehicle manufacturing footprint in Casa Grande is expected to exceed 5 million square feet on 495 acres. By building the factory from a clean slate and leveraging decades of industry experience, we expect to achieve</w:t>
      </w:r>
    </w:p>
    <w:p>
      <w:pPr>
        <w:spacing w:after="0" w:line="4" w:lineRule="exact"/>
        <w:rPr>
          <w:sz w:val="20"/>
          <w:szCs w:val="20"/>
          <w:color w:val="auto"/>
        </w:rPr>
      </w:pPr>
    </w:p>
    <w:p>
      <w:pPr>
        <w:ind w:left="1260" w:right="459"/>
        <w:spacing w:after="0" w:line="239" w:lineRule="auto"/>
        <w:tabs>
          <w:tab w:leader="none" w:pos="1489" w:val="left"/>
        </w:tabs>
        <w:numPr>
          <w:ilvl w:val="0"/>
          <w:numId w:val="64"/>
        </w:numPr>
        <w:rPr>
          <w:rFonts w:ascii="Arial" w:cs="Arial" w:eastAsia="Arial" w:hAnsi="Arial"/>
          <w:sz w:val="18"/>
          <w:szCs w:val="18"/>
          <w:color w:val="auto"/>
        </w:rPr>
      </w:pPr>
      <w:r>
        <w:rPr>
          <w:rFonts w:ascii="Arial" w:cs="Arial" w:eastAsia="Arial" w:hAnsi="Arial"/>
          <w:sz w:val="18"/>
          <w:szCs w:val="18"/>
          <w:color w:val="auto"/>
        </w:rPr>
        <w:t>greater capital efficiencies, (ii) greater operational efficiencies and (iii) consistent production quality. The key activities that will take place in AMP-1 are expected to include body shell manufacture, painting of body shells and general assembly.</w:t>
      </w:r>
    </w:p>
    <w:p>
      <w:pPr>
        <w:spacing w:after="0" w:line="122"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expect to build out our manufacturing footprint with manufacturing plants in additional geographies to service our expected global demand. A global footprint with localized manufacturing will enable us to serve market demand with locally manufactured vehicles, with the potential to result in cost savings and simpler logistics (which can also yield environmental benefits with reduced transportation of product to the applicable markets). AMP-1 and LPM-1 were designed to be highly repeatable facilities to standardize manufacturing operations and build efficiency in our capital planning and deployment. We plan to develop greenfield facilities across multiple geographies. Production and distribution consume energy, as with any manufacturer. We intend to localize production in an attempt to offset some of these energy needs, and we believe that our products will require less energy throughout their useful life than competing products. We anticipate taking preliminary steps in the second half of 2021 toward establishing manufacturing operations in Saudi Arabia.</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Go-To-Market Strategy</w:t>
      </w:r>
    </w:p>
    <w:p>
      <w:pPr>
        <w:spacing w:after="0" w:line="162"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We have launched our go-to-market strategy through our online vehicle configurator. As of June 30, 2021, we had refundable reservations that reflect potential sales greater than $900 million. We believe that our customer traction is strong and has continued to grow as brand awareness has increased.</w:t>
      </w:r>
    </w:p>
    <w:p>
      <w:pPr>
        <w:spacing w:after="0" w:line="83"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Our typical customer journey is expected to begin through our advanced digital platform. We use social media to educate customers regarding our brand identity, explain the creation of our technology and highlight the people behind our design and technology. The goal is to cultivate a sense of brand loyalty with our customers.</w:t>
      </w:r>
    </w:p>
    <w:p>
      <w:pPr>
        <w:spacing w:after="0" w:line="120"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This initial engagement is expected to drive customers to our website to learn more about our story and the Lucid Air. On the website, customers can experience our online vehicle configurator, which provides an immersive and customizable opportunity to interact with our vehicles in a virtual setting. From there, we expect to provide the customer with the option to either place a reservation online or visit one of our retail store or gallery locations, which we refer to as “Studios.” We believe that our direct-to-consumer sales model, combined with a digitally enhanced luxury experience through our website and a refined in-store experience, creates opportunities to tailor to each customer’s purchase and ownership preferences. Customers will have the option to visit a Studio in person, make their inquiries entirely online or a combination of the two experiences.</w:t>
      </w:r>
    </w:p>
    <w:p>
      <w:pPr>
        <w:spacing w:after="0" w:line="12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developing our Studios, we have partnered with leading California-based design firms to build a network of retail spaces to enable customers to experience the brand and our products in locations that underscore our design aesthetic. Similar to the Lucid Air, the interiors of Lucid Studios showcase color and material themes that represent specific locations within California, the Golden State, as well as our focus on innovation with immersive digital and technology experiences. Lucid Studios are intended to provide a pressure-free environment for our customers to comfortably experience the brand and our products. Like the Lucid Air itself, Lucid Studios draw inspiration from the beauty, innovation and diversity of our home state of California.</w:t>
      </w:r>
    </w:p>
    <w:p>
      <w:pPr>
        <w:spacing w:after="0" w:line="111" w:lineRule="exact"/>
        <w:rPr>
          <w:sz w:val="20"/>
          <w:szCs w:val="20"/>
          <w:color w:val="auto"/>
        </w:rPr>
      </w:pPr>
    </w:p>
    <w:p>
      <w:pPr>
        <w:ind w:left="1260" w:right="599" w:firstLine="360"/>
        <w:spacing w:after="0" w:line="342" w:lineRule="auto"/>
        <w:rPr>
          <w:sz w:val="20"/>
          <w:szCs w:val="20"/>
          <w:color w:val="auto"/>
        </w:rPr>
      </w:pPr>
      <w:r>
        <w:rPr>
          <w:rFonts w:ascii="Arial" w:cs="Arial" w:eastAsia="Arial" w:hAnsi="Arial"/>
          <w:sz w:val="16"/>
          <w:szCs w:val="16"/>
          <w:color w:val="auto"/>
        </w:rPr>
        <w:t>Retail locations will serve both as our sales channels and marketing tools in high-foot-traffic areas within urban areas. As of June 30, 2021, Lucid has eight retail stores open and expects additional stores to</w:t>
      </w:r>
    </w:p>
    <w:p>
      <w:pPr>
        <w:spacing w:after="0" w:line="31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open in North America throughout 2021. We expect to enter the European and Middle East markets in 2022 and to enter China in 2023. These markets are rapidly adopting electric vehicles, and we believe that establishing strong retail footholds will enhance our opportunity to increase our share of our total addressable market.</w:t>
      </w:r>
    </w:p>
    <w:p>
      <w:pPr>
        <w:spacing w:after="0" w:line="106" w:lineRule="exact"/>
        <w:rPr>
          <w:sz w:val="20"/>
          <w:szCs w:val="20"/>
          <w:color w:val="auto"/>
        </w:rPr>
      </w:pPr>
    </w:p>
    <w:p>
      <w:pPr>
        <w:jc w:val="both"/>
        <w:ind w:left="1260" w:right="599" w:firstLine="360"/>
        <w:spacing w:after="0" w:line="259" w:lineRule="auto"/>
        <w:rPr>
          <w:sz w:val="20"/>
          <w:szCs w:val="20"/>
          <w:color w:val="auto"/>
        </w:rPr>
      </w:pPr>
      <w:r>
        <w:rPr>
          <w:rFonts w:ascii="Arial" w:cs="Arial" w:eastAsia="Arial" w:hAnsi="Arial"/>
          <w:sz w:val="18"/>
          <w:szCs w:val="18"/>
          <w:color w:val="auto"/>
        </w:rPr>
        <w:t>In developing a service strategy, we intend to extend our luxury-minded brand experience to this key touchpoint by offering the convenience of support at its customers’ physical locations with mobile service vans and certified partners for roadside assistance and collision repairs. The Lucid Air is also designed to enable OTA updates and remote diagnostics.</w:t>
      </w:r>
    </w:p>
    <w:p>
      <w:pPr>
        <w:spacing w:after="0" w:line="119"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We also expect the recently opened company-owned service centers in our Silicon Valley and Beverly Hills Studios to provide support for these key markets, with additional service centers and studios expected to open in 2021.</w:t>
      </w:r>
    </w:p>
    <w:p>
      <w:pPr>
        <w:spacing w:after="0" w:line="116"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Rather than investing in a proprietary charging network, we have selected Electrify America as our charging network partner in the United States. This partnership allows us to avoid the capital intensity of establishing its own network and provides our customers with access to an established network across the United States. Electrify America’s DC power levels of up to 350kW and network coverage were the key selection criteria in selecting it as a partner. We expect that Electrify America’s premium charging experience provides EV drivers with convenient charging locations that offer amenities like shopping, food and restrooms and we believe this offering will provide a delightful experience to our customers.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Government Regulations and Credits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14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operate in an industry that is subject to extensive environmental regulation, which has become more stringent over time. The laws and regulations to which we are or may become subject govern, among other things, water use; air emissions; use of recycled materials; energy sources; the storage, handling, treatment, transportation and disposal of hazardous materials; the protection of the environment, natural resources and endangered species; and the remediation of environmental contamination. Compliance with such laws and regulations at an international, regional, national, state, provincial and local level is and will be an important aspect of our ability to continue our operations.</w:t>
      </w:r>
    </w:p>
    <w:p>
      <w:pPr>
        <w:spacing w:after="0" w:line="127" w:lineRule="exact"/>
        <w:rPr>
          <w:sz w:val="20"/>
          <w:szCs w:val="20"/>
          <w:color w:val="auto"/>
        </w:rPr>
      </w:pPr>
    </w:p>
    <w:p>
      <w:pPr>
        <w:ind w:left="1260" w:right="639" w:firstLine="360"/>
        <w:spacing w:after="0" w:line="254" w:lineRule="auto"/>
        <w:rPr>
          <w:sz w:val="20"/>
          <w:szCs w:val="20"/>
          <w:color w:val="auto"/>
        </w:rPr>
      </w:pPr>
      <w:r>
        <w:rPr>
          <w:rFonts w:ascii="Arial" w:cs="Arial" w:eastAsia="Arial" w:hAnsi="Arial"/>
          <w:sz w:val="18"/>
          <w:szCs w:val="18"/>
          <w:color w:val="auto"/>
        </w:rPr>
        <w:t>Environmental standards applicable to us are established by United States laws and regulations, standards adopted by regulatory agencies and the permits and licenses we are required to obtain. Each of these sources is subject to periodic modifications and what we anticipate will be increasingly stringent requirements. Violations of these laws, regulations or permits and licenses may result in substantial civil and criminal fines, penalties and possibly orders to cease the violating operations or to conduct or pay for corrective works. In some instances, violations may also result in the suspension or revocation of permits and licenses.</w:t>
      </w:r>
    </w:p>
    <w:p>
      <w:pPr>
        <w:spacing w:after="0" w:line="127"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Many countries have announced a requirement for the sale of zero-emission vehicles only within proscribed timeframes, some as early as 2035, and we as an electric vehicle manufacturer are already in a position to comply with these requirements across our entire product portfolio as we expand. Our competitors, by contrast, will need to reconcile an expensive infrastructure with factories and equipment tailored for production of internal combustion engine (“</w:t>
      </w:r>
      <w:r>
        <w:rPr>
          <w:rFonts w:ascii="Arial" w:cs="Arial" w:eastAsia="Arial" w:hAnsi="Arial"/>
          <w:sz w:val="17"/>
          <w:szCs w:val="17"/>
          <w:i w:val="1"/>
          <w:iCs w:val="1"/>
          <w:color w:val="auto"/>
        </w:rPr>
        <w:t>ICE</w:t>
      </w:r>
      <w:r>
        <w:rPr>
          <w:rFonts w:ascii="Arial" w:cs="Arial" w:eastAsia="Arial" w:hAnsi="Arial"/>
          <w:sz w:val="17"/>
          <w:szCs w:val="17"/>
          <w:color w:val="auto"/>
        </w:rPr>
        <w:t>”) vehicles, along with workforces trained to produce ICE vehicles and intellectual property portfolios geared for ICE vehicles.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Emissions Credits</w:t>
      </w:r>
    </w:p>
    <w:p>
      <w:pPr>
        <w:spacing w:after="0" w:line="144"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We expect that the manufacture, sale, and/or registration of Zero Emission Vehicles (“</w:t>
      </w:r>
      <w:r>
        <w:rPr>
          <w:rFonts w:ascii="Arial" w:cs="Arial" w:eastAsia="Arial" w:hAnsi="Arial"/>
          <w:sz w:val="17"/>
          <w:szCs w:val="17"/>
          <w:i w:val="1"/>
          <w:iCs w:val="1"/>
          <w:color w:val="auto"/>
        </w:rPr>
        <w:t>ZEVs</w:t>
      </w:r>
      <w:r>
        <w:rPr>
          <w:rFonts w:ascii="Arial" w:cs="Arial" w:eastAsia="Arial" w:hAnsi="Arial"/>
          <w:sz w:val="17"/>
          <w:szCs w:val="17"/>
          <w:color w:val="auto"/>
        </w:rPr>
        <w:t>”) in various regions will earn certain regulatory credits that we can sell to other manufacturers. This may include ZEV credits in up to 17 U.S. jurisdictions referred to, collectively, as the “Section 177 States” (California, Colorado, Connecticut, Maine, Maryland, Massachusetts, New Jersey, New York, Oregon, Rhode Island, Vermont, Washington and Washington D.C. have each adopted ZEV standards and another four (4) states are in the process of doing so), Corporate Average Fuel Economy (“</w:t>
      </w:r>
      <w:r>
        <w:rPr>
          <w:rFonts w:ascii="Arial" w:cs="Arial" w:eastAsia="Arial" w:hAnsi="Arial"/>
          <w:sz w:val="17"/>
          <w:szCs w:val="17"/>
          <w:i w:val="1"/>
          <w:iCs w:val="1"/>
          <w:color w:val="auto"/>
        </w:rPr>
        <w:t>CAFE</w:t>
      </w:r>
      <w:r>
        <w:rPr>
          <w:rFonts w:ascii="Arial" w:cs="Arial" w:eastAsia="Arial" w:hAnsi="Arial"/>
          <w:sz w:val="17"/>
          <w:szCs w:val="17"/>
          <w:color w:val="auto"/>
        </w:rPr>
        <w:t>”) credits under the U.S.</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4" w:name="page115"/>
    <w:bookmarkEnd w:id="1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color w:val="auto"/>
        </w:rPr>
        <w:t>Department of Transportation standards, greenhouse gas credits from the U.S. Environmental Protection Agency (the “</w:t>
      </w:r>
      <w:r>
        <w:rPr>
          <w:rFonts w:ascii="Arial" w:cs="Arial" w:eastAsia="Arial" w:hAnsi="Arial"/>
          <w:sz w:val="18"/>
          <w:szCs w:val="18"/>
          <w:i w:val="1"/>
          <w:iCs w:val="1"/>
          <w:color w:val="auto"/>
        </w:rPr>
        <w:t>EPA</w:t>
      </w:r>
      <w:r>
        <w:rPr>
          <w:rFonts w:ascii="Arial" w:cs="Arial" w:eastAsia="Arial" w:hAnsi="Arial"/>
          <w:sz w:val="18"/>
          <w:szCs w:val="18"/>
          <w:color w:val="auto"/>
        </w:rPr>
        <w:t>”) and similar credits in each of Europe, Canada and China.</w:t>
      </w:r>
    </w:p>
    <w:p>
      <w:pPr>
        <w:spacing w:after="0" w:line="90"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7"/>
          <w:szCs w:val="17"/>
          <w:color w:val="auto"/>
        </w:rPr>
        <w:t>ZEV credits are calculated under applicable regulation and are paid in relation to ZEVs sold and registered, including Battery Electric Vehicles (“</w:t>
      </w:r>
      <w:r>
        <w:rPr>
          <w:rFonts w:ascii="Arial" w:cs="Arial" w:eastAsia="Arial" w:hAnsi="Arial"/>
          <w:sz w:val="17"/>
          <w:szCs w:val="17"/>
          <w:i w:val="1"/>
          <w:iCs w:val="1"/>
          <w:color w:val="auto"/>
        </w:rPr>
        <w:t>BEVs</w:t>
      </w:r>
      <w:r>
        <w:rPr>
          <w:rFonts w:ascii="Arial" w:cs="Arial" w:eastAsia="Arial" w:hAnsi="Arial"/>
          <w:sz w:val="17"/>
          <w:szCs w:val="17"/>
          <w:color w:val="auto"/>
        </w:rPr>
        <w:t xml:space="preserve"> ”)</w:t>
      </w:r>
      <w:r>
        <w:rPr>
          <w:rFonts w:ascii="Arial" w:cs="Arial" w:eastAsia="Arial" w:hAnsi="Arial"/>
          <w:sz w:val="17"/>
          <w:szCs w:val="17"/>
          <w:i w:val="1"/>
          <w:iCs w:val="1"/>
          <w:color w:val="auto"/>
        </w:rPr>
        <w:t>. ZEV</w:t>
      </w:r>
      <w:r>
        <w:rPr>
          <w:rFonts w:ascii="Arial" w:cs="Arial" w:eastAsia="Arial" w:hAnsi="Arial"/>
          <w:sz w:val="17"/>
          <w:szCs w:val="17"/>
          <w:color w:val="auto"/>
        </w:rPr>
        <w:t xml:space="preserve"> programs generally assign ZEV credits to each vehicle manufacturer. Vehicle manufacturers are required to maintain ZEV credits equal to a</w:t>
      </w:r>
    </w:p>
    <w:p>
      <w:pPr>
        <w:ind w:left="1260" w:right="719"/>
        <w:spacing w:after="0" w:line="256" w:lineRule="auto"/>
        <w:rPr>
          <w:sz w:val="20"/>
          <w:szCs w:val="20"/>
          <w:color w:val="auto"/>
        </w:rPr>
      </w:pPr>
      <w:r>
        <w:rPr>
          <w:rFonts w:ascii="Arial" w:cs="Arial" w:eastAsia="Arial" w:hAnsi="Arial"/>
          <w:sz w:val="17"/>
          <w:szCs w:val="17"/>
          <w:color w:val="auto"/>
        </w:rPr>
        <w:t>set percentage of non-electric vehicles sold and registered in California and Section 177 States. Each vehicle sold and registered in the state earns a number of credits based on the drivetrain type and the all-electric range of the vehicle under the Urban Dynamometer Driving Schedule Test Cycle. BEVs receive between 1 and 4 credits per vehicle sold and registered in the state, based on range.</w:t>
      </w:r>
    </w:p>
    <w:p>
      <w:pPr>
        <w:spacing w:after="0" w:line="108"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For reference, the ZEV credit requirement in California was 9.5% in 2020 and will rise to 22% in 2025. If a vehicle manufacturer does not produce enough EVs to meet its quota, it can choose to buy credits from other manufacturers who do or may be required to pay a $5,000 fine for each credit it is short. We expect this requirement to provide it an opportunity to generate revenue from the sale of ZEV credits.</w:t>
      </w:r>
    </w:p>
    <w:p>
      <w:pPr>
        <w:spacing w:after="0" w:line="105"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While we expect these environmental regulations to provide a tailwind to our growth, it is possible for certain regulations to result in margin pressures. For example, regulations that effectively impose electric vehicle production quotas on auto manufacturers may lead to an oversupply of electric vehicles, which in turn could promote price decreases. Changes to these incentives and regulations could affect our revenues and gross margins.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Credits and Benefits</w:t>
      </w:r>
    </w:p>
    <w:p>
      <w:pPr>
        <w:spacing w:after="0" w:line="144"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We may benefit from additional opportunities under government regulations and legislation, such as the following:</w:t>
      </w:r>
    </w:p>
    <w:p>
      <w:pPr>
        <w:spacing w:after="0" w:line="63" w:lineRule="exact"/>
        <w:rPr>
          <w:sz w:val="20"/>
          <w:szCs w:val="20"/>
          <w:color w:val="auto"/>
        </w:rPr>
      </w:pPr>
    </w:p>
    <w:p>
      <w:pPr>
        <w:ind w:left="1800" w:right="439" w:hanging="180"/>
        <w:spacing w:after="0" w:line="255"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Customer tax credits and other benefits arising from government regulation may spur interest in our products and business: a federal tax credit of up to $7,500 may be available to U.S. purchasers of the Lucid Air or our future electric vehicles; tax credits available to purchasers in other countries such as Norway, which currently waives various toll charges and road taxes and also exempts 25% VAT on the purchase of battery electric vehicles; and high-occupancy lane driving privileges available to purchasers in certain US states such as California.</w:t>
      </w:r>
    </w:p>
    <w:p>
      <w:pPr>
        <w:spacing w:after="0" w:line="84" w:lineRule="exact"/>
        <w:rPr>
          <w:rFonts w:ascii="Arial" w:cs="Arial" w:eastAsia="Arial" w:hAnsi="Arial"/>
          <w:sz w:val="18"/>
          <w:szCs w:val="18"/>
          <w:color w:val="auto"/>
        </w:rPr>
      </w:pPr>
    </w:p>
    <w:p>
      <w:pPr>
        <w:ind w:left="1800" w:right="499" w:hanging="180"/>
        <w:spacing w:after="0" w:line="273" w:lineRule="auto"/>
        <w:tabs>
          <w:tab w:leader="none" w:pos="18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may be eligible for various tax credits, abatements and other benefits, including: the federal 30C Alternative Fuel Infrastructure tax credit for alternative fuel infrastructure; the federal 48C manufacturing investment tax credit for investments in manufacturing facilities for clean energy technologies; the Qualified Facilities tax credit in Arizona; a California sales and use tax exclusion under the California Alternative Energy and Advanced Transportation Financing Authority; and other hiring and job training grants and income tax credits in both Arizona and California.</w:t>
      </w:r>
    </w:p>
    <w:p>
      <w:pPr>
        <w:spacing w:after="0" w:line="56" w:lineRule="exact"/>
        <w:rPr>
          <w:rFonts w:ascii="Arial" w:cs="Arial" w:eastAsia="Arial" w:hAnsi="Arial"/>
          <w:sz w:val="17"/>
          <w:szCs w:val="17"/>
          <w:color w:val="auto"/>
        </w:rPr>
      </w:pPr>
    </w:p>
    <w:p>
      <w:pPr>
        <w:ind w:left="1800" w:right="619" w:hanging="180"/>
        <w:spacing w:after="0" w:line="277"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might also be eligible for a loan pursuant to the Advanced Technology Vehicles Manufacturing Loan Program administered by the U.S. Department of Energy.</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EPA Emissions and Certificate of Conformity</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The U.S. Clean Air Act requires that we obtain a Certificate of Conformity issued by the EPA and a California Executive Order issued by the California Air Resources Board (“</w:t>
      </w:r>
      <w:r>
        <w:rPr>
          <w:rFonts w:ascii="Arial" w:cs="Arial" w:eastAsia="Arial" w:hAnsi="Arial"/>
          <w:sz w:val="17"/>
          <w:szCs w:val="17"/>
          <w:i w:val="1"/>
          <w:iCs w:val="1"/>
          <w:color w:val="auto"/>
        </w:rPr>
        <w:t>CARB</w:t>
      </w:r>
      <w:r>
        <w:rPr>
          <w:rFonts w:ascii="Arial" w:cs="Arial" w:eastAsia="Arial" w:hAnsi="Arial"/>
          <w:sz w:val="17"/>
          <w:szCs w:val="17"/>
          <w:color w:val="auto"/>
        </w:rPr>
        <w:t>”) certifying that its vehicles comply with applicable emissions requirements. A Certificate of Conformity is required for vehicles sold in the United States, and an Executive Order from the CARB is required for vehicles sold in states that have adopted California standards. CARB sets the California standards for emissions control for certain regulated pollutants for new vehicles and engines sold in California. States that have adopted the California standards as approved by EPA also recognize the CARB Executive Order for sales of vehicles. In addition to California, there are 13 other states that have either adopted or are in the process of adopting the stricter California standards, including New York, Massachusetts, Vermont, Maine, Pennsylvania, Connecticut, Rhode Island, Washington, Oregon, New Jersey, Maryland, Delaware and Colorado.</w:t>
      </w:r>
    </w:p>
    <w:p>
      <w:pPr>
        <w:spacing w:after="0" w:line="99"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Although the Lucid Air has zero emissions, we are required to seek an EPA Certificate of Conformity and, for vehicles sold in California or any of the other 13 states that have adopted the stricter California standards, a CARB Executive Order.</w:t>
      </w: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Vehicle Safety and Testing</w:t>
      </w:r>
    </w:p>
    <w:p>
      <w:pPr>
        <w:spacing w:after="0" w:line="144"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Our vehicles will be subject to, and will be required to comply with, numerous regulatory requirements established by the National Highway Traffic Safety Administration (“</w:t>
      </w:r>
      <w:r>
        <w:rPr>
          <w:rFonts w:ascii="Arial" w:cs="Arial" w:eastAsia="Arial" w:hAnsi="Arial"/>
          <w:sz w:val="17"/>
          <w:szCs w:val="17"/>
          <w:i w:val="1"/>
          <w:iCs w:val="1"/>
          <w:color w:val="auto"/>
        </w:rPr>
        <w:t>NHTSA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including applicable U.S. Federal Motor Vehicle Safety Standards (“</w:t>
      </w:r>
      <w:r>
        <w:rPr>
          <w:rFonts w:ascii="Arial" w:cs="Arial" w:eastAsia="Arial" w:hAnsi="Arial"/>
          <w:sz w:val="17"/>
          <w:szCs w:val="17"/>
          <w:i w:val="1"/>
          <w:iCs w:val="1"/>
          <w:color w:val="auto"/>
        </w:rPr>
        <w:t>FMVSS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We intend that the Lucid Air will fully comply with all applicable FMVSSs without the need for any exemptions, and we expect our future vehicles to either fully comply or comply with limited exemptions related to new technologies. Additionally, there are regulatory changes being considered for several FMVSSs, and while we anticipate compliance, there is no assurance that we will comply with such changes under the final versions as enacted.</w:t>
      </w:r>
    </w:p>
    <w:p>
      <w:pPr>
        <w:spacing w:after="0" w:line="110"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As a U.S.-based manufacturer, we must self-certify that our vehicles meet all applicable FMVSS, as well as the NHTSA bumper standard, or otherwise are exempt, before our vehicles can be sold in the United States. Numerous FMVSS will apply to our vehicles, such as crash-worthiness requirements, crash avoidance requirements and EV-specific requirements. We will also be required to comply with other federal laws and regulations administered by NHTSA, including, among other things, ensuring our vehicles do not contain defects related to motor vehicle safety, recall requirements, the CAFE standards, Theft Prevention Act requirements, consumer information labeling requirements, reporting required notices, bulletins and other communications, Early Warning Information reporting, foreign recall reporting and owner’s manual requirements.</w:t>
      </w:r>
    </w:p>
    <w:p>
      <w:pPr>
        <w:spacing w:after="0" w:line="129" w:lineRule="exact"/>
        <w:rPr>
          <w:sz w:val="20"/>
          <w:szCs w:val="20"/>
          <w:color w:val="auto"/>
        </w:rPr>
      </w:pPr>
    </w:p>
    <w:p>
      <w:pPr>
        <w:jc w:val="both"/>
        <w:ind w:left="1260" w:right="539" w:firstLine="360"/>
        <w:spacing w:after="0" w:line="279" w:lineRule="auto"/>
        <w:rPr>
          <w:sz w:val="20"/>
          <w:szCs w:val="20"/>
          <w:color w:val="auto"/>
        </w:rPr>
      </w:pPr>
      <w:r>
        <w:rPr>
          <w:rFonts w:ascii="Arial" w:cs="Arial" w:eastAsia="Arial" w:hAnsi="Arial"/>
          <w:sz w:val="17"/>
          <w:szCs w:val="17"/>
          <w:color w:val="auto"/>
        </w:rPr>
        <w:t>The Automobile Information and Disclosure Act requires manufacturers of motor vehicles to disclose certain information regarding the manufacturer’s suggested retail price, optional equipment and pricing. In addition, this law allows inclusion of city and highway fuel economy ratings, as determined by the EPA, as well as crash test ratings as determined by NHTSA if such tests are conducted.</w:t>
      </w:r>
    </w:p>
    <w:p>
      <w:pPr>
        <w:spacing w:after="0" w:line="90"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We intend to expand our offerings outside of the United States, and in connection with such expansion our vehicles will be subject to foreign safety, environmental and other regulations. Many of those regulations are different from those applicable in the United States and may require redesign and/or retesting. For example, the European Union (“</w:t>
      </w:r>
      <w:r>
        <w:rPr>
          <w:rFonts w:ascii="Arial" w:cs="Arial" w:eastAsia="Arial" w:hAnsi="Arial"/>
          <w:sz w:val="18"/>
          <w:szCs w:val="18"/>
          <w:i w:val="1"/>
          <w:iCs w:val="1"/>
          <w:color w:val="auto"/>
        </w:rPr>
        <w:t>E.U.</w:t>
      </w:r>
      <w:r>
        <w:rPr>
          <w:rFonts w:ascii="Arial" w:cs="Arial" w:eastAsia="Arial" w:hAnsi="Arial"/>
          <w:sz w:val="18"/>
          <w:szCs w:val="18"/>
          <w:color w:val="auto"/>
        </w:rPr>
        <w:t>”) has established new approval and oversight rules requiring that a national authority certify compliance with heightened safety rules, emissions limits and production requirements before vehicles can be sold in each E.U. member state, the initial of which rules were rolled out on September 1, 2020. There is also regulatory uncertainty regarding how these rules will impact sales in the United Kingdom given its recent withdrawal from the E.U. These changes could impact the rollout of new vehicle features in Europe.</w:t>
      </w:r>
    </w:p>
    <w:p>
      <w:pPr>
        <w:spacing w:after="0" w:line="129"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In addition to the various territorial legal requirements we are obligated to meet, the Lucid Air is engineered with the expectation that it will deliver overall five-star performance in the two main voluntary vehicle safety performance assessment programs, the U.S. New Car Assessment Program (“</w:t>
      </w:r>
      <w:r>
        <w:rPr>
          <w:rFonts w:ascii="Arial" w:cs="Arial" w:eastAsia="Arial" w:hAnsi="Arial"/>
          <w:sz w:val="17"/>
          <w:szCs w:val="17"/>
          <w:i w:val="1"/>
          <w:iCs w:val="1"/>
          <w:color w:val="auto"/>
        </w:rPr>
        <w:t>NCAP</w:t>
      </w:r>
      <w:r>
        <w:rPr>
          <w:rFonts w:ascii="Arial" w:cs="Arial" w:eastAsia="Arial" w:hAnsi="Arial"/>
          <w:sz w:val="17"/>
          <w:szCs w:val="17"/>
          <w:color w:val="auto"/>
        </w:rPr>
        <w:t>”) and the Euro NCAP. Five-star is the maximum attainable score. These independent organizations have introduced a number of additional safety related tests aimed at improving the safety of passenger vehicles, both for occupants and pedestrians involved in collisions with vehicles. Some of these tests are derived from legal requirements, such as side impact, but have higher performance requirements. Others are unique to the programs. Areas covered by these tests in 2020 included:</w:t>
      </w:r>
    </w:p>
    <w:p>
      <w:pPr>
        <w:spacing w:after="0" w:line="70" w:lineRule="exact"/>
        <w:rPr>
          <w:sz w:val="20"/>
          <w:szCs w:val="20"/>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Mobile Progressive Deformable Barrier;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Full Width Rigid Barrier;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Mobile Side Impact Barrier;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Side Pole;</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Far Side Impact;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Whiplash;</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Vulnerable Road Users (Pedestrians and Cyclists);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Safety Assist;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Rescue and Extrication.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AD/ADAS Regulations</w:t>
      </w:r>
    </w:p>
    <w:p>
      <w:pPr>
        <w:spacing w:after="0" w:line="144"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We also expect to equip the Lucid Air with certain advanced driver assistance features. Generally, laws pertaining to driver assistance features and self-driving vehicles are evolving globally, and in some cases may create restrictions on advanced driver assistance or self-driving features that Lucid may develop.</w:t>
      </w:r>
    </w:p>
    <w:p>
      <w:pPr>
        <w:spacing w:after="0" w:line="96"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While there are currently no U.S. federal regulations specifically pertaining to self- driving vehicles or self -driving equipment, NHTSA has published recommended guidelines on self-driving vehicles and retains the authority to investigate and/or take action on the safety of any vehicle, equipment or features operating on public roads. Certain U.S. states also have legal restrictions on the operation, registration or licensure of self-driving vehicles, and many other states are considering similar restrictions. This regulatory patchwork increases the legal complexity with respect to self-driving vehicles in the U.S.</w:t>
      </w:r>
    </w:p>
    <w:p>
      <w:pPr>
        <w:spacing w:after="0" w:line="10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color w:val="auto"/>
        </w:rPr>
        <w:t>In markets that follow the regulations of the United Nations Economic Commission for Europe, some requirements restrict the design of advanced driver assistance or self- driving features, which can compromise or prevent their use entirely. Other applicable laws, both current and proposed, may hinder the path and timeline to introducing such features in the markets where they apply. Other jurisdictions, including China, continue to consider self-driving regulation. Any implemented regulations may differ materially from those in the United States and Europe, which may further increase the legal complexity of advanced driver assistance and self-driving features and limit or prevent certain features.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Automobile Manufacturer and Dealer Regulation</w:t>
      </w:r>
    </w:p>
    <w:p>
      <w:pPr>
        <w:spacing w:after="0" w:line="144"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In the United States, state laws regulate the manufacture, distribution, sale and service of automobiles, and generally require motor vehicle manufacturers and dealers to be licensed in order to sell vehicles directly to residents. Certain states do not permit automobile manufacturers to be licensed as dealers or to act in the capacity of a dealer, or otherwise restrict a manufacturer’s ability to deliver or service vehicles. To sell vehicles to residents of states where we are not licensed as a dealer, we expect to conduct the transfer of title out of the state. In certain such states, we expect to open Studios that serve an educational purpose and where the title transfer may not occur.</w:t>
      </w:r>
    </w:p>
    <w:p>
      <w:pPr>
        <w:spacing w:after="0" w:line="12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Some automobile dealer trade associations have challenged the legality of our operations and direct selling operations by OEMs in court and have used administrative and legislative processes to attempt to prohibit or limit such OEMs’ ability to operate existing stores or expand to new locations. Certain dealer associations have also actively lobbied state licensing agencies and legislators to interpret existing laws or enact new laws in ways not favorable to our planned direct sales and service model. We expect dealer trade associations to continue to lobby state licensing agencies and legislators to interpret existing laws or enact new laws in ways not favorable to its business model; however, we intend to oppose such efforts to limit our ability to operate and intends to proactively support legislation that enables our business model.</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Battery Safety and Testing Regulation</w:t>
      </w:r>
    </w:p>
    <w:p>
      <w:pPr>
        <w:spacing w:after="0" w:line="15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Our battery packs are designed to conform to mandatory regulations that govern transport of “dangerous goods,” defined to include lithium- ion batteries, which may present a risk in transportation. The governing regulations, which are issued by the Pipeline and Hazardous Materials Safety Administration, are based on the United Nations (“</w:t>
      </w:r>
      <w:r>
        <w:rPr>
          <w:rFonts w:ascii="Arial" w:cs="Arial" w:eastAsia="Arial" w:hAnsi="Arial"/>
          <w:sz w:val="18"/>
          <w:szCs w:val="18"/>
          <w:i w:val="1"/>
          <w:iCs w:val="1"/>
          <w:color w:val="auto"/>
        </w:rPr>
        <w:t>U. N.</w:t>
      </w:r>
      <w:r>
        <w:rPr>
          <w:rFonts w:ascii="Arial" w:cs="Arial" w:eastAsia="Arial" w:hAnsi="Arial"/>
          <w:sz w:val="18"/>
          <w:szCs w:val="18"/>
          <w:color w:val="auto"/>
        </w:rPr>
        <w:t>”) Recommendations on the Safe Transport of Dangerous Goods Model Regulations and related U.N. Manual Tests and Criteria. The regulations vary by mode of shipping transportation, such as by ocean vessel, rail, truck or air. Prior to launch, we plan to complete all applicable transportation tests for its battery packs, demonstrating its compliance with applicable regulations. We will use lithium-ion cells in the high voltage battery packs in our vehicles. The use, storage and disposal of battery packs is regulated under federal law.</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battery packs are intended to meet the applicable compliance requirements of the UN Manual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Tests and Criteria demonstrating its ability to ship battery packs by any method. These tests include:</w:t>
      </w:r>
    </w:p>
    <w:p>
      <w:pPr>
        <w:spacing w:after="0" w:line="88" w:lineRule="exact"/>
        <w:rPr>
          <w:sz w:val="20"/>
          <w:szCs w:val="20"/>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Altitude simulation — simulating air transport;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Thermal cycling — assessing cell and battery seal integrity;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Vibration — simulating vibration during transport;</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Shock — simulating possible impacts during transport;</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External short circuit — simulating an external short circuit;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Overcharge — evaluating the ability of a rechargeable battery to withstand overcharging.</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We face competition from both traditional automotive OEMs and an increasing number of newer companies focused on electric and other alternative fuel vehicles. We expect this competition to increase, particularly as the transportation sector continues to shift towards low-emission, zero-emission or carbon neutral solutions.</w:t>
      </w:r>
    </w:p>
    <w:p>
      <w:pPr>
        <w:spacing w:after="0" w:line="12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Lucid Air and planned future vehicles are expected to compete with both traditional luxury internal combustion vehicles from established automotive OEMs and electric and other alternative fuel vehicles from both new manufacturers and established automotive OEMs, many of which have entered or have announced plans to enter the alternative fuel and electric vehicle market. Many major automobile manufacturers, including luxury automobile manufacturers, have electric vehicles available today, and other current and prospective automobile manufacturers are also developing electric vehicles. In addition, numerous manufacturers offer hybrid vehicles, including plug-in versions, with which our vehicles will also compete.</w:t>
      </w:r>
    </w:p>
    <w:p>
      <w:pPr>
        <w:spacing w:after="0" w:line="12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believe the primary competitive factors on which we will compete include, but are not limited to:</w:t>
      </w:r>
    </w:p>
    <w:p>
      <w:pPr>
        <w:spacing w:after="0" w:line="115" w:lineRule="exact"/>
        <w:rPr>
          <w:sz w:val="20"/>
          <w:szCs w:val="20"/>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product quality, reliability and safety;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range, efficiency and charging speeds;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product performance;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technological innovation, including with respect to AD/ADAS features;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access to charging options;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 styling and luxury;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service options and customer experience;</w:t>
      </w:r>
    </w:p>
    <w:p>
      <w:pPr>
        <w:spacing w:after="0" w:line="103"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management team experience at bringing electric vehicles and other disruptive technologies to market;</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manufacturing efficiency;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brand recognition and prestige;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product price.</w:t>
      </w:r>
    </w:p>
    <w:p>
      <w:pPr>
        <w:spacing w:after="0" w:line="14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We believe that we are favorably positioned to compete on the basis of these factors. However, many of our current and potential competitors have substantially greater financial, technical, manufacturing, marketing and other resources than us. Our competitors may be able to deploy greater resources to the design, development, manufacturing, distribution, promotion, sales, marketing and support of their products. Additionally, many of our competitors also have greater name recognition, longer operating histories, larger sales forces, broader customer and industry relationships and other tangible and intangible resources that exceed ours. Furthermore, many of our competitors operate with a traditional sales and dealer distribution model for vehicles that may be viewed more favorably by potential customers. These competitors also compete with us in recruiting and retaining qualified research and development, sales, marketing and management personnel, as well as in acquiring technologies complementary to, or necessary for, our products. Additional mergers and acquisitions in the electric vehicle and luxury automotive markets may result in even more resources being concentrated in our competitors.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62"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We are headquartered in Newark, California and have manufacturing facilities in Casa Grande, Arizona. We currently do not own the land on which our material properties are situated; these properties are subject to various lease arrangements with third-party entities.</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Excluding our growing portfolio of retail locations, a list of certain of our facilities are outlined below:</w:t>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Address</w:t>
            </w:r>
          </w:p>
        </w:tc>
        <w:tc>
          <w:tcPr>
            <w:tcW w:w="2360" w:type="dxa"/>
            <w:vAlign w:val="bottom"/>
            <w:gridSpan w:val="2"/>
          </w:tcPr>
          <w:p>
            <w:pPr>
              <w:ind w:left="700"/>
              <w:spacing w:after="0"/>
              <w:rPr>
                <w:sz w:val="20"/>
                <w:szCs w:val="20"/>
                <w:color w:val="auto"/>
              </w:rPr>
            </w:pPr>
            <w:r>
              <w:rPr>
                <w:rFonts w:ascii="Arial" w:cs="Arial" w:eastAsia="Arial" w:hAnsi="Arial"/>
                <w:sz w:val="14"/>
                <w:szCs w:val="14"/>
                <w:b w:val="1"/>
                <w:bCs w:val="1"/>
                <w:color w:val="auto"/>
              </w:rPr>
              <w:t>Primary Use</w:t>
            </w:r>
          </w:p>
        </w:tc>
        <w:tc>
          <w:tcPr>
            <w:tcW w:w="1080" w:type="dxa"/>
            <w:vAlign w:val="bottom"/>
          </w:tcPr>
          <w:p>
            <w:pPr>
              <w:ind w:left="160"/>
              <w:spacing w:after="0"/>
              <w:rPr>
                <w:sz w:val="20"/>
                <w:szCs w:val="20"/>
                <w:color w:val="auto"/>
              </w:rPr>
            </w:pPr>
            <w:r>
              <w:rPr>
                <w:rFonts w:ascii="Arial" w:cs="Arial" w:eastAsia="Arial" w:hAnsi="Arial"/>
                <w:sz w:val="14"/>
                <w:szCs w:val="14"/>
                <w:b w:val="1"/>
                <w:bCs w:val="1"/>
                <w:color w:val="auto"/>
              </w:rPr>
              <w:t>Lease Expiry</w:t>
            </w:r>
          </w:p>
        </w:tc>
      </w:tr>
      <w:tr>
        <w:trPr>
          <w:trHeight w:val="26"/>
        </w:trPr>
        <w:tc>
          <w:tcPr>
            <w:tcW w:w="40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00" w:type="dxa"/>
            <w:vAlign w:val="bottom"/>
          </w:tcPr>
          <w:p>
            <w:pPr>
              <w:spacing w:after="0"/>
              <w:rPr>
                <w:sz w:val="20"/>
                <w:szCs w:val="20"/>
                <w:color w:val="auto"/>
              </w:rPr>
            </w:pPr>
            <w:r>
              <w:rPr>
                <w:rFonts w:ascii="Arial" w:cs="Arial" w:eastAsia="Arial" w:hAnsi="Arial"/>
                <w:sz w:val="18"/>
                <w:szCs w:val="18"/>
                <w:color w:val="auto"/>
                <w:w w:val="94"/>
              </w:rPr>
              <w:t>7373</w:t>
            </w: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Gateway Blvd., Newark, CA</w:t>
            </w:r>
          </w:p>
        </w:tc>
        <w:tc>
          <w:tcPr>
            <w:tcW w:w="2360" w:type="dxa"/>
            <w:vAlign w:val="bottom"/>
            <w:gridSpan w:val="2"/>
          </w:tcPr>
          <w:p>
            <w:pPr>
              <w:spacing w:after="0"/>
              <w:rPr>
                <w:sz w:val="20"/>
                <w:szCs w:val="20"/>
                <w:color w:val="auto"/>
              </w:rPr>
            </w:pPr>
            <w:r>
              <w:rPr>
                <w:rFonts w:ascii="Arial" w:cs="Arial" w:eastAsia="Arial" w:hAnsi="Arial"/>
                <w:sz w:val="18"/>
                <w:szCs w:val="18"/>
                <w:color w:val="auto"/>
              </w:rPr>
              <w:t>HQ (Lucid1)</w:t>
            </w:r>
          </w:p>
        </w:tc>
        <w:tc>
          <w:tcPr>
            <w:tcW w:w="1080" w:type="dxa"/>
            <w:vAlign w:val="bottom"/>
          </w:tcPr>
          <w:p>
            <w:pPr>
              <w:spacing w:after="0"/>
              <w:rPr>
                <w:sz w:val="20"/>
                <w:szCs w:val="20"/>
                <w:color w:val="auto"/>
              </w:rPr>
            </w:pPr>
            <w:r>
              <w:rPr>
                <w:rFonts w:ascii="Arial" w:cs="Arial" w:eastAsia="Arial" w:hAnsi="Arial"/>
                <w:sz w:val="18"/>
                <w:szCs w:val="18"/>
                <w:color w:val="auto"/>
              </w:rPr>
              <w:t>09/30/30</w:t>
            </w:r>
          </w:p>
        </w:tc>
      </w:tr>
      <w:tr>
        <w:trPr>
          <w:trHeight w:val="246"/>
        </w:trPr>
        <w:tc>
          <w:tcPr>
            <w:tcW w:w="400" w:type="dxa"/>
            <w:vAlign w:val="bottom"/>
          </w:tcPr>
          <w:p>
            <w:pPr>
              <w:spacing w:after="0"/>
              <w:rPr>
                <w:sz w:val="20"/>
                <w:szCs w:val="20"/>
                <w:color w:val="auto"/>
              </w:rPr>
            </w:pPr>
            <w:r>
              <w:rPr>
                <w:rFonts w:ascii="Arial" w:cs="Arial" w:eastAsia="Arial" w:hAnsi="Arial"/>
                <w:sz w:val="18"/>
                <w:szCs w:val="18"/>
                <w:color w:val="auto"/>
                <w:w w:val="94"/>
              </w:rPr>
              <w:t>7500</w:t>
            </w: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Gateway Blvd., Newark, CA</w:t>
            </w:r>
          </w:p>
        </w:tc>
        <w:tc>
          <w:tcPr>
            <w:tcW w:w="2360" w:type="dxa"/>
            <w:vAlign w:val="bottom"/>
            <w:gridSpan w:val="2"/>
          </w:tcPr>
          <w:p>
            <w:pPr>
              <w:spacing w:after="0"/>
              <w:rPr>
                <w:sz w:val="20"/>
                <w:szCs w:val="20"/>
                <w:color w:val="auto"/>
              </w:rPr>
            </w:pPr>
            <w:r>
              <w:rPr>
                <w:rFonts w:ascii="Arial" w:cs="Arial" w:eastAsia="Arial" w:hAnsi="Arial"/>
                <w:sz w:val="18"/>
                <w:szCs w:val="18"/>
                <w:color w:val="auto"/>
              </w:rPr>
              <w:t>HQ (Lucid2)</w:t>
            </w:r>
          </w:p>
        </w:tc>
        <w:tc>
          <w:tcPr>
            <w:tcW w:w="1080" w:type="dxa"/>
            <w:vAlign w:val="bottom"/>
          </w:tcPr>
          <w:p>
            <w:pPr>
              <w:spacing w:after="0"/>
              <w:rPr>
                <w:sz w:val="20"/>
                <w:szCs w:val="20"/>
                <w:color w:val="auto"/>
              </w:rPr>
            </w:pPr>
            <w:r>
              <w:rPr>
                <w:rFonts w:ascii="Arial" w:cs="Arial" w:eastAsia="Arial" w:hAnsi="Arial"/>
                <w:sz w:val="18"/>
                <w:szCs w:val="18"/>
                <w:color w:val="auto"/>
              </w:rPr>
              <w:t>09/30/30</w:t>
            </w:r>
          </w:p>
        </w:tc>
      </w:tr>
      <w:tr>
        <w:trPr>
          <w:trHeight w:val="270"/>
        </w:trPr>
        <w:tc>
          <w:tcPr>
            <w:tcW w:w="4760" w:type="dxa"/>
            <w:vAlign w:val="bottom"/>
            <w:gridSpan w:val="3"/>
          </w:tcPr>
          <w:p>
            <w:pPr>
              <w:spacing w:after="0"/>
              <w:rPr>
                <w:sz w:val="20"/>
                <w:szCs w:val="20"/>
                <w:color w:val="auto"/>
              </w:rPr>
            </w:pPr>
            <w:r>
              <w:rPr>
                <w:rFonts w:ascii="Arial" w:cs="Arial" w:eastAsia="Arial" w:hAnsi="Arial"/>
                <w:sz w:val="18"/>
                <w:szCs w:val="18"/>
                <w:color w:val="auto"/>
              </w:rPr>
              <w:t>317 S. Thornton Rd., Casa Grande, AZ</w:t>
            </w:r>
          </w:p>
        </w:tc>
        <w:tc>
          <w:tcPr>
            <w:tcW w:w="2360" w:type="dxa"/>
            <w:vAlign w:val="bottom"/>
            <w:gridSpan w:val="2"/>
          </w:tcPr>
          <w:p>
            <w:pPr>
              <w:spacing w:after="0"/>
              <w:rPr>
                <w:sz w:val="20"/>
                <w:szCs w:val="20"/>
                <w:color w:val="auto"/>
              </w:rPr>
            </w:pPr>
            <w:r>
              <w:rPr>
                <w:rFonts w:ascii="Arial" w:cs="Arial" w:eastAsia="Arial" w:hAnsi="Arial"/>
                <w:sz w:val="18"/>
                <w:szCs w:val="18"/>
                <w:color w:val="auto"/>
              </w:rPr>
              <w:t>Manufacturing (AMP-1)</w:t>
            </w:r>
          </w:p>
        </w:tc>
        <w:tc>
          <w:tcPr>
            <w:tcW w:w="1080" w:type="dxa"/>
            <w:vAlign w:val="bottom"/>
          </w:tcPr>
          <w:p>
            <w:pPr>
              <w:spacing w:after="0" w:line="270" w:lineRule="exact"/>
              <w:rPr>
                <w:sz w:val="20"/>
                <w:szCs w:val="20"/>
                <w:color w:val="auto"/>
              </w:rPr>
            </w:pPr>
            <w:r>
              <w:rPr>
                <w:rFonts w:ascii="Arial" w:cs="Arial" w:eastAsia="Arial" w:hAnsi="Arial"/>
                <w:sz w:val="18"/>
                <w:szCs w:val="18"/>
                <w:color w:val="auto"/>
              </w:rPr>
              <w:t>12/19/22</w:t>
            </w:r>
            <w:r>
              <w:rPr>
                <w:rFonts w:ascii="Arial" w:cs="Arial" w:eastAsia="Arial" w:hAnsi="Arial"/>
                <w:sz w:val="26"/>
                <w:szCs w:val="26"/>
                <w:color w:val="auto"/>
                <w:vertAlign w:val="superscript"/>
              </w:rPr>
              <w:t>(1)</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w w:val="94"/>
              </w:rPr>
              <w:t>2592</w:t>
            </w: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E. Hanna Rd., Suites 115 and 120, Casa Grande, AZ</w:t>
            </w:r>
          </w:p>
        </w:tc>
        <w:tc>
          <w:tcPr>
            <w:tcW w:w="2360" w:type="dxa"/>
            <w:vAlign w:val="bottom"/>
            <w:gridSpan w:val="2"/>
          </w:tcPr>
          <w:p>
            <w:pPr>
              <w:spacing w:after="0"/>
              <w:rPr>
                <w:sz w:val="20"/>
                <w:szCs w:val="20"/>
                <w:color w:val="auto"/>
              </w:rPr>
            </w:pPr>
            <w:r>
              <w:rPr>
                <w:rFonts w:ascii="Arial" w:cs="Arial" w:eastAsia="Arial" w:hAnsi="Arial"/>
                <w:sz w:val="18"/>
                <w:szCs w:val="18"/>
                <w:color w:val="auto"/>
              </w:rPr>
              <w:t>Manufacturing (LPM-1)</w:t>
            </w:r>
          </w:p>
        </w:tc>
        <w:tc>
          <w:tcPr>
            <w:tcW w:w="1080" w:type="dxa"/>
            <w:vAlign w:val="bottom"/>
          </w:tcPr>
          <w:p>
            <w:pPr>
              <w:spacing w:after="0" w:line="270" w:lineRule="exact"/>
              <w:rPr>
                <w:sz w:val="20"/>
                <w:szCs w:val="20"/>
                <w:color w:val="auto"/>
              </w:rPr>
            </w:pPr>
            <w:r>
              <w:rPr>
                <w:rFonts w:ascii="Arial" w:cs="Arial" w:eastAsia="Arial" w:hAnsi="Arial"/>
                <w:sz w:val="18"/>
                <w:szCs w:val="18"/>
                <w:color w:val="auto"/>
              </w:rPr>
              <w:t>03/31/25</w:t>
            </w:r>
            <w:r>
              <w:rPr>
                <w:rFonts w:ascii="Arial" w:cs="Arial" w:eastAsia="Arial" w:hAnsi="Arial"/>
                <w:sz w:val="26"/>
                <w:szCs w:val="26"/>
                <w:color w:val="auto"/>
                <w:vertAlign w:val="superscript"/>
              </w:rPr>
              <w:t>(2)</w:t>
            </w:r>
          </w:p>
        </w:tc>
      </w:tr>
      <w:tr>
        <w:trPr>
          <w:trHeight w:val="353"/>
        </w:trPr>
        <w:tc>
          <w:tcPr>
            <w:tcW w:w="4760" w:type="dxa"/>
            <w:vAlign w:val="bottom"/>
            <w:gridSpan w:val="3"/>
          </w:tcPr>
          <w:p>
            <w:pPr>
              <w:spacing w:after="0"/>
              <w:rPr>
                <w:sz w:val="20"/>
                <w:szCs w:val="20"/>
                <w:color w:val="auto"/>
              </w:rPr>
            </w:pPr>
            <w:r>
              <w:rPr>
                <w:rFonts w:ascii="Arial" w:cs="Arial" w:eastAsia="Arial" w:hAnsi="Arial"/>
                <w:sz w:val="18"/>
                <w:szCs w:val="18"/>
                <w:color w:val="auto"/>
              </w:rPr>
              <w:t>1115 W. Alameda Dr., Tempe, AZ</w:t>
            </w:r>
          </w:p>
        </w:tc>
        <w:tc>
          <w:tcPr>
            <w:tcW w:w="2360" w:type="dxa"/>
            <w:vAlign w:val="bottom"/>
            <w:gridSpan w:val="2"/>
          </w:tcPr>
          <w:p>
            <w:pPr>
              <w:spacing w:after="0"/>
              <w:rPr>
                <w:sz w:val="20"/>
                <w:szCs w:val="20"/>
                <w:color w:val="auto"/>
              </w:rPr>
            </w:pPr>
            <w:r>
              <w:rPr>
                <w:rFonts w:ascii="Arial" w:cs="Arial" w:eastAsia="Arial" w:hAnsi="Arial"/>
                <w:sz w:val="18"/>
                <w:szCs w:val="18"/>
                <w:color w:val="auto"/>
              </w:rPr>
              <w:t>Logistics</w:t>
            </w:r>
          </w:p>
        </w:tc>
        <w:tc>
          <w:tcPr>
            <w:tcW w:w="1080" w:type="dxa"/>
            <w:vAlign w:val="bottom"/>
          </w:tcPr>
          <w:p>
            <w:pPr>
              <w:spacing w:after="0"/>
              <w:rPr>
                <w:sz w:val="20"/>
                <w:szCs w:val="20"/>
                <w:color w:val="auto"/>
              </w:rPr>
            </w:pPr>
            <w:r>
              <w:rPr>
                <w:rFonts w:ascii="Arial" w:cs="Arial" w:eastAsia="Arial" w:hAnsi="Arial"/>
                <w:sz w:val="18"/>
                <w:szCs w:val="18"/>
                <w:color w:val="auto"/>
              </w:rPr>
              <w:t>02/28/26</w:t>
            </w:r>
            <w:r>
              <w:rPr>
                <w:rFonts w:ascii="Arial" w:cs="Arial" w:eastAsia="Arial" w:hAnsi="Arial"/>
                <w:sz w:val="26"/>
                <w:szCs w:val="26"/>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100330</wp:posOffset>
            </wp:positionV>
            <wp:extent cx="123444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2" w:lineRule="exact"/>
        <w:rPr>
          <w:sz w:val="20"/>
          <w:szCs w:val="20"/>
          <w:color w:val="auto"/>
        </w:rPr>
      </w:pPr>
    </w:p>
    <w:p>
      <w:pPr>
        <w:ind w:left="1620" w:hanging="360"/>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have an option to purchase the AMP-1 property.</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have options to renew the LPM-1 lease through early 2035.</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have options to renew the Tempe lease through early 2036.</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7"/>
          <w:szCs w:val="17"/>
          <w:color w:val="auto"/>
        </w:rPr>
        <w:t>From time to time, we are subject to various legal proceedings that arise from the normal course of business activities. In addition, from time to time, third parties may assert claims of intellectual property infringement, misappropriation or other violation against us in the form of letters and other forms of communication. If an unfavorable ruling were to occur, there exists the possibility of a material adverse impact on our results of operations, prospects, cash flows, financial position and brand.</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Intellectual property is important to our business. Our commercial success depends in part on our ability to obtain, maintain and protect the intellectual property and other proprietary technology that we develop, to operate without infringing, misappropriating or otherwise violating the intellectual property and proprietary rights of others, and to prevent others from infringing, misappropriating or violating our intellectual property and proprietary rights. We rely on a combination of patents, trademarks, trade secrets, know-how, continuing technological innovation, confidential information and other measures to develop and maintain our proprietary position including through employee, contractor, consultant and third-party nondisclosure and invention assignment agreements and other contractual arrangements.</w:t>
      </w:r>
    </w:p>
    <w:p>
      <w:pPr>
        <w:spacing w:after="0" w:line="11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Regardless of the coverage we seek under our existing patent applications, there is always a risk that alterations from our products or processes may provide sufficient basis for a competitor to avoid infringement claims. In addition, the coverage claimed in a patent application can be significantly reduced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We cannot provide any assurance that any patents will be issued from our pending or any future applications or that any current or future issued patents will adequately protect our intellectual property. For this and other risks related to our proprietary technology, inventions and improvements, please see the section entitled “</w:t>
      </w:r>
      <w:r>
        <w:rPr>
          <w:rFonts w:ascii="Arial" w:cs="Arial" w:eastAsia="Arial" w:hAnsi="Arial"/>
          <w:sz w:val="17"/>
          <w:szCs w:val="17"/>
          <w:i w:val="1"/>
          <w:iCs w:val="1"/>
          <w:color w:val="auto"/>
        </w:rPr>
        <w:t>Risk Factors — 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Our Business and Operations — Risks Related to Intellectual Property.</w:t>
      </w:r>
      <w:r>
        <w:rPr>
          <w:rFonts w:ascii="Arial" w:cs="Arial" w:eastAsia="Arial" w:hAnsi="Arial"/>
          <w:sz w:val="17"/>
          <w:szCs w:val="17"/>
          <w:color w:val="auto"/>
        </w:rPr>
        <w:t>”</w:t>
      </w:r>
    </w:p>
    <w:p>
      <w:pPr>
        <w:spacing w:after="0" w:line="113"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As of June 30, 2021, we owned 167 issued U.S. patents, 31 pending U.S. patent applications, 154 issued foreign patents, 34 pending foreign patent applications and 4 pending Patent Cooperation Treaty patent applications. Our patents underpin key areas of the Lucid Air. As of June 30, 2021, we also owned pending U.S. design patent applications, plus 15 issued foreign design patents/industrial designs and 24 pending foreign design patent/industrial design applications.</w:t>
      </w:r>
    </w:p>
    <w:p>
      <w:pPr>
        <w:spacing w:after="0" w:line="122"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As of June 30, 2021, we owned 15 pending U.S. trademark applications, 3 registered U.S. trademarks, as well as 86 registered foreign trademarks and 276 pending foreign trademark applications in approximately 22 countries worldwide in addition to the European Union, as we lay the foundation for the development of a robust global brand.</w:t>
      </w:r>
    </w:p>
    <w:p>
      <w:pPr>
        <w:spacing w:after="0" w:line="107"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We expect to develop additional intellectual property and proprietary technology as our engineering and validation activities proceed. Technologies that we have and intend to invest in and develop include</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engineering software, powertrain systems and controls, infotainment, cybersecurity, telematics and electrical architecture hardware and software. As we develop our technology, we will continue to build our intellectual property portfolio, including by pursuing patent and other intellectual property protection when we believe it is possible, cost-effective, beneficial and consistent with our overall intellectual property protection strategy.</w:t>
      </w:r>
    </w:p>
    <w:p>
      <w:pPr>
        <w:spacing w:after="0" w:line="108"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In addition to the intellectual property that we own, we also procure key technologies under our supply chain agreements for AD/ADAS functions and features and we license key technologies under agreements for our planned infotainment offerings.</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See “— </w:t>
      </w:r>
      <w:r>
        <w:rPr>
          <w:rFonts w:ascii="Arial" w:cs="Arial" w:eastAsia="Arial" w:hAnsi="Arial"/>
          <w:sz w:val="18"/>
          <w:szCs w:val="18"/>
          <w:i w:val="1"/>
          <w:iCs w:val="1"/>
          <w:color w:val="auto"/>
        </w:rPr>
        <w:t>Our Vehicles</w:t>
      </w:r>
      <w:r>
        <w:rPr>
          <w:rFonts w:ascii="Arial" w:cs="Arial" w:eastAsia="Arial" w:hAnsi="Arial"/>
          <w:sz w:val="18"/>
          <w:szCs w:val="18"/>
          <w:color w:val="auto"/>
        </w:rPr>
        <w:t xml:space="preserve">” and “— </w:t>
      </w:r>
      <w:r>
        <w:rPr>
          <w:rFonts w:ascii="Arial" w:cs="Arial" w:eastAsia="Arial" w:hAnsi="Arial"/>
          <w:sz w:val="18"/>
          <w:szCs w:val="18"/>
          <w:i w:val="1"/>
          <w:iCs w:val="1"/>
          <w:color w:val="auto"/>
        </w:rPr>
        <w:t>Technology</w:t>
      </w:r>
      <w:r>
        <w:rPr>
          <w:rFonts w:ascii="Arial" w:cs="Arial" w:eastAsia="Arial" w:hAnsi="Arial"/>
          <w:sz w:val="18"/>
          <w:szCs w:val="18"/>
          <w:color w:val="auto"/>
        </w:rPr>
        <w:t>” above for more information.</w:t>
      </w:r>
    </w:p>
    <w:p>
      <w:pPr>
        <w:spacing w:after="0" w:line="15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terms of individual issued patents extend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The duration of foreign patents varies in accordance with provisions of applicable local law, but typically is also 20 years from the earliest effective filing date. The actual protection afforded by a patent may vary from country to country and can depend upon many factors, including the type of patent, the scope of its coverage, the availability of patent term adjustments or extensions, the availability of legal remedies in a particular country and the validity and enforceability of the patent. As a result, our owned patent portfolio may not provide us with sufficient rights to exclude others from commercializing products similar or identical to ours.</w:t>
      </w:r>
    </w:p>
    <w:p>
      <w:pPr>
        <w:spacing w:after="0" w:line="106"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Furthermore, we rely upon trade secrets and know-how, confidential information, unpatented technologies, continuing technological innovation and other proprietary information to develop, protect and maintain our competitive position and aspects of our business that are not amenable to, or that we do not presently consider appropriate for, patent protection and prevent competitors from reverse engineering or copying our technologies. However, the foregoing rights, technologies and information are difficult to protect. We seek to protect them by, in part, using confidentiality agreements with our employees and consultants and any potential commercial partners and collaborators and invention assignment agreements with our employees. We also have implemented or intend to implement confidentiality agreements or invention assignment agreements with our selected consultants and any potential commercial partners.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There can be no assurance that these agreements will be self -executing or otherwise provide meaningful protection for our trade secrets or other intellectual property or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130"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Our commercial success will also depend in part on not infringing, misappropriating or otherwise violating the intellectual or proprietary rights of third parties. The issuance of third-party patents could require us to alter our development or commercial strategies, change our products or processes, obtain licenses to additional third-party patents or other intellectual property or cease certain activities. Our breach of any license agreements or failure to obtain a license to proprietary rights that we may require to develop or commercialize our future products or technologies may have an adverse impact on us. Given that patent applications in the United States and certain other jurisdictions are maintained in secrecy for 18 months or potentially longer, and since publication of discoveries in the scientific or patent literature often lags behind actual discoveries, we cannot be certain of the patent protection being sought by third parties and/or the priority of inventions covered by such patent applications. Moreover, we may have to participate in interference, revocation, derivation, re- examination, post-grant review, inter partes review or opposition proceedings brought by third parties or declared by the U.S. Patent and Trademark Office or an equivalent foreign body. See “</w:t>
      </w:r>
      <w:r>
        <w:rPr>
          <w:rFonts w:ascii="Arial" w:cs="Arial" w:eastAsia="Arial" w:hAnsi="Arial"/>
          <w:sz w:val="17"/>
          <w:szCs w:val="17"/>
          <w:i w:val="1"/>
          <w:iCs w:val="1"/>
          <w:color w:val="auto"/>
        </w:rPr>
        <w:t>Risk Factors — Risks Related to Our Business and Operations — Risks Related to</w:t>
      </w:r>
    </w:p>
    <w:p>
      <w:pPr>
        <w:sectPr>
          <w:pgSz w:w="11900" w:h="16838" w:orient="portrait"/>
          <w:cols w:equalWidth="0" w:num="1">
            <w:col w:w="9879"/>
          </w:cols>
          <w:pgMar w:left="580" w:top="131"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0" w:name="page121"/>
    <w:bookmarkEnd w:id="1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61" w:lineRule="auto"/>
        <w:rPr>
          <w:sz w:val="20"/>
          <w:szCs w:val="20"/>
          <w:color w:val="auto"/>
        </w:rPr>
      </w:pPr>
      <w:r>
        <w:rPr>
          <w:rFonts w:ascii="Arial" w:cs="Arial" w:eastAsia="Arial" w:hAnsi="Arial"/>
          <w:sz w:val="18"/>
          <w:szCs w:val="18"/>
          <w:i w:val="1"/>
          <w:iCs w:val="1"/>
          <w:color w:val="auto"/>
        </w:rPr>
        <w:t>Intellectual Property</w:t>
      </w:r>
      <w:r>
        <w:rPr>
          <w:rFonts w:ascii="Arial" w:cs="Arial" w:eastAsia="Arial" w:hAnsi="Arial"/>
          <w:sz w:val="18"/>
          <w:szCs w:val="18"/>
          <w:color w:val="auto"/>
        </w:rPr>
        <w:t>” for additional information regarding these and other risks related to our intellectual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portfolio and their potential effect on us.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We are committed to cultivating a diverse company to enhance our culture and position us for improved success. As of June 30, 2021, we had 2,522 employees. Our employees are split geographically with 1,539 employees in our California headquarters, 898 employees in Arizona, 18 employees in Asia -Pacific and an additional 67 employees throughout the U.S. and Canada and in our retail store and service center network.</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Environmental, Social and Compliance</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Environment</w:t>
      </w:r>
    </w:p>
    <w:p>
      <w:pPr>
        <w:spacing w:after="0" w:line="15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We are driven by a desire to address the clear and present threat posed by climate change and the need for enhanced sustainability. One unexpected lesson from the COVID-19 crisis has been that the earth has a remarkable ability to heal itself when given an opportunity to do so. With fewer fossil fuel -powered aircraft in the skies and cars on the road, the world has already seen remarkable rejuvenation with cleaner, clearer skies and cleaner water around the world. It is clear that humankind’s impact on the environment through travel does impact the environment, and we believe it is important to find ways to make transportation more sustainable.</w:t>
      </w:r>
    </w:p>
    <w:p>
      <w:pPr>
        <w:spacing w:after="0" w:line="123"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Through our blend of performance engineered, battery electric powertrain systems with post-luxury design, we seek to entice luxury vehicle customers to switch from polluting internal combustion engine vehicles to energy efficient, sustainable electric transportation. We believe that the efficiency of our proprietary powertrain will enable the Lucid Air to travel further per electron than other vehicles — this in turn is expected to result in lower emissions by power plants on a relative basis due to the less frequent need to recharge the Lucid Air compared to other electric vehicles.</w:t>
      </w:r>
    </w:p>
    <w:p>
      <w:pPr>
        <w:spacing w:after="0" w:line="108"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After establishing our brand based on attention to detail and refinement, we intend to expand our product lineup to broaden our impact on the traditional automotive market. To further accelerate the shift to battery electric transportation, we intend to explore opportunities to sell or license build to print electric powertrain and battery solutions for other automakers to facilitate their adoption of sustainable transportation. We also intend to explore opportunities in adjacent markets such as aerospace and maritime applications.</w:t>
      </w:r>
    </w:p>
    <w:p>
      <w:pPr>
        <w:spacing w:after="0" w:line="122"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In addition to the steps we are taking to address the automotive market in general by offering captivating electric vehicles to distinguishing customers, we intend to pursue sustainability through our business by focusing on recycling and waste management, logistics, supplier localization, sustainable materials selection and other areas of our business. Production and distribution consume energy, as with any manufacturer. We intend to localize production in an attempt to offset some of these energy needs and, due to advances in efficiency, we believe that our products will require less energy throughout their useful life than competing products.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Culture</w:t>
      </w:r>
    </w:p>
    <w:p>
      <w:pPr>
        <w:spacing w:after="0" w:line="158" w:lineRule="exact"/>
        <w:rPr>
          <w:sz w:val="20"/>
          <w:szCs w:val="20"/>
          <w:color w:val="auto"/>
        </w:rPr>
      </w:pPr>
    </w:p>
    <w:p>
      <w:pPr>
        <w:ind w:left="1260" w:right="1039" w:firstLine="360"/>
        <w:spacing w:after="0" w:line="261" w:lineRule="auto"/>
        <w:rPr>
          <w:sz w:val="20"/>
          <w:szCs w:val="20"/>
          <w:color w:val="auto"/>
        </w:rPr>
      </w:pPr>
      <w:r>
        <w:rPr>
          <w:rFonts w:ascii="Arial" w:cs="Arial" w:eastAsia="Arial" w:hAnsi="Arial"/>
          <w:sz w:val="18"/>
          <w:szCs w:val="18"/>
          <w:color w:val="auto"/>
        </w:rPr>
        <w:t>Three guiding stars define our priorities for the culture of Lucid: safety, diversity and employee growth.</w:t>
      </w:r>
    </w:p>
    <w:p>
      <w:pPr>
        <w:spacing w:after="0" w:line="90"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i w:val="1"/>
          <w:iCs w:val="1"/>
          <w:u w:val="single" w:color="auto"/>
          <w:color w:val="auto"/>
        </w:rPr>
        <w:t>Safety</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instilled an expectation for safety in our workplace. As a manufacturing company, we</w:t>
      </w:r>
      <w:r>
        <w:rPr>
          <w:rFonts w:ascii="Arial" w:cs="Arial" w:eastAsia="Arial" w:hAnsi="Arial"/>
          <w:sz w:val="18"/>
          <w:szCs w:val="18"/>
          <w:i w:val="1"/>
          <w:iCs w:val="1"/>
          <w:color w:val="auto"/>
        </w:rPr>
        <w:t xml:space="preserve"> </w:t>
      </w:r>
      <w:r>
        <w:rPr>
          <w:rFonts w:ascii="Arial" w:cs="Arial" w:eastAsia="Arial" w:hAnsi="Arial"/>
          <w:sz w:val="18"/>
          <w:szCs w:val="18"/>
          <w:color w:val="auto"/>
        </w:rPr>
        <w:t>train our people for safety and maintain policies and procedures to explain the rules to our workers. During the unprecedented global pandemic due to COVID-19, we have maintained protocols that are more conservative than CDC guidelines, enabled remote work where possible, and observed strict requirements for personal protective equipment, social distancing, and low employee density at our facilities in an effort to keep our team safe.</w:t>
      </w:r>
    </w:p>
    <w:p>
      <w:pPr>
        <w:spacing w:after="0" w:line="122"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i w:val="1"/>
          <w:iCs w:val="1"/>
          <w:u w:val="single" w:color="auto"/>
          <w:color w:val="auto"/>
        </w:rPr>
        <w:t>Diversity</w:t>
      </w:r>
      <w:r>
        <w:rPr>
          <w:rFonts w:ascii="Arial" w:cs="Arial" w:eastAsia="Arial" w:hAnsi="Arial"/>
          <w:sz w:val="17"/>
          <w:szCs w:val="17"/>
          <w:i w:val="1"/>
          <w:iCs w:val="1"/>
          <w:color w:val="auto"/>
        </w:rPr>
        <w:t xml:space="preserve">. </w:t>
      </w:r>
      <w:r>
        <w:rPr>
          <w:rFonts w:ascii="Arial" w:cs="Arial" w:eastAsia="Arial" w:hAnsi="Arial"/>
          <w:sz w:val="17"/>
          <w:szCs w:val="17"/>
          <w:color w:val="auto"/>
        </w:rPr>
        <w:t>We are committed to cultivating a diverse company to enhance our culture and position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for improved success. Our CEO has communicated to the entire company regarding support for,</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diversity, equal opportunity and racial justice. We offer education and training resources to combat complacency and engage our entire team’s support for racial justice and diversity. We have also formed diverse employee groups to facilitate conversations and provide an opportunity for employees to voice their perspectives. Our Company boasts employees from more than 35 countries of origin, with more than 50 languages spoken across the Company. We believe that our culture inspires passionate innovators to join Lucid from around the world, positioning us to influence positive change both within the company and externally through our work and the quality of our product offerings.</w:t>
      </w:r>
    </w:p>
    <w:p>
      <w:pPr>
        <w:spacing w:after="0" w:line="114"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i w:val="1"/>
          <w:iCs w:val="1"/>
          <w:u w:val="single" w:color="auto"/>
          <w:color w:val="auto"/>
        </w:rPr>
        <w:t>Employee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We take great strides to train and provide opportunities for growth to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For example, sales and manufacturing employees receive 85 hours or more in entry-level training. We maintain career bands to support employee advancement and offer online learning tools to support employee self-development.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Compliance</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are implementing a robust compliance program centered around a clear statement of principles and an expectation for both legal compliance and high ethical standards. We intend to achieve these goals through ongoing training and discussions with our employees, clear policies and guidelines, internal controls over financial transactions, technological solutions to automate screenings for legal compliance and a reporting hotline which enables employees and service providers to share allegations of any legal or ethical matters on an anonymous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148"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The following persons are the members of our Board and our executive officers as of the date of this prospectus: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Age</w:t>
            </w:r>
          </w:p>
        </w:tc>
        <w:tc>
          <w:tcPr>
            <w:tcW w:w="5180" w:type="dxa"/>
            <w:vAlign w:val="bottom"/>
          </w:tcPr>
          <w:p>
            <w:pPr>
              <w:ind w:left="2460"/>
              <w:spacing w:after="0"/>
              <w:rPr>
                <w:sz w:val="20"/>
                <w:szCs w:val="20"/>
                <w:color w:val="auto"/>
              </w:rPr>
            </w:pPr>
            <w:r>
              <w:rPr>
                <w:rFonts w:ascii="Arial" w:cs="Arial" w:eastAsia="Arial" w:hAnsi="Arial"/>
                <w:sz w:val="14"/>
                <w:szCs w:val="14"/>
                <w:b w:val="1"/>
                <w:bCs w:val="1"/>
                <w:color w:val="auto"/>
              </w:rPr>
              <w:t>Title</w:t>
            </w:r>
          </w:p>
        </w:tc>
      </w:tr>
      <w:tr>
        <w:trPr>
          <w:trHeight w:val="26"/>
        </w:trPr>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90"/>
        </w:trPr>
        <w:tc>
          <w:tcPr>
            <w:tcW w:w="2160" w:type="dxa"/>
            <w:vAlign w:val="bottom"/>
          </w:tcPr>
          <w:p>
            <w:pPr>
              <w:spacing w:after="0" w:line="290" w:lineRule="exact"/>
              <w:rPr>
                <w:sz w:val="20"/>
                <w:szCs w:val="20"/>
                <w:color w:val="auto"/>
              </w:rPr>
            </w:pPr>
            <w:r>
              <w:rPr>
                <w:rFonts w:ascii="Arial" w:cs="Arial" w:eastAsia="Arial" w:hAnsi="Arial"/>
                <w:sz w:val="18"/>
                <w:szCs w:val="18"/>
                <w:color w:val="auto"/>
              </w:rPr>
              <w:t>Peter Rawlinson</w:t>
            </w:r>
            <w:r>
              <w:rPr>
                <w:rFonts w:ascii="Arial" w:cs="Arial" w:eastAsia="Arial" w:hAnsi="Arial"/>
                <w:sz w:val="26"/>
                <w:szCs w:val="26"/>
                <w:color w:val="auto"/>
                <w:vertAlign w:val="superscript"/>
              </w:rPr>
              <w:t>(4)</w:t>
            </w:r>
          </w:p>
        </w:tc>
        <w:tc>
          <w:tcPr>
            <w:tcW w:w="22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8"/>
              </w:rPr>
              <w:t>Chief Executive Officer and Chief Technology Officer and Director</w:t>
            </w: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Sherry House</w:t>
            </w:r>
          </w:p>
        </w:tc>
        <w:tc>
          <w:tcPr>
            <w:tcW w:w="420" w:type="dxa"/>
            <w:vAlign w:val="bottom"/>
          </w:tcPr>
          <w:p>
            <w:pPr>
              <w:ind w:left="12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57"/>
        </w:trPr>
        <w:tc>
          <w:tcPr>
            <w:tcW w:w="2380" w:type="dxa"/>
            <w:vAlign w:val="bottom"/>
            <w:gridSpan w:val="2"/>
          </w:tcPr>
          <w:p>
            <w:pPr>
              <w:spacing w:after="0"/>
              <w:rPr>
                <w:sz w:val="20"/>
                <w:szCs w:val="20"/>
                <w:color w:val="auto"/>
              </w:rPr>
            </w:pPr>
            <w:r>
              <w:rPr>
                <w:rFonts w:ascii="Arial" w:cs="Arial" w:eastAsia="Arial" w:hAnsi="Arial"/>
                <w:sz w:val="18"/>
                <w:szCs w:val="18"/>
                <w:color w:val="auto"/>
              </w:rPr>
              <w:t>Eric Bach</w:t>
            </w:r>
          </w:p>
        </w:tc>
        <w:tc>
          <w:tcPr>
            <w:tcW w:w="420" w:type="dxa"/>
            <w:vAlign w:val="bottom"/>
          </w:tcPr>
          <w:p>
            <w:pPr>
              <w:ind w:left="12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2"/>
                <w:szCs w:val="22"/>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Product and Chief Engineer</w:t>
            </w:r>
          </w:p>
        </w:tc>
      </w:tr>
      <w:tr>
        <w:trPr>
          <w:trHeight w:val="246"/>
        </w:trPr>
        <w:tc>
          <w:tcPr>
            <w:tcW w:w="2380" w:type="dxa"/>
            <w:vAlign w:val="bottom"/>
            <w:gridSpan w:val="2"/>
          </w:tcPr>
          <w:p>
            <w:pPr>
              <w:spacing w:after="0"/>
              <w:rPr>
                <w:sz w:val="20"/>
                <w:szCs w:val="20"/>
                <w:color w:val="auto"/>
              </w:rPr>
            </w:pPr>
            <w:r>
              <w:rPr>
                <w:rFonts w:ascii="Arial" w:cs="Arial" w:eastAsia="Arial" w:hAnsi="Arial"/>
                <w:sz w:val="18"/>
                <w:szCs w:val="18"/>
                <w:color w:val="auto"/>
              </w:rPr>
              <w:t>Michael Bell</w:t>
            </w:r>
          </w:p>
        </w:tc>
        <w:tc>
          <w:tcPr>
            <w:tcW w:w="420" w:type="dxa"/>
            <w:vAlign w:val="bottom"/>
          </w:tcPr>
          <w:p>
            <w:pPr>
              <w:ind w:left="12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1"/>
                <w:szCs w:val="21"/>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Digital</w:t>
            </w:r>
          </w:p>
        </w:tc>
      </w:tr>
      <w:tr>
        <w:trPr>
          <w:trHeight w:val="270"/>
        </w:trPr>
        <w:tc>
          <w:tcPr>
            <w:tcW w:w="2380" w:type="dxa"/>
            <w:vAlign w:val="bottom"/>
            <w:gridSpan w:val="2"/>
          </w:tcPr>
          <w:p>
            <w:pPr>
              <w:spacing w:after="0" w:line="270" w:lineRule="exact"/>
              <w:rPr>
                <w:sz w:val="20"/>
                <w:szCs w:val="20"/>
                <w:color w:val="auto"/>
              </w:rPr>
            </w:pPr>
            <w:r>
              <w:rPr>
                <w:rFonts w:ascii="Arial" w:cs="Arial" w:eastAsia="Arial" w:hAnsi="Arial"/>
                <w:sz w:val="18"/>
                <w:szCs w:val="18"/>
                <w:color w:val="auto"/>
              </w:rPr>
              <w:t>Turqi Alnowaiser</w:t>
            </w:r>
            <w:r>
              <w:rPr>
                <w:rFonts w:ascii="Arial" w:cs="Arial" w:eastAsia="Arial" w:hAnsi="Arial"/>
                <w:sz w:val="26"/>
                <w:szCs w:val="26"/>
                <w:color w:val="auto"/>
                <w:vertAlign w:val="superscript"/>
              </w:rPr>
              <w:t>(3)(4)</w:t>
            </w:r>
          </w:p>
        </w:tc>
        <w:tc>
          <w:tcPr>
            <w:tcW w:w="420" w:type="dxa"/>
            <w:vAlign w:val="bottom"/>
          </w:tcPr>
          <w:p>
            <w:pPr>
              <w:ind w:left="12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line="270" w:lineRule="exact"/>
              <w:rPr>
                <w:sz w:val="20"/>
                <w:szCs w:val="20"/>
                <w:color w:val="auto"/>
              </w:rPr>
            </w:pPr>
            <w:r>
              <w:rPr>
                <w:rFonts w:ascii="Arial" w:cs="Arial" w:eastAsia="Arial" w:hAnsi="Arial"/>
                <w:sz w:val="18"/>
                <w:szCs w:val="18"/>
                <w:color w:val="auto"/>
              </w:rPr>
              <w:t>Glenn R. August</w:t>
            </w:r>
            <w:r>
              <w:rPr>
                <w:rFonts w:ascii="Arial" w:cs="Arial" w:eastAsia="Arial" w:hAnsi="Arial"/>
                <w:sz w:val="26"/>
                <w:szCs w:val="26"/>
                <w:color w:val="auto"/>
                <w:vertAlign w:val="superscript"/>
              </w:rPr>
              <w:t>(1)(3)</w:t>
            </w:r>
          </w:p>
        </w:tc>
        <w:tc>
          <w:tcPr>
            <w:tcW w:w="420" w:type="dxa"/>
            <w:vAlign w:val="bottom"/>
          </w:tcPr>
          <w:p>
            <w:pPr>
              <w:ind w:left="12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line="270" w:lineRule="exact"/>
              <w:rPr>
                <w:sz w:val="20"/>
                <w:szCs w:val="20"/>
                <w:color w:val="auto"/>
              </w:rPr>
            </w:pPr>
            <w:r>
              <w:rPr>
                <w:rFonts w:ascii="Arial" w:cs="Arial" w:eastAsia="Arial" w:hAnsi="Arial"/>
                <w:sz w:val="18"/>
                <w:szCs w:val="18"/>
                <w:color w:val="auto"/>
              </w:rPr>
              <w:t>Nancy Gioia</w:t>
            </w:r>
            <w:r>
              <w:rPr>
                <w:rFonts w:ascii="Arial" w:cs="Arial" w:eastAsia="Arial" w:hAnsi="Arial"/>
                <w:sz w:val="26"/>
                <w:szCs w:val="26"/>
                <w:color w:val="auto"/>
                <w:vertAlign w:val="superscript"/>
              </w:rPr>
              <w:t>(4)</w:t>
            </w:r>
          </w:p>
        </w:tc>
        <w:tc>
          <w:tcPr>
            <w:tcW w:w="420" w:type="dxa"/>
            <w:vAlign w:val="bottom"/>
          </w:tcPr>
          <w:p>
            <w:pPr>
              <w:ind w:left="12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line="270" w:lineRule="exact"/>
              <w:rPr>
                <w:sz w:val="20"/>
                <w:szCs w:val="20"/>
                <w:color w:val="auto"/>
              </w:rPr>
            </w:pPr>
            <w:r>
              <w:rPr>
                <w:rFonts w:ascii="Arial" w:cs="Arial" w:eastAsia="Arial" w:hAnsi="Arial"/>
                <w:sz w:val="18"/>
                <w:szCs w:val="18"/>
                <w:color w:val="auto"/>
              </w:rPr>
              <w:t>Frank Lindenberg</w:t>
            </w:r>
            <w:r>
              <w:rPr>
                <w:rFonts w:ascii="Arial" w:cs="Arial" w:eastAsia="Arial" w:hAnsi="Arial"/>
                <w:sz w:val="26"/>
                <w:szCs w:val="26"/>
                <w:color w:val="auto"/>
                <w:vertAlign w:val="superscript"/>
              </w:rPr>
              <w:t>(1)(2)</w:t>
            </w:r>
          </w:p>
        </w:tc>
        <w:tc>
          <w:tcPr>
            <w:tcW w:w="420" w:type="dxa"/>
            <w:vAlign w:val="bottom"/>
          </w:tcPr>
          <w:p>
            <w:pPr>
              <w:ind w:left="12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line="270" w:lineRule="exact"/>
              <w:rPr>
                <w:sz w:val="20"/>
                <w:szCs w:val="20"/>
                <w:color w:val="auto"/>
              </w:rPr>
            </w:pPr>
            <w:r>
              <w:rPr>
                <w:rFonts w:ascii="Arial" w:cs="Arial" w:eastAsia="Arial" w:hAnsi="Arial"/>
                <w:sz w:val="18"/>
                <w:szCs w:val="18"/>
                <w:color w:val="auto"/>
              </w:rPr>
              <w:t>Andrew Liveris</w:t>
            </w:r>
            <w:r>
              <w:rPr>
                <w:rFonts w:ascii="Arial" w:cs="Arial" w:eastAsia="Arial" w:hAnsi="Arial"/>
                <w:sz w:val="26"/>
                <w:szCs w:val="26"/>
                <w:color w:val="auto"/>
                <w:vertAlign w:val="superscript"/>
              </w:rPr>
              <w:t>(2)(4)</w:t>
            </w:r>
          </w:p>
        </w:tc>
        <w:tc>
          <w:tcPr>
            <w:tcW w:w="420" w:type="dxa"/>
            <w:vAlign w:val="bottom"/>
          </w:tcPr>
          <w:p>
            <w:pPr>
              <w:ind w:left="12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line="270" w:lineRule="exact"/>
              <w:rPr>
                <w:sz w:val="20"/>
                <w:szCs w:val="20"/>
                <w:color w:val="auto"/>
              </w:rPr>
            </w:pPr>
            <w:r>
              <w:rPr>
                <w:rFonts w:ascii="Arial" w:cs="Arial" w:eastAsia="Arial" w:hAnsi="Arial"/>
                <w:sz w:val="18"/>
                <w:szCs w:val="18"/>
                <w:color w:val="auto"/>
              </w:rPr>
              <w:t>Nichelle Maynard-Elliott</w:t>
            </w:r>
            <w:r>
              <w:rPr>
                <w:rFonts w:ascii="Arial" w:cs="Arial" w:eastAsia="Arial" w:hAnsi="Arial"/>
                <w:sz w:val="26"/>
                <w:szCs w:val="26"/>
                <w:color w:val="auto"/>
                <w:vertAlign w:val="superscript"/>
              </w:rPr>
              <w:t>(3)</w:t>
            </w:r>
          </w:p>
        </w:tc>
        <w:tc>
          <w:tcPr>
            <w:tcW w:w="420" w:type="dxa"/>
            <w:vAlign w:val="bottom"/>
          </w:tcPr>
          <w:p>
            <w:pPr>
              <w:ind w:left="12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line="270" w:lineRule="exact"/>
              <w:rPr>
                <w:sz w:val="20"/>
                <w:szCs w:val="20"/>
                <w:color w:val="auto"/>
              </w:rPr>
            </w:pPr>
            <w:r>
              <w:rPr>
                <w:rFonts w:ascii="Arial" w:cs="Arial" w:eastAsia="Arial" w:hAnsi="Arial"/>
                <w:sz w:val="18"/>
                <w:szCs w:val="18"/>
                <w:color w:val="auto"/>
              </w:rPr>
              <w:t>Tony Posawatz</w:t>
            </w:r>
            <w:r>
              <w:rPr>
                <w:rFonts w:ascii="Arial" w:cs="Arial" w:eastAsia="Arial" w:hAnsi="Arial"/>
                <w:sz w:val="26"/>
                <w:szCs w:val="26"/>
                <w:color w:val="auto"/>
                <w:vertAlign w:val="superscript"/>
              </w:rPr>
              <w:t>(2)(4)</w:t>
            </w:r>
          </w:p>
        </w:tc>
        <w:tc>
          <w:tcPr>
            <w:tcW w:w="420" w:type="dxa"/>
            <w:vAlign w:val="bottom"/>
          </w:tcPr>
          <w:p>
            <w:pPr>
              <w:ind w:left="12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353"/>
        </w:trPr>
        <w:tc>
          <w:tcPr>
            <w:tcW w:w="2380" w:type="dxa"/>
            <w:vAlign w:val="bottom"/>
            <w:gridSpan w:val="2"/>
          </w:tcPr>
          <w:p>
            <w:pPr>
              <w:spacing w:after="0"/>
              <w:rPr>
                <w:sz w:val="20"/>
                <w:szCs w:val="20"/>
                <w:color w:val="auto"/>
              </w:rPr>
            </w:pPr>
            <w:r>
              <w:rPr>
                <w:rFonts w:ascii="Arial" w:cs="Arial" w:eastAsia="Arial" w:hAnsi="Arial"/>
                <w:sz w:val="18"/>
                <w:szCs w:val="18"/>
                <w:color w:val="auto"/>
              </w:rPr>
              <w:t>Janet Wong</w:t>
            </w:r>
            <w:r>
              <w:rPr>
                <w:rFonts w:ascii="Arial" w:cs="Arial" w:eastAsia="Arial" w:hAnsi="Arial"/>
                <w:sz w:val="26"/>
                <w:szCs w:val="26"/>
                <w:color w:val="auto"/>
                <w:vertAlign w:val="superscript"/>
              </w:rPr>
              <w:t>(1)</w:t>
            </w:r>
          </w:p>
        </w:tc>
        <w:tc>
          <w:tcPr>
            <w:tcW w:w="420" w:type="dxa"/>
            <w:vAlign w:val="bottom"/>
          </w:tcPr>
          <w:p>
            <w:pPr>
              <w:ind w:left="12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100330</wp:posOffset>
            </wp:positionV>
            <wp:extent cx="123444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5" w:lineRule="exact"/>
        <w:rPr>
          <w:sz w:val="20"/>
          <w:szCs w:val="20"/>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Members of the Audit Committee</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Members of the Compensation Committee</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Members of the Nominating and Corporate Governance Committee</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Members of the Executive Committee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w:t>
      </w:r>
    </w:p>
    <w:p>
      <w:pPr>
        <w:spacing w:after="0" w:line="162"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b w:val="1"/>
          <w:bCs w:val="1"/>
          <w:i w:val="1"/>
          <w:iCs w:val="1"/>
          <w:color w:val="auto"/>
        </w:rPr>
        <w:t xml:space="preserve">Peter Rawlinson. </w:t>
      </w:r>
      <w:r>
        <w:rPr>
          <w:rFonts w:ascii="Arial" w:cs="Arial" w:eastAsia="Arial" w:hAnsi="Arial"/>
          <w:sz w:val="17"/>
          <w:szCs w:val="17"/>
          <w:color w:val="auto"/>
        </w:rPr>
        <w:t>Peter Rawlinson has served as our Chief Executive Officer and Chief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director since April 2019. He previously served as Lucid’s Chief Technology Officer from 2013 to April 2019. Prior to joining Lucid, Mr. Rawlinson was Vice President of Vehicle Engineering and Chief Engineer of the Model S at Tesla, Inc., where he led the engineering of the Model S from a clean sheet to production readiness while building the engineering team. Mr. Rawlinson was formerly Head of Vehicle Engineering at Corus Automotive, an advanced engineering consulting firm, Chief Engineer of Advanced Engineering at Lotus Cars and Principal Engineer of Advanced Body Structures at Jaguar Cars. Mr. Rawlinson holds a BSc from Imperial College, University of London.</w:t>
      </w:r>
    </w:p>
    <w:p>
      <w:pPr>
        <w:spacing w:after="0" w:line="111" w:lineRule="exact"/>
        <w:rPr>
          <w:sz w:val="20"/>
          <w:szCs w:val="20"/>
          <w:color w:val="auto"/>
        </w:rPr>
      </w:pPr>
    </w:p>
    <w:p>
      <w:pPr>
        <w:jc w:val="both"/>
        <w:ind w:left="1260" w:right="899" w:firstLine="360"/>
        <w:spacing w:after="0" w:line="286" w:lineRule="auto"/>
        <w:rPr>
          <w:sz w:val="20"/>
          <w:szCs w:val="20"/>
          <w:color w:val="auto"/>
        </w:rPr>
      </w:pPr>
      <w:r>
        <w:rPr>
          <w:rFonts w:ascii="Arial" w:cs="Arial" w:eastAsia="Arial" w:hAnsi="Arial"/>
          <w:sz w:val="17"/>
          <w:szCs w:val="17"/>
          <w:color w:val="auto"/>
        </w:rPr>
        <w:t>Mr. Rawlinson is qualified to serve as a director due to his experience as Lucid’s Chief Executive Officer and Chief Technology Officer, as well as his extensive technical and operational expertise and experience in the automotive industry and the electric vehicle industry in particular.</w:t>
      </w:r>
    </w:p>
    <w:p>
      <w:pPr>
        <w:spacing w:after="0" w:line="8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b w:val="1"/>
          <w:bCs w:val="1"/>
          <w:i w:val="1"/>
          <w:iCs w:val="1"/>
          <w:color w:val="auto"/>
        </w:rPr>
        <w:t xml:space="preserve">Sherry House. </w:t>
      </w:r>
      <w:r>
        <w:rPr>
          <w:rFonts w:ascii="Arial" w:cs="Arial" w:eastAsia="Arial" w:hAnsi="Arial"/>
          <w:sz w:val="18"/>
          <w:szCs w:val="18"/>
          <w:color w:val="auto"/>
        </w:rPr>
        <w:t>Sherry House has served as our Chief Financial Officer since May 2021. Before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Ms. House served as the Treasurer &amp; Head of Investor Relations at Waymo LLC, an autonomous vehicle technology company, from July 2020 to April 2021, the Director of Corporate Development from January 2019 to June 2020, and the Director of Business &amp; Corporate Finance from August 2017 to January 2019. Prior to Waymo, she served as Vice President of Corporate Development at Visteon Corporation, an automotive electronics supplier, from December 2016 to August 2017 and as Managing Director at Deloitte Corporate Finance LLC, a global professional services firm, from November 2014 to December 2016, and as Senior Vice President from May 2011 to November 2014. Ms. House also previously held high level positions at GTCR, Alta Partners, and General Motors. Ms. House holds a B.S. in Mechanical Engineering and Industrial Engineering from Kettering University and an M.M.E. and an M.B.A. from the University of Michigan.</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3" w:name="page124"/>
    <w:bookmarkEnd w:id="1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59" w:firstLine="360"/>
        <w:spacing w:after="0" w:line="271" w:lineRule="auto"/>
        <w:rPr>
          <w:sz w:val="20"/>
          <w:szCs w:val="20"/>
          <w:color w:val="auto"/>
        </w:rPr>
      </w:pPr>
      <w:r>
        <w:rPr>
          <w:rFonts w:ascii="Arial" w:cs="Arial" w:eastAsia="Arial" w:hAnsi="Arial"/>
          <w:sz w:val="17"/>
          <w:szCs w:val="17"/>
          <w:b w:val="1"/>
          <w:bCs w:val="1"/>
          <w:i w:val="1"/>
          <w:iCs w:val="1"/>
          <w:color w:val="auto"/>
        </w:rPr>
        <w:t xml:space="preserve">Eric Bach. </w:t>
      </w:r>
      <w:r>
        <w:rPr>
          <w:rFonts w:ascii="Arial" w:cs="Arial" w:eastAsia="Arial" w:hAnsi="Arial"/>
          <w:sz w:val="17"/>
          <w:szCs w:val="17"/>
          <w:color w:val="auto"/>
        </w:rPr>
        <w:t>Eric Bach has served as our Senior Vice President, Product and Chief Engineer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2021. Mr. Bach previously served as our Vice President, Hardware Engineering from September 2018 to February 2021 and as Senior Director, Body Engineering from April 2015 to</w:t>
      </w:r>
    </w:p>
    <w:p>
      <w:pPr>
        <w:ind w:left="1260" w:right="519"/>
        <w:spacing w:after="0" w:line="253" w:lineRule="auto"/>
        <w:rPr>
          <w:sz w:val="20"/>
          <w:szCs w:val="20"/>
          <w:color w:val="auto"/>
        </w:rPr>
      </w:pPr>
      <w:r>
        <w:rPr>
          <w:rFonts w:ascii="Arial" w:cs="Arial" w:eastAsia="Arial" w:hAnsi="Arial"/>
          <w:sz w:val="18"/>
          <w:szCs w:val="18"/>
          <w:color w:val="auto"/>
        </w:rPr>
        <w:t>August 2018. Prior to joining us, Mr. Bach was Director of Engineering at Tesla, Inc. from January 2012 to March 2015. From 2000 to 2015, he served in a variety of engineering and program leadership roles at Volkswagen AG in both Germany and the United States. Mr. Bach holds a Diplom-Ingenieur degree from Friedrich-Alexander University in Erlangen, Germany.</w:t>
      </w:r>
    </w:p>
    <w:p>
      <w:pPr>
        <w:spacing w:after="0" w:line="112"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b w:val="1"/>
          <w:bCs w:val="1"/>
          <w:i w:val="1"/>
          <w:iCs w:val="1"/>
          <w:color w:val="auto"/>
        </w:rPr>
        <w:t xml:space="preserve">Michael Bell. </w:t>
      </w:r>
      <w:r>
        <w:rPr>
          <w:rFonts w:ascii="Arial" w:cs="Arial" w:eastAsia="Arial" w:hAnsi="Arial"/>
          <w:sz w:val="18"/>
          <w:szCs w:val="18"/>
          <w:color w:val="auto"/>
        </w:rPr>
        <w:t>Michael Bell has served as our Senior Vice President, Digital since February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consultant from August 2020 to February 2021. Prior to joining us, Mr. Bell served as Chief Technology Officer of electric vehicle startup Rivian, LLC from June 2019 until February 2020, and as the Chief Executive Officer and President of Silver Spring Networks, Inc., a networking platform and solutions provider for smart energy networks, from September 2015 until January 2018. Previously, from 2010 to 2015 he held various roles at Intel Corporation, a multinational technology corporation specializing in the production of semiconductor chips, including Corporate Vice President New Devices Group, Corporate VP Mobile and Communications Group and Corporate Vice President Ultra Mobility Group, and was head of Product Development at Palm, Inc. from 2007 to 2010. He worked at Apple, Inc. from 1991 to 2007 and played significant roles in development of Apple iPhone, iMac, AirPort and Apple TV products, serving as Vice President, CPU Software from 2002 to 2007. Mr. Bell has served on the board of directors of iRobot Corporation, a leading consumer robotics company, since March 2016. He holds a B.S. from the University of Pennsylvania.</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Non-Executive Directors</w:t>
      </w:r>
    </w:p>
    <w:p>
      <w:pPr>
        <w:spacing w:after="0" w:line="162"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b w:val="1"/>
          <w:bCs w:val="1"/>
          <w:i w:val="1"/>
          <w:iCs w:val="1"/>
          <w:color w:val="auto"/>
        </w:rPr>
        <w:t xml:space="preserve">Andrew Liveris. </w:t>
      </w:r>
      <w:r>
        <w:rPr>
          <w:rFonts w:ascii="Arial" w:cs="Arial" w:eastAsia="Arial" w:hAnsi="Arial"/>
          <w:sz w:val="17"/>
          <w:szCs w:val="17"/>
          <w:color w:val="auto"/>
        </w:rPr>
        <w:t>Andrew Liveris has served as chairman of our board of directors since April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Mr. Liveris served as the Chairman and CEO of The Dow Chemical Company, a chemical corporation, from November 2004 to July 2018 and as the Executive Chairman of DowDuPont Inc., a chemical corporation, from September 2017 to July 2018. Mr. Liveris also serves on the boards of directors of International Business Machines Corp., a technology company, Saudi Arabian Oil Co., an oil exploration company, NOVONIX Limited, a battery materials and technology company, WorleyParsons Limited, an engineering company, and numerous other private companies. He is also on the advisory board of Sumitomo Mitsui Banking Corporation and NEOM, an initiative of Saudi Vision 2030. Mr. Liveris holds a B.S. in Chemical Engineering from the University of Queensland and received an honorary Ph.D. in Science from his alma mater in 2005. Mr. Liveris was appointed as a special advisor to the Public Investment Fund.</w:t>
      </w:r>
    </w:p>
    <w:p>
      <w:pPr>
        <w:spacing w:after="0" w:line="118" w:lineRule="exact"/>
        <w:rPr>
          <w:sz w:val="20"/>
          <w:szCs w:val="20"/>
          <w:color w:val="auto"/>
        </w:rPr>
      </w:pPr>
    </w:p>
    <w:p>
      <w:pPr>
        <w:ind w:left="1260" w:right="599" w:firstLine="360"/>
        <w:spacing w:after="0" w:line="286" w:lineRule="auto"/>
        <w:rPr>
          <w:sz w:val="20"/>
          <w:szCs w:val="20"/>
          <w:color w:val="auto"/>
        </w:rPr>
      </w:pPr>
      <w:r>
        <w:rPr>
          <w:rFonts w:ascii="Arial" w:cs="Arial" w:eastAsia="Arial" w:hAnsi="Arial"/>
          <w:sz w:val="17"/>
          <w:szCs w:val="17"/>
          <w:color w:val="auto"/>
        </w:rPr>
        <w:t>We believe Mr. Liveris is qualified to serve as a director due to his decades of experience leading and overseeing large, complex global industrial enterprises, his knowledge of the technology, energy and chemical sectors, and his experience overseeing Lucid’s growth as chairman of Lucid’s board of directors.</w:t>
      </w:r>
    </w:p>
    <w:p>
      <w:pPr>
        <w:spacing w:after="0" w:line="84"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b w:val="1"/>
          <w:bCs w:val="1"/>
          <w:i w:val="1"/>
          <w:iCs w:val="1"/>
          <w:color w:val="auto"/>
        </w:rPr>
        <w:t xml:space="preserve">Turqi Alnowaiser. </w:t>
      </w:r>
      <w:r>
        <w:rPr>
          <w:rFonts w:ascii="Arial" w:cs="Arial" w:eastAsia="Arial" w:hAnsi="Arial"/>
          <w:sz w:val="17"/>
          <w:szCs w:val="17"/>
          <w:color w:val="auto"/>
        </w:rPr>
        <w:t>Turqi Alnowaiser has served as a member of our board of directors since April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Alnowaiser has served as Deputy Governor and Head of the International Investments Division at the Public Investment Fund of the Kingdom of Saudi Arabia, one of the largest sovereign wealth funds in the world, since June 2021, and previously served as Head of International Investments at the Public Investment Fund from October 2016 to June 2021. Mr. Alnowaiser previously served as Senior Advisor at the Public Investment Fund from October 2015 to September 2016, prior to which he held several executive roles at Saudi Fransi Capital, a leading financial services firm based in Saudi Arabia, including as Head of Asset Management. Before his career at Saudi Fransi Capital, Mr. Alnowaiser specialized in developing, managing, and regulating various financial products across asset classes at Morgan Stanley, the Capital Market Authority of Saudi Arabia, and the Saudi Industrial Development Fund. Mr. Alnowasier has served on the board of directors of Hapag-Lloyd AG, an international shipping and container transportation company, since February 2018. Mr. Alnowasier holds a B.A. in International Business from King Saud University and an M.B.A. from the University of San Francisco.</w:t>
      </w:r>
    </w:p>
    <w:p>
      <w:pPr>
        <w:spacing w:after="0" w:line="119" w:lineRule="exact"/>
        <w:rPr>
          <w:sz w:val="20"/>
          <w:szCs w:val="20"/>
          <w:color w:val="auto"/>
        </w:rPr>
      </w:pPr>
    </w:p>
    <w:p>
      <w:pPr>
        <w:jc w:val="both"/>
        <w:ind w:left="1260" w:right="539" w:firstLine="360"/>
        <w:spacing w:after="0" w:line="263" w:lineRule="auto"/>
        <w:rPr>
          <w:sz w:val="20"/>
          <w:szCs w:val="20"/>
          <w:color w:val="auto"/>
        </w:rPr>
      </w:pPr>
      <w:r>
        <w:rPr>
          <w:rFonts w:ascii="Arial" w:cs="Arial" w:eastAsia="Arial" w:hAnsi="Arial"/>
          <w:sz w:val="18"/>
          <w:szCs w:val="18"/>
          <w:color w:val="auto"/>
        </w:rPr>
        <w:t>We believe Mr. Alnowaiser is qualified to serve as a director due to his extensive experience investing in and leading global enterprises, his deep business and financial expertise, and his experience overseeing Lucid’s growth as a member of Lucid’s board of directors.</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b w:val="1"/>
          <w:bCs w:val="1"/>
          <w:i w:val="1"/>
          <w:iCs w:val="1"/>
          <w:color w:val="auto"/>
        </w:rPr>
        <w:t xml:space="preserve">Glenn R. August. </w:t>
      </w:r>
      <w:r>
        <w:rPr>
          <w:rFonts w:ascii="Arial" w:cs="Arial" w:eastAsia="Arial" w:hAnsi="Arial"/>
          <w:sz w:val="17"/>
          <w:szCs w:val="17"/>
          <w:color w:val="auto"/>
        </w:rPr>
        <w:t>Glenn R. August has been a member of our Board since July 2021 and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a member of Churchill’s board of directors. He is the Founder &amp; Chief Executive Officer of Oak Hill Advisors, L.P. and has overall management responsibility for Oak Hill Advisors. In addition, he serves as global head of the firm’s distressed investment activities and chairs or serves on various firm committees, including the partnership, investment strategy and several fund investment committees. He co-founded the predecessor investment firm to Oak Hill Advisors in 1987 and took responsibility for the firm’s credit and distressed investment activities in 1990. Mr. August has played leadership roles in numerous restructurings and, since 1987, has served on sixteen corporate boards. He currently serves on the Board of Directors for Churchill Capital Corp V, Churchill Capital Corp VI, Churchill Capital Corp VII and MultiPlan, Inc.</w:t>
      </w:r>
    </w:p>
    <w:p>
      <w:pPr>
        <w:spacing w:after="0" w:line="6" w:lineRule="exact"/>
        <w:rPr>
          <w:sz w:val="20"/>
          <w:szCs w:val="20"/>
          <w:color w:val="auto"/>
        </w:rPr>
      </w:pPr>
    </w:p>
    <w:p>
      <w:pPr>
        <w:ind w:left="1260" w:right="639"/>
        <w:spacing w:after="0" w:line="238" w:lineRule="auto"/>
        <w:rPr>
          <w:sz w:val="20"/>
          <w:szCs w:val="20"/>
          <w:color w:val="auto"/>
        </w:rPr>
      </w:pPr>
      <w:r>
        <w:rPr>
          <w:rFonts w:ascii="Arial" w:cs="Arial" w:eastAsia="Arial" w:hAnsi="Arial"/>
          <w:sz w:val="18"/>
          <w:szCs w:val="18"/>
          <w:color w:val="auto"/>
        </w:rPr>
        <w:t>Mr. August also serves on the Board of Trustees of Horace Mann School and The Mount Sinai Medical Center, and on the Board of Directors of the Partnership for New York City and the 92nd St. Y. He earned an M.B.A. from Harvard Business School, where he was a Baker Scholar, and a B.S. from Cornell University.</w:t>
      </w:r>
    </w:p>
    <w:p>
      <w:pPr>
        <w:spacing w:after="0" w:line="108"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We believe Mr. August is qualified to serve as a director due to his extensive experience overseeing a wide range of public companies and his deep financial knowledge.</w:t>
      </w:r>
    </w:p>
    <w:p>
      <w:pPr>
        <w:spacing w:after="0" w:line="10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b w:val="1"/>
          <w:bCs w:val="1"/>
          <w:i w:val="1"/>
          <w:iCs w:val="1"/>
          <w:color w:val="auto"/>
        </w:rPr>
        <w:t xml:space="preserve">Nancy Gioia. </w:t>
      </w:r>
      <w:r>
        <w:rPr>
          <w:rFonts w:ascii="Arial" w:cs="Arial" w:eastAsia="Arial" w:hAnsi="Arial"/>
          <w:sz w:val="17"/>
          <w:szCs w:val="17"/>
          <w:color w:val="auto"/>
        </w:rPr>
        <w:t>Nancy Gioia has been a member of our Board since July 2021. Ms. Gioia served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various leadership positions at Ford Motor Company for over thirty years. At Ford, she served as the Director of Global Connectivity, Electrical and User Experience from September 2013 to September 2014, as Director of Global Electrification, User Interface, and Connectivity from April 2012 to September 2013, as Director of Global Electrification from November 2009 to April 2012, and as Director of Sustainable Mobility Technologies and Hybrid Vehicle Programs from November 2005 to November 2009. In those respective roles, she directed global strategy and planning for all aspects of connected vehicles and oversaw Ford’s multi-billion dollar electrified vehicle and technology portfolio. Additionally, Ms. Gioia has been the owner of Gioia Consulting Services since 2014, and since February 2019, she has served as Executive Chairman of Blue Currents, Inc., an energy storage startup company. Ms. Gioia has also served on numerous boards, including the boards of directors of Brady Corporation since 2013, Meggitt PLC since 2017, and Exelon Corporation from 2016 to 2018. Ms. Gioia serves on the University of Michigan — Dearborn Engineering Dean’s Strategic Advisory Board, since 2014 and from 2014 to 2017 served on the University of Michigan Electrical and Computer Engineering Advisory Council. Ms. Gioia holds a B.S. in Electrical Engineering from the University of Michigan — Dearborn and a M.S. in Manufacturing Systems Engineering from Stanford University.</w:t>
      </w:r>
    </w:p>
    <w:p>
      <w:pPr>
        <w:spacing w:after="0" w:line="118" w:lineRule="exact"/>
        <w:rPr>
          <w:sz w:val="20"/>
          <w:szCs w:val="20"/>
          <w:color w:val="auto"/>
        </w:rPr>
      </w:pPr>
    </w:p>
    <w:p>
      <w:pPr>
        <w:ind w:left="1260" w:right="679" w:firstLine="360"/>
        <w:spacing w:after="0" w:line="324" w:lineRule="auto"/>
        <w:rPr>
          <w:sz w:val="20"/>
          <w:szCs w:val="20"/>
          <w:color w:val="auto"/>
        </w:rPr>
      </w:pPr>
      <w:r>
        <w:rPr>
          <w:rFonts w:ascii="Arial" w:cs="Arial" w:eastAsia="Arial" w:hAnsi="Arial"/>
          <w:sz w:val="16"/>
          <w:szCs w:val="16"/>
          <w:color w:val="auto"/>
        </w:rPr>
        <w:t>We believe Ms. Gioia is qualified to serve as a director due to her decades of experience at a leading global automaker, her business expertise, and her extensive knowledge of the automotive industry.</w:t>
      </w:r>
    </w:p>
    <w:p>
      <w:pPr>
        <w:spacing w:after="0" w:line="43" w:lineRule="exact"/>
        <w:rPr>
          <w:sz w:val="20"/>
          <w:szCs w:val="20"/>
          <w:color w:val="auto"/>
        </w:rPr>
      </w:pPr>
    </w:p>
    <w:p>
      <w:pPr>
        <w:ind w:left="1620"/>
        <w:spacing w:after="0"/>
        <w:tabs>
          <w:tab w:leader="none" w:pos="3100" w:val="left"/>
        </w:tabs>
        <w:rPr>
          <w:sz w:val="20"/>
          <w:szCs w:val="20"/>
          <w:color w:val="auto"/>
        </w:rPr>
      </w:pPr>
      <w:r>
        <w:rPr>
          <w:rFonts w:ascii="Arial" w:cs="Arial" w:eastAsia="Arial" w:hAnsi="Arial"/>
          <w:sz w:val="18"/>
          <w:szCs w:val="18"/>
          <w:b w:val="1"/>
          <w:bCs w:val="1"/>
          <w:i w:val="1"/>
          <w:iCs w:val="1"/>
          <w:color w:val="auto"/>
        </w:rPr>
        <w:t>Frank Lindenberg.</w:t>
      </w:r>
      <w:r>
        <w:rPr>
          <w:sz w:val="20"/>
          <w:szCs w:val="20"/>
          <w:color w:val="auto"/>
        </w:rPr>
        <w:tab/>
      </w:r>
      <w:r>
        <w:rPr>
          <w:rFonts w:ascii="Arial" w:cs="Arial" w:eastAsia="Arial" w:hAnsi="Arial"/>
          <w:sz w:val="16"/>
          <w:szCs w:val="16"/>
          <w:color w:val="auto"/>
        </w:rPr>
        <w:t>Frank Lindenberg has served as a member of our Board since July 2021.</w:t>
      </w:r>
    </w:p>
    <w:p>
      <w:pPr>
        <w:spacing w:after="0" w:line="12"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Mr. Lindenberg served as the Chief Financial Officer of Mercedes- Benz Cars, a division of Daimler AG, a global automotive company, from March 2012 to March 2020, and as Chief Financial Officer and a member of the Board of Management of Mercedes-Benz AG, a subsidiary of Daimler AG, from October 2019 to March 2020. Mr. Lindenberg also served as the Chief Financial Officer and member of the divisional Board of Management of Daimler Trucks and Buses from June 2009 to February 2021. Prior, Mr. Lindenberg served as the Vice President Finance Transformation Organization for Daimler AG from September 2006 to May 2009. Mr. Lindenberg enjoyed a career of almost 30 years in various roles at Daimler. He holds a Diplom-Oeconom degree from the University of Hanover in Hanover, Germany.</w:t>
      </w:r>
    </w:p>
    <w:p>
      <w:pPr>
        <w:spacing w:after="0" w:line="117"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7"/>
          <w:szCs w:val="17"/>
          <w:color w:val="auto"/>
        </w:rPr>
        <w:t>We believe Mr. Lindenberg is qualified to serve as a director due to his experience leading a global automaker, his financial management expertise and his deep knowledge of the automotive industry.</w:t>
      </w:r>
    </w:p>
    <w:p>
      <w:pPr>
        <w:spacing w:after="0" w:line="79"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b w:val="1"/>
          <w:bCs w:val="1"/>
          <w:i w:val="1"/>
          <w:iCs w:val="1"/>
          <w:color w:val="auto"/>
        </w:rPr>
        <w:t xml:space="preserve">Nichelle Maynard-Elliott. </w:t>
      </w:r>
      <w:r>
        <w:rPr>
          <w:rFonts w:ascii="Arial" w:cs="Arial" w:eastAsia="Arial" w:hAnsi="Arial"/>
          <w:sz w:val="18"/>
          <w:szCs w:val="18"/>
          <w:color w:val="auto"/>
        </w:rPr>
        <w:t>Nichelle Maynard-Elliott has been a member of our Board since July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Maynard -Elliott has served as a director of Element Solutions Inc., a specialty chemicals company, since August 2018. She previously served as the Executive Director, M&amp;A, for Praxair, Inc., a leading industrial gases and engineering company, from July 2011 to May 2019, and as Assistant General Counsel and Senior Counsel at Praxair from July 2007 to 2011 and 2003 to 2007, respectively. Ms. Maynard-Elliott has served on the board of directors of Xerox Holdings Corporation since May 2021. Ms. Maynard-Elliott has served as trustee of Gallery Trust, Schroder Series Trust, Schroder Global Series Trust, Delaware Wilshire Private Markets Master Fund, Delaware Wilshire Private Markets Fund, Delaware Wilshire Private Markets</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spacing w:after="0" w:line="261" w:lineRule="auto"/>
        <w:rPr>
          <w:sz w:val="20"/>
          <w:szCs w:val="20"/>
          <w:color w:val="auto"/>
        </w:rPr>
      </w:pPr>
      <w:r>
        <w:rPr>
          <w:rFonts w:ascii="Arial" w:cs="Arial" w:eastAsia="Arial" w:hAnsi="Arial"/>
          <w:sz w:val="18"/>
          <w:szCs w:val="18"/>
          <w:color w:val="auto"/>
        </w:rPr>
        <w:t>Tender Fund and director of Chiron Capital Allocation Fund Ltd since June 2021. She holds a B.A. in Economics from Brown University and a J.D. from Columbia University School of Law.</w:t>
      </w:r>
    </w:p>
    <w:p>
      <w:pPr>
        <w:spacing w:after="0" w:line="90"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We believe Ms. Maynard-Elliott is qualified to serve as a director because of her experience overseeing complex enterprises as a public company director, her experience evaluating business strategies and investment opportunities, and her extensive legal and financial management expertise.</w:t>
      </w:r>
    </w:p>
    <w:p>
      <w:pPr>
        <w:spacing w:after="0" w:line="114"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b w:val="1"/>
          <w:bCs w:val="1"/>
          <w:i w:val="1"/>
          <w:iCs w:val="1"/>
          <w:color w:val="auto"/>
        </w:rPr>
        <w:t xml:space="preserve">Tony Posawatz. </w:t>
      </w:r>
      <w:r>
        <w:rPr>
          <w:rFonts w:ascii="Arial" w:cs="Arial" w:eastAsia="Arial" w:hAnsi="Arial"/>
          <w:sz w:val="17"/>
          <w:szCs w:val="17"/>
          <w:color w:val="auto"/>
        </w:rPr>
        <w:t>Anthony “Tony” Posawatz has served as a member of our board of directors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2019. Mr. Posawatz has also served as President and Chief Executive Officer of Invictus iCAR (innovation Consulting Advisory Resources) LLC, a company focusing on automotive-technology advancement, since August 2013. He formerly led vehicle development of the Chevrolet Volt at General Motors and served as the President and Chief Executive Officer of Fisker Automotive from 2012 to 2013. Mr. Posawatz currently serves a director of Beam Global, a manufacturer and retailer of solar electric vehicle charging stations. He also serves as a board member and advisory board member to numerous private companies. Mr. Posawatz holds a B.S. in Mechanical Engineering from Wayne State University and an M.B.A. from Dartmouth College, Tuck School of Business.</w:t>
      </w:r>
    </w:p>
    <w:p>
      <w:pPr>
        <w:spacing w:after="0" w:line="116" w:lineRule="exact"/>
        <w:rPr>
          <w:sz w:val="20"/>
          <w:szCs w:val="20"/>
          <w:color w:val="auto"/>
        </w:rPr>
      </w:pPr>
    </w:p>
    <w:p>
      <w:pPr>
        <w:jc w:val="both"/>
        <w:ind w:left="1260" w:right="579" w:firstLine="360"/>
        <w:spacing w:after="0" w:line="243" w:lineRule="auto"/>
        <w:rPr>
          <w:sz w:val="20"/>
          <w:szCs w:val="20"/>
          <w:color w:val="auto"/>
        </w:rPr>
      </w:pPr>
      <w:r>
        <w:rPr>
          <w:rFonts w:ascii="Arial" w:cs="Arial" w:eastAsia="Arial" w:hAnsi="Arial"/>
          <w:sz w:val="18"/>
          <w:szCs w:val="18"/>
          <w:color w:val="auto"/>
        </w:rPr>
        <w:t>We believe Mr. Posawatz is qualified to serve as a director because of his expertise in electric vehicle and other mobility technologies, his experience bringing electric vehicles to market, his knowledge of the global automotive industry and his experience overseeing Lucid’s growth as a member of Lucid’s board of directors.</w:t>
      </w:r>
    </w:p>
    <w:p>
      <w:pPr>
        <w:spacing w:after="0" w:line="107" w:lineRule="exact"/>
        <w:rPr>
          <w:sz w:val="20"/>
          <w:szCs w:val="20"/>
          <w:color w:val="auto"/>
        </w:rPr>
      </w:pPr>
    </w:p>
    <w:p>
      <w:pPr>
        <w:ind w:left="1260" w:right="599" w:firstLine="360"/>
        <w:spacing w:after="0" w:line="268" w:lineRule="auto"/>
        <w:rPr>
          <w:sz w:val="20"/>
          <w:szCs w:val="20"/>
          <w:color w:val="auto"/>
        </w:rPr>
      </w:pPr>
      <w:r>
        <w:rPr>
          <w:rFonts w:ascii="Arial" w:cs="Arial" w:eastAsia="Arial" w:hAnsi="Arial"/>
          <w:sz w:val="16"/>
          <w:szCs w:val="16"/>
          <w:b w:val="1"/>
          <w:bCs w:val="1"/>
          <w:i w:val="1"/>
          <w:iCs w:val="1"/>
          <w:color w:val="auto"/>
        </w:rPr>
        <w:t xml:space="preserve">Janet S. Wong. </w:t>
      </w:r>
      <w:r>
        <w:rPr>
          <w:rFonts w:ascii="Arial" w:cs="Arial" w:eastAsia="Arial" w:hAnsi="Arial"/>
          <w:sz w:val="16"/>
          <w:szCs w:val="16"/>
          <w:color w:val="auto"/>
        </w:rPr>
        <w:t>Janet Wong has been a member of our Board since July 2021. Ms. Wong is a licensed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Certified Public Accountant with more than 30 years of public accounting experience. She is a partner (retired) with KPMG LLP, an international professional services firm, where she served as a National Industry Practice Lead Partner. She also served as a Partner at Grant Thornton LLP, a leading professional services firm, where she was the Central Region Corporate and Partnership Services Lead Partner.</w:t>
      </w:r>
    </w:p>
    <w:p>
      <w:pPr>
        <w:spacing w:after="0" w:line="1" w:lineRule="exact"/>
        <w:rPr>
          <w:sz w:val="20"/>
          <w:szCs w:val="20"/>
          <w:color w:val="auto"/>
        </w:rPr>
      </w:pPr>
    </w:p>
    <w:p>
      <w:pPr>
        <w:ind w:left="1260" w:right="439"/>
        <w:spacing w:after="0" w:line="236" w:lineRule="auto"/>
        <w:rPr>
          <w:sz w:val="20"/>
          <w:szCs w:val="20"/>
          <w:color w:val="auto"/>
        </w:rPr>
      </w:pPr>
      <w:r>
        <w:rPr>
          <w:rFonts w:ascii="Arial" w:cs="Arial" w:eastAsia="Arial" w:hAnsi="Arial"/>
          <w:sz w:val="18"/>
          <w:szCs w:val="18"/>
          <w:color w:val="auto"/>
        </w:rPr>
        <w:t>Ms. Wong has served as a director of Enviva Partners, a global energy company, since May 2015, Allegiance Bancshares, Inc., a commercial banking organization, since April 2020 and Lumentum Holdings, Inc., a manufacturer of innovative optical and photonic products, since September 2020. She served on the advisory board of Big Controls Inc., a business intelligence and analytics company, from May 2016 to May 2020. Ms. Wong has served as a National Executive Advisor for Ascend, a non-profit professional business organization that enables its members, corporate partners and community to realize the leadership potential of Asians in global corporations, since 2013. She is on the Board of Trustees for the Computer History Museum, the Louisiana Tech University Foundation Board and the College of Business Advisory Board, where she was awarded Emeritus status for her twenty-plus-year tenure. She holds a Master of Professional Accountancy from Louisiana Tech University and a Master of Taxation from Golden Gate University.</w:t>
      </w:r>
    </w:p>
    <w:p>
      <w:pPr>
        <w:spacing w:after="0" w:line="121" w:lineRule="exact"/>
        <w:rPr>
          <w:sz w:val="20"/>
          <w:szCs w:val="20"/>
          <w:color w:val="auto"/>
        </w:rPr>
      </w:pPr>
    </w:p>
    <w:p>
      <w:pPr>
        <w:jc w:val="both"/>
        <w:ind w:left="1260" w:right="439" w:firstLine="360"/>
        <w:spacing w:after="0" w:line="294" w:lineRule="auto"/>
        <w:rPr>
          <w:sz w:val="20"/>
          <w:szCs w:val="20"/>
          <w:color w:val="auto"/>
        </w:rPr>
      </w:pPr>
      <w:r>
        <w:rPr>
          <w:rFonts w:ascii="Arial" w:cs="Arial" w:eastAsia="Arial" w:hAnsi="Arial"/>
          <w:sz w:val="16"/>
          <w:szCs w:val="16"/>
          <w:color w:val="auto"/>
        </w:rPr>
        <w:t>We believe Ms. Wong is qualified to serve as a director because of her many years of public accounting experience serving global companies, her deep financial and risk management expertise, and her experience advising sophisticated enterprises in the consumer markets, energy, manufacturing and technology sectors.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Controlled Company Exemption</w:t>
      </w:r>
    </w:p>
    <w:p>
      <w:pPr>
        <w:spacing w:after="0" w:line="15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Our majority stockholder, Ayar, holds approximately 62.7% of our common stock. As a result, we are a “controlled company” within the meaning of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Ayar also has the ability to nominate five of the nine directors to our board of directors. Although as of the date of this prospectus, we do not utilize any of these exemptions, we may elect to utilize one or more of</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439"/>
        <w:spacing w:after="0" w:line="239" w:lineRule="auto"/>
        <w:rPr>
          <w:sz w:val="20"/>
          <w:szCs w:val="20"/>
          <w:color w:val="auto"/>
        </w:rPr>
      </w:pPr>
      <w:r>
        <w:rPr>
          <w:rFonts w:ascii="Arial" w:cs="Arial" w:eastAsia="Arial" w:hAnsi="Arial"/>
          <w:sz w:val="17"/>
          <w:szCs w:val="17"/>
          <w:color w:val="auto"/>
        </w:rPr>
        <w:t>these exemptions for so long as we remain a “controlled company.” Accordingly, you may not have the same protections afforded to stockholders of companies that are subject to all of these corporate governance requirements. In the event that we cease to be a “controlled company” and our shares continue to be listed on Nasdaq, we will be required to comply with these provisions within the applicable transition periods. See “</w:t>
      </w:r>
      <w:r>
        <w:rPr>
          <w:rFonts w:ascii="Arial" w:cs="Arial" w:eastAsia="Arial" w:hAnsi="Arial"/>
          <w:sz w:val="17"/>
          <w:szCs w:val="17"/>
          <w:i w:val="1"/>
          <w:iCs w:val="1"/>
          <w:color w:val="auto"/>
        </w:rPr>
        <w:t>Risk Factors — We are a “controlled company” within the meaning of the applicable rules of Nasdaq and,</w:t>
      </w:r>
      <w:r>
        <w:rPr>
          <w:rFonts w:ascii="Arial" w:cs="Arial" w:eastAsia="Arial" w:hAnsi="Arial"/>
          <w:sz w:val="17"/>
          <w:szCs w:val="17"/>
          <w:color w:val="auto"/>
        </w:rPr>
        <w:t xml:space="preserve"> </w:t>
      </w:r>
      <w:r>
        <w:rPr>
          <w:rFonts w:ascii="Arial" w:cs="Arial" w:eastAsia="Arial" w:hAnsi="Arial"/>
          <w:sz w:val="17"/>
          <w:szCs w:val="17"/>
          <w:i w:val="1"/>
          <w:iCs w:val="1"/>
          <w:color w:val="auto"/>
        </w:rPr>
        <w:t>as a result, qualify for exemptions from certain corporate governance requirements. Our stockholders will not have the same protections afforded to stockholders of companies that are not controlled companies</w:t>
      </w:r>
      <w:r>
        <w:rPr>
          <w:rFonts w:ascii="Arial" w:cs="Arial" w:eastAsia="Arial" w:hAnsi="Arial"/>
          <w:sz w:val="17"/>
          <w:szCs w:val="17"/>
          <w:color w:val="auto"/>
        </w:rPr>
        <w:t>.”</w:t>
      </w:r>
    </w:p>
    <w:p>
      <w:pPr>
        <w:spacing w:after="0" w:line="19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business and affairs are organized under the direction of the Board. Our Board consists of</w:t>
      </w:r>
    </w:p>
    <w:p>
      <w:pPr>
        <w:jc w:val="both"/>
        <w:ind w:left="1260" w:right="519"/>
        <w:spacing w:after="0" w:line="228" w:lineRule="auto"/>
        <w:rPr>
          <w:sz w:val="20"/>
          <w:szCs w:val="20"/>
          <w:color w:val="auto"/>
        </w:rPr>
      </w:pPr>
      <w:r>
        <w:rPr>
          <w:rFonts w:ascii="Arial" w:cs="Arial" w:eastAsia="Arial" w:hAnsi="Arial"/>
          <w:sz w:val="18"/>
          <w:szCs w:val="18"/>
          <w:color w:val="auto"/>
        </w:rPr>
        <w:t>nine (9) members. Andrew Liveris is the Chairman of our Board. The primary responsibilities of our Board are to provide oversight, strategic guidance, counseling and direction to management. Our Board will meet on a regular basis and additionally, as required.</w:t>
      </w:r>
    </w:p>
    <w:p>
      <w:pPr>
        <w:spacing w:after="0" w:line="110" w:lineRule="exact"/>
        <w:rPr>
          <w:sz w:val="20"/>
          <w:szCs w:val="20"/>
          <w:color w:val="auto"/>
        </w:rPr>
      </w:pPr>
    </w:p>
    <w:p>
      <w:pPr>
        <w:ind w:left="1260" w:right="479" w:firstLine="360"/>
        <w:spacing w:after="0" w:line="228" w:lineRule="auto"/>
        <w:rPr>
          <w:sz w:val="20"/>
          <w:szCs w:val="20"/>
          <w:color w:val="auto"/>
        </w:rPr>
      </w:pPr>
      <w:r>
        <w:rPr>
          <w:rFonts w:ascii="Arial" w:cs="Arial" w:eastAsia="Arial" w:hAnsi="Arial"/>
          <w:sz w:val="18"/>
          <w:szCs w:val="18"/>
          <w:color w:val="auto"/>
        </w:rPr>
        <w:t>In accordance with the Investor Rights Agreement, Turqi Alnowaiser, Frank Lindenberg, Andrew Liveris, Nichelle Maynard-Elliott and Tony Posawatz were designated for nomination to the Board by Ayar, Nancy Gioia was designated for nomination to the Board by the Sponsor, Glenn R. August and Janet Wong were designated for nomination to the Board by us, and Peter Rawlinson was nominated to the Board as our CEO.</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44"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7"/>
          <w:szCs w:val="17"/>
          <w:color w:val="auto"/>
        </w:rPr>
        <w:t>Nasdaq rules generally require that independent directors must comprise a majority of listed company’s board of directors. As a controlled company, we are largely exempt from such requirements. Our Board has determined that each of the directors on our Board other than Peter Rawlinson and Nancy Gioia qualify as independent directors, as defined under the listing rules of Nasdaq, and our Board consists of a majority of independent directors, as defined under the rules of the SEC and the listing rules of Nasdaq relating to director independence requirements. In addition, we are subject to the rules of the SEC and Nasdaq relating to the membership, qualifications and operations of the audit committee, as discussed below.</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Family Relationships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48" w:lineRule="exact"/>
        <w:rPr>
          <w:sz w:val="20"/>
          <w:szCs w:val="20"/>
          <w:color w:val="auto"/>
        </w:rPr>
      </w:pPr>
    </w:p>
    <w:p>
      <w:pPr>
        <w:ind w:left="1260" w:right="419" w:firstLine="360"/>
        <w:spacing w:after="0" w:line="224" w:lineRule="auto"/>
        <w:rPr>
          <w:sz w:val="20"/>
          <w:szCs w:val="20"/>
          <w:color w:val="auto"/>
        </w:rPr>
      </w:pPr>
      <w:r>
        <w:rPr>
          <w:rFonts w:ascii="Arial" w:cs="Arial" w:eastAsia="Arial" w:hAnsi="Arial"/>
          <w:sz w:val="18"/>
          <w:szCs w:val="18"/>
          <w:color w:val="auto"/>
        </w:rPr>
        <w:t>Our Board has extensive involvement in the oversight of risk management related to us and our business and accomplishes this oversight through the regular reporting to our Board by the audit committee. The audit committee represents our Board by periodically reviewing our accounting, reporting and financial practices, including the integrity of our financial statements, the surveillance of administrative and financial controls and our compliance with legal and regulatory requirements. Through its regular meetings with management, including the finance, legal, internal audit and information technology functions, the audit committee reviews and discusses all significant areas of our business and summarizes for the Board all areas of risk and the appropriate mitigating factors. In addition, our Board receives periodic detailed operating performance reviews from management.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Arial" w:cs="Arial" w:eastAsia="Arial" w:hAnsi="Arial"/>
          <w:sz w:val="16"/>
          <w:szCs w:val="16"/>
          <w:color w:val="auto"/>
        </w:rPr>
        <w:t>Our Board has an audit committee, a compensation committee, a nominating and corporate governance committee and an executive committee, each of which has the composition and responsibilities described below. Members serve on these committees until their resignation or until otherwise determined by our Board. Each committee operates under a charter that was approved by the Board. The charter of each committee is available on our investor relations website. Information on or that can be accessed through such website is not part of this prospectus. Our Board may from time to time establish other committees.</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Audit Committee</w:t>
      </w:r>
    </w:p>
    <w:p>
      <w:pPr>
        <w:spacing w:after="0" w:line="144"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color w:val="auto"/>
        </w:rPr>
        <w:t>The audit committee consists of Janet Wong, Glenn R. August and Frank Lindenberg, with Janet Wong serving as chairperson. Our Board has determined (i) that each of Janet Wong, Glenn R. August and</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Frank Lindenberg satisfies the requirements for independence and financial literacy under the rules and regulations of Nasdaq and the SEC and (ii) that Janet Wong qualifies as an “audit committee financial expert” as defined in the SEC rules and regulations and satisfies the financial sophistication requirements of Nasdaq. The audit committee is responsible for, among other things:</w:t>
      </w:r>
    </w:p>
    <w:p>
      <w:pPr>
        <w:spacing w:after="0" w:line="79" w:lineRule="exact"/>
        <w:rPr>
          <w:sz w:val="20"/>
          <w:szCs w:val="20"/>
          <w:color w:val="auto"/>
        </w:rPr>
      </w:pPr>
    </w:p>
    <w:p>
      <w:pPr>
        <w:ind w:left="1800" w:hanging="180"/>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selecting and hiring our registered public accounting firm;</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evaluating the performance and independence of our registered public accounting firm;</w:t>
      </w:r>
    </w:p>
    <w:p>
      <w:pPr>
        <w:spacing w:after="0" w:line="117"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approving the audit and pre-approving any non-audit services to be performed by our registered public accounting firm;</w:t>
      </w:r>
    </w:p>
    <w:p>
      <w:pPr>
        <w:spacing w:after="0" w:line="75"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the integrity of our financial statements and related disclosures and reviewing our critical accounting policies and practices;</w:t>
      </w:r>
    </w:p>
    <w:p>
      <w:pPr>
        <w:spacing w:after="0" w:line="62"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policies and procedures and our disclosure controls and procedures;</w:t>
      </w:r>
    </w:p>
    <w:p>
      <w:pPr>
        <w:spacing w:after="0" w:line="62"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overseeing procedures for the treatment of complaints relating to accounting, internal accounting controls or audit matters;</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discussing with management and the registered public accounting firm the results of the annual audit, our quarterly financial statements and our publicly filed reports;</w:t>
      </w:r>
    </w:p>
    <w:p>
      <w:pPr>
        <w:spacing w:after="0" w:line="75" w:lineRule="exact"/>
        <w:rPr>
          <w:rFonts w:ascii="Arial" w:cs="Arial" w:eastAsia="Arial" w:hAnsi="Arial"/>
          <w:sz w:val="18"/>
          <w:szCs w:val="18"/>
          <w:color w:val="auto"/>
        </w:rPr>
      </w:pPr>
    </w:p>
    <w:p>
      <w:pPr>
        <w:ind w:left="1800" w:right="1179" w:hanging="180"/>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related-person transactions;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Compensation Committee</w:t>
      </w:r>
    </w:p>
    <w:p>
      <w:pPr>
        <w:spacing w:after="0" w:line="158" w:lineRule="exact"/>
        <w:rPr>
          <w:sz w:val="20"/>
          <w:szCs w:val="20"/>
          <w:color w:val="auto"/>
        </w:rPr>
      </w:pPr>
    </w:p>
    <w:p>
      <w:pPr>
        <w:ind w:left="1260" w:right="539" w:firstLine="360"/>
        <w:spacing w:after="0" w:line="279" w:lineRule="auto"/>
        <w:rPr>
          <w:sz w:val="20"/>
          <w:szCs w:val="20"/>
          <w:color w:val="auto"/>
        </w:rPr>
      </w:pPr>
      <w:r>
        <w:rPr>
          <w:rFonts w:ascii="Arial" w:cs="Arial" w:eastAsia="Arial" w:hAnsi="Arial"/>
          <w:sz w:val="17"/>
          <w:szCs w:val="17"/>
          <w:color w:val="auto"/>
        </w:rPr>
        <w:t>The compensation committee consists of Andrew Liveris, Frank Lindenberg and Anthony Posawatz, with Andrew Liveris serving as chairperson. Our Board has determined that each of Andrew Liveris, Frank Lindenberg and Anthony Posawatz satisfies the requirements for independence under the rules and regulations of Nasdaq and the SEC. The compensation committee is responsible for, among other things:</w:t>
      </w:r>
    </w:p>
    <w:p>
      <w:pPr>
        <w:spacing w:after="0" w:line="63" w:lineRule="exact"/>
        <w:rPr>
          <w:sz w:val="20"/>
          <w:szCs w:val="20"/>
          <w:color w:val="auto"/>
        </w:rPr>
      </w:pPr>
    </w:p>
    <w:p>
      <w:pPr>
        <w:ind w:left="1800" w:right="699" w:hanging="180"/>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determining, or recommending to the Board for determination, the compensation of our executive officers, including our chief executive officer;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and setting compensation for the members of our Board;</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117"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our overall compensation policies and practices, compensation plans, and benefits programs; and</w:t>
      </w:r>
    </w:p>
    <w:p>
      <w:pPr>
        <w:spacing w:after="0" w:line="62" w:lineRule="exact"/>
        <w:rPr>
          <w:rFonts w:ascii="Arial" w:cs="Arial" w:eastAsia="Arial" w:hAnsi="Arial"/>
          <w:sz w:val="18"/>
          <w:szCs w:val="18"/>
          <w:color w:val="auto"/>
        </w:rPr>
      </w:pPr>
    </w:p>
    <w:p>
      <w:pPr>
        <w:ind w:left="1800" w:right="1199" w:hanging="180"/>
        <w:spacing w:after="0" w:line="27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preparing the compensation committee report that the SEC will require in our annual proxy statement.</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5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nominating and corporate governance committee consists of Turqi Alnowaiser, Glenn R. August and Nichelle Maynard-Elliott, with Turqi Alnowaiser serving as chairperson. Our Board has determined that each of Turqi Alnowaiser, Glenn R. August and Nichelle Maynard-Elliott satisfies the requirements for independence under the rules and regulations of Nasdaq and the SEC. The nominating and corporate governance committee is responsible for, among other things:</w:t>
      </w:r>
    </w:p>
    <w:p>
      <w:pPr>
        <w:spacing w:after="0" w:line="80" w:lineRule="exact"/>
        <w:rPr>
          <w:sz w:val="20"/>
          <w:szCs w:val="20"/>
          <w:color w:val="auto"/>
        </w:rPr>
      </w:pPr>
    </w:p>
    <w:p>
      <w:pPr>
        <w:ind w:left="1800" w:right="479" w:hanging="180"/>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including the consideration of nominees submitted by stockholders, and to each of the Board’s committees;</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evaluating and making recommendations regarding the composition, organization and governance of our Board and its committees;</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8" w:name="page129"/>
    <w:bookmarkEnd w:id="1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99" w:hanging="180"/>
        <w:spacing w:after="0" w:line="27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making recommendations with regard to our corporate governance guidelines and compliance with laws and regulations;</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conflicts of interest of our directors and officers and proposed waivers of our corporate governance guidelines and code of business conducts and ethics;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evaluating the performance of our Board and its committees.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Executive Committee</w:t>
      </w:r>
    </w:p>
    <w:p>
      <w:pPr>
        <w:spacing w:after="0" w:line="14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The executive committee consists of Andrew Liveris, Turqi Alnowaiser, Nancy Gioia, Anthony Posawatz and Peter Rawlinson, with Andrew Liveris serving as chairperson. The executive committee reviews, discusses with management and makes recommendations regarding the implementation and execution of our business plan, operational performance and certain other matters and approves transactions below certain thresholds set by our Board.</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58" w:lineRule="exact"/>
        <w:rPr>
          <w:sz w:val="20"/>
          <w:szCs w:val="20"/>
          <w:color w:val="auto"/>
        </w:rPr>
      </w:pPr>
    </w:p>
    <w:p>
      <w:pPr>
        <w:ind w:left="1260" w:right="659" w:firstLine="360"/>
        <w:spacing w:after="0" w:line="273" w:lineRule="auto"/>
        <w:rPr>
          <w:sz w:val="20"/>
          <w:szCs w:val="20"/>
          <w:color w:val="auto"/>
        </w:rPr>
      </w:pPr>
      <w:r>
        <w:rPr>
          <w:rFonts w:ascii="Arial" w:cs="Arial" w:eastAsia="Arial" w:hAnsi="Arial"/>
          <w:sz w:val="17"/>
          <w:szCs w:val="17"/>
          <w:color w:val="auto"/>
        </w:rPr>
        <w:t>We have adopted a code of business conduct and ethics that applies to all of our employees, officers, and directors, including our executive officers. The full text of the code of business conduct and ethics is available on the investor relations page on our website. We intend to post any amendment to our code of business conduct and ethics, and any waivers of its requirements, on our website or in filings under the Exchange Act to the extent required by applicable rules or regulations or listing requirements of Nasdaq. Information on or that can be accessed through our website is not part of this prospectus.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None of our executive officers currently serves, or has served during the last year, as a member of the board of directors or compensation committee of any entity that has one or more executive officers serving as a member of our Board.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148"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Tony Posawatz, one of our non-employee directors, served as President and Chief Executive Officer of Fisker Automotive from 2012 to 2013. In late 2013, after Mr. Posawatz had left his position, Fisker Automotive filed for bankruptcy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EXECUTIVE COMPENSATION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62"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The following table sets forth information concerning the compensation paid to Lucid’s principal executive officer during Lucid’s fiscal year ended December 31, 2020 and Lucid’s two other most highly compensated executive officers during the fiscal year ended December 31, 2020 (collectively, the “</w:t>
      </w:r>
      <w:r>
        <w:rPr>
          <w:rFonts w:ascii="Arial" w:cs="Arial" w:eastAsia="Arial" w:hAnsi="Arial"/>
          <w:sz w:val="17"/>
          <w:szCs w:val="17"/>
          <w:i w:val="1"/>
          <w:iCs w:val="1"/>
          <w:color w:val="auto"/>
        </w:rPr>
        <w:t>NEOs</w:t>
      </w:r>
      <w:r>
        <w:rPr>
          <w:rFonts w:ascii="Arial" w:cs="Arial" w:eastAsia="Arial" w:hAnsi="Arial"/>
          <w:sz w:val="17"/>
          <w:szCs w:val="17"/>
          <w:color w:val="auto"/>
        </w:rPr>
        <w:t>”).</w:t>
      </w:r>
    </w:p>
    <w:p>
      <w:pPr>
        <w:spacing w:after="0" w:line="16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2020 SUMMARY COMPENSATION TABLE</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Salary</w:t>
            </w:r>
          </w:p>
        </w:tc>
        <w:tc>
          <w:tcPr>
            <w:tcW w:w="82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Bonus</w:t>
            </w:r>
          </w:p>
        </w:tc>
        <w:tc>
          <w:tcPr>
            <w:tcW w:w="82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86"/>
              </w:rPr>
              <w:t>Awards</w:t>
            </w:r>
          </w:p>
        </w:tc>
        <w:tc>
          <w:tcPr>
            <w:tcW w:w="110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88"/>
              </w:rPr>
              <w:t>Compensation</w:t>
            </w:r>
          </w:p>
        </w:tc>
        <w:tc>
          <w:tcPr>
            <w:tcW w:w="740" w:type="dxa"/>
            <w:vAlign w:val="bottom"/>
          </w:tcPr>
          <w:p>
            <w:pPr>
              <w:jc w:val="right"/>
              <w:ind w:right="137"/>
              <w:spacing w:after="0" w:line="15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1"/>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center"/>
              <w:spacing w:after="0" w:line="231" w:lineRule="exact"/>
              <w:rPr>
                <w:sz w:val="20"/>
                <w:szCs w:val="20"/>
                <w:color w:val="auto"/>
              </w:rPr>
            </w:pPr>
            <w:r>
              <w:rPr>
                <w:rFonts w:ascii="Arial" w:cs="Arial" w:eastAsia="Arial" w:hAnsi="Arial"/>
                <w:sz w:val="26"/>
                <w:szCs w:val="26"/>
                <w:b w:val="1"/>
                <w:bCs w:val="1"/>
                <w:color w:val="auto"/>
                <w:w w:val="83"/>
                <w:vertAlign w:val="subscript"/>
              </w:rPr>
              <w:t>($)</w:t>
            </w:r>
            <w:r>
              <w:rPr>
                <w:rFonts w:ascii="Arial" w:cs="Arial" w:eastAsia="Arial" w:hAnsi="Arial"/>
                <w:sz w:val="10"/>
                <w:szCs w:val="10"/>
                <w:b w:val="1"/>
                <w:bCs w:val="1"/>
                <w:color w:val="auto"/>
                <w:w w:val="83"/>
              </w:rPr>
              <w:t>(1)</w:t>
            </w:r>
          </w:p>
        </w:tc>
        <w:tc>
          <w:tcPr>
            <w:tcW w:w="2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center"/>
              <w:spacing w:after="0" w:line="231" w:lineRule="exact"/>
              <w:rPr>
                <w:sz w:val="20"/>
                <w:szCs w:val="20"/>
                <w:color w:val="auto"/>
              </w:rPr>
            </w:pPr>
            <w:r>
              <w:rPr>
                <w:rFonts w:ascii="Arial" w:cs="Arial" w:eastAsia="Arial" w:hAnsi="Arial"/>
                <w:sz w:val="26"/>
                <w:szCs w:val="26"/>
                <w:b w:val="1"/>
                <w:bCs w:val="1"/>
                <w:color w:val="auto"/>
                <w:w w:val="83"/>
                <w:vertAlign w:val="subscript"/>
              </w:rPr>
              <w:t>($)</w:t>
            </w:r>
            <w:r>
              <w:rPr>
                <w:rFonts w:ascii="Arial" w:cs="Arial" w:eastAsia="Arial" w:hAnsi="Arial"/>
                <w:sz w:val="10"/>
                <w:szCs w:val="10"/>
                <w:b w:val="1"/>
                <w:bCs w:val="1"/>
                <w:color w:val="auto"/>
                <w:w w:val="83"/>
              </w:rPr>
              <w:t>(2)</w:t>
            </w:r>
          </w:p>
        </w:tc>
        <w:tc>
          <w:tcPr>
            <w:tcW w:w="2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center"/>
              <w:spacing w:after="0" w:line="231" w:lineRule="exact"/>
              <w:rPr>
                <w:sz w:val="20"/>
                <w:szCs w:val="20"/>
                <w:color w:val="auto"/>
              </w:rPr>
            </w:pPr>
            <w:r>
              <w:rPr>
                <w:rFonts w:ascii="Arial" w:cs="Arial" w:eastAsia="Arial" w:hAnsi="Arial"/>
                <w:sz w:val="26"/>
                <w:szCs w:val="26"/>
                <w:b w:val="1"/>
                <w:bCs w:val="1"/>
                <w:color w:val="auto"/>
                <w:w w:val="83"/>
                <w:vertAlign w:val="subscript"/>
              </w:rPr>
              <w:t>($)</w:t>
            </w:r>
            <w:r>
              <w:rPr>
                <w:rFonts w:ascii="Arial" w:cs="Arial" w:eastAsia="Arial" w:hAnsi="Arial"/>
                <w:sz w:val="10"/>
                <w:szCs w:val="10"/>
                <w:b w:val="1"/>
                <w:bCs w:val="1"/>
                <w:color w:val="auto"/>
                <w:w w:val="83"/>
              </w:rPr>
              <w:t>(3)</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line="231" w:lineRule="exact"/>
              <w:rPr>
                <w:sz w:val="20"/>
                <w:szCs w:val="20"/>
                <w:color w:val="auto"/>
              </w:rPr>
            </w:pPr>
            <w:r>
              <w:rPr>
                <w:rFonts w:ascii="Arial" w:cs="Arial" w:eastAsia="Arial" w:hAnsi="Arial"/>
                <w:sz w:val="26"/>
                <w:szCs w:val="26"/>
                <w:b w:val="1"/>
                <w:bCs w:val="1"/>
                <w:color w:val="auto"/>
                <w:w w:val="83"/>
                <w:vertAlign w:val="subscript"/>
              </w:rPr>
              <w:t>($)</w:t>
            </w:r>
            <w:r>
              <w:rPr>
                <w:rFonts w:ascii="Arial" w:cs="Arial" w:eastAsia="Arial" w:hAnsi="Arial"/>
                <w:sz w:val="10"/>
                <w:szCs w:val="10"/>
                <w:b w:val="1"/>
                <w:bCs w:val="1"/>
                <w:color w:val="auto"/>
                <w:w w:val="83"/>
              </w:rPr>
              <w:t>(4)</w:t>
            </w:r>
          </w:p>
        </w:tc>
        <w:tc>
          <w:tcPr>
            <w:tcW w:w="2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2"/>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Rawlinson</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 and Chief</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Technology Officer</w:t>
            </w:r>
          </w:p>
        </w:tc>
        <w:tc>
          <w:tcPr>
            <w:tcW w:w="5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2020</w:t>
            </w:r>
          </w:p>
        </w:tc>
        <w:tc>
          <w:tcPr>
            <w:tcW w:w="8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468,077</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210,000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678,007</w:t>
            </w:r>
          </w:p>
        </w:tc>
        <w:tc>
          <w:tcPr>
            <w:tcW w:w="0" w:type="dxa"/>
            <w:vAlign w:val="bottom"/>
          </w:tcPr>
          <w:p>
            <w:pPr>
              <w:spacing w:after="0"/>
              <w:rPr>
                <w:sz w:val="1"/>
                <w:szCs w:val="1"/>
                <w:color w:val="auto"/>
              </w:rPr>
            </w:pPr>
          </w:p>
        </w:tc>
      </w:tr>
      <w:tr>
        <w:trPr>
          <w:trHeight w:val="229"/>
        </w:trPr>
        <w:tc>
          <w:tcPr>
            <w:tcW w:w="3300" w:type="dxa"/>
            <w:vAlign w:val="bottom"/>
            <w:gridSpan w:val="2"/>
          </w:tcPr>
          <w:p>
            <w:pPr>
              <w:spacing w:after="0"/>
              <w:rPr>
                <w:sz w:val="20"/>
                <w:szCs w:val="20"/>
                <w:color w:val="auto"/>
              </w:rPr>
            </w:pPr>
            <w:r>
              <w:rPr>
                <w:rFonts w:ascii="Arial" w:cs="Arial" w:eastAsia="Arial" w:hAnsi="Arial"/>
                <w:sz w:val="18"/>
                <w:szCs w:val="18"/>
                <w:color w:val="auto"/>
              </w:rPr>
              <w:t>Eric Bach</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80"/>
              <w:spacing w:after="0"/>
              <w:rPr>
                <w:sz w:val="20"/>
                <w:szCs w:val="20"/>
                <w:color w:val="auto"/>
              </w:rPr>
            </w:pPr>
            <w:r>
              <w:rPr>
                <w:rFonts w:ascii="Arial" w:cs="Arial" w:eastAsia="Arial" w:hAnsi="Arial"/>
                <w:sz w:val="18"/>
                <w:szCs w:val="18"/>
                <w:i w:val="1"/>
                <w:iCs w:val="1"/>
                <w:color w:val="auto"/>
              </w:rPr>
              <w:t>Senior Vice President, Product and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Engineer</w:t>
            </w:r>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2020</w:t>
            </w: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346,731</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100,000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691,220</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1,137,951</w:t>
            </w: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Smuts</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Vice President, Finance</w:t>
            </w:r>
          </w:p>
        </w:tc>
        <w:tc>
          <w:tcPr>
            <w:tcW w:w="58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8"/>
                <w:szCs w:val="18"/>
                <w:color w:val="auto"/>
                <w:w w:val="89"/>
              </w:rPr>
              <w:t>2020</w:t>
            </w:r>
          </w:p>
        </w:tc>
        <w:tc>
          <w:tcPr>
            <w:tcW w:w="84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8"/>
                <w:szCs w:val="18"/>
                <w:color w:val="auto"/>
                <w:w w:val="89"/>
              </w:rPr>
              <w:t>306,000</w:t>
            </w:r>
          </w:p>
        </w:tc>
        <w:tc>
          <w:tcPr>
            <w:tcW w:w="8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8"/>
                <w:szCs w:val="18"/>
                <w:color w:val="auto"/>
                <w:w w:val="89"/>
              </w:rPr>
              <w:t>115,000</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89"/>
              </w:rPr>
              <w:t>158,614</w:t>
            </w:r>
          </w:p>
        </w:tc>
        <w:tc>
          <w:tcPr>
            <w:tcW w:w="880" w:type="dxa"/>
            <w:vAlign w:val="bottom"/>
            <w:vMerge w:val="restart"/>
            <w:shd w:val="clear" w:color="auto" w:fill="CCEEFF"/>
          </w:tcPr>
          <w:p>
            <w:pPr>
              <w:jc w:val="right"/>
              <w:ind w:right="122"/>
              <w:spacing w:after="0"/>
              <w:rPr>
                <w:sz w:val="20"/>
                <w:szCs w:val="20"/>
                <w:color w:val="auto"/>
              </w:rPr>
            </w:pPr>
            <w:r>
              <w:rPr>
                <w:rFonts w:ascii="Arial" w:cs="Arial" w:eastAsia="Arial" w:hAnsi="Arial"/>
                <w:sz w:val="18"/>
                <w:szCs w:val="18"/>
                <w:color w:val="auto"/>
              </w:rPr>
              <w:t>38,447</w:t>
            </w:r>
          </w:p>
        </w:tc>
        <w:tc>
          <w:tcPr>
            <w:tcW w:w="22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618,061</w:t>
            </w:r>
          </w:p>
        </w:tc>
        <w:tc>
          <w:tcPr>
            <w:tcW w:w="0" w:type="dxa"/>
            <w:vAlign w:val="bottom"/>
          </w:tcPr>
          <w:p>
            <w:pPr>
              <w:spacing w:after="0"/>
              <w:rPr>
                <w:sz w:val="1"/>
                <w:szCs w:val="1"/>
                <w:color w:val="auto"/>
              </w:rPr>
            </w:pPr>
          </w:p>
        </w:tc>
      </w:tr>
      <w:tr>
        <w:trPr>
          <w:trHeight w:val="121"/>
        </w:trPr>
        <w:tc>
          <w:tcPr>
            <w:tcW w:w="3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-1268095</wp:posOffset>
            </wp:positionV>
            <wp:extent cx="325755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2575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0" w:lineRule="exact"/>
        <w:rPr>
          <w:sz w:val="20"/>
          <w:szCs w:val="20"/>
          <w:color w:val="auto"/>
        </w:rPr>
      </w:pPr>
    </w:p>
    <w:p>
      <w:pPr>
        <w:jc w:val="both"/>
        <w:ind w:left="1620" w:right="499" w:hanging="360"/>
        <w:spacing w:after="0" w:line="259"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Effective as of April 13, 2020, Lucid implemented a reduction in salary for the NEOs for 12 weeks in response to the COVID-19 pandemic. During such time, Lucid reduced the bi-weekly salary payments of the NEOs by 20% for Mr. Rawlinson and 15% for Mr. Bach and Mr. Smuts. Salaries were reinstated 12 weeks later. Amounts in this column reflect those temporary reductions.</w:t>
      </w:r>
    </w:p>
    <w:p>
      <w:pPr>
        <w:spacing w:after="0" w:line="38" w:lineRule="exact"/>
        <w:rPr>
          <w:rFonts w:ascii="Arial" w:cs="Arial" w:eastAsia="Arial" w:hAnsi="Arial"/>
          <w:sz w:val="18"/>
          <w:szCs w:val="18"/>
          <w:color w:val="auto"/>
        </w:rPr>
      </w:pPr>
    </w:p>
    <w:p>
      <w:pPr>
        <w:ind w:left="1620" w:right="639" w:hanging="360"/>
        <w:spacing w:after="0" w:line="263"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Mr. Smuts’ bonus payment includes his 2020 bonus of $80,000, paid in 2021, and a sign-on bonus of $35,000, which was subject to repayment to Lucid if Mr. Smuts had voluntarily resigned from his employment or was terminated for “cause” before January 13, 2021.</w:t>
      </w:r>
    </w:p>
    <w:p>
      <w:pPr>
        <w:spacing w:after="0" w:line="21" w:lineRule="exact"/>
        <w:rPr>
          <w:rFonts w:ascii="Arial" w:cs="Arial" w:eastAsia="Arial" w:hAnsi="Arial"/>
          <w:sz w:val="18"/>
          <w:szCs w:val="18"/>
          <w:color w:val="auto"/>
        </w:rPr>
      </w:pPr>
    </w:p>
    <w:p>
      <w:pPr>
        <w:ind w:left="1620" w:right="699" w:hanging="360"/>
        <w:spacing w:after="0" w:line="277"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column represents the aggregate grant date fair value computed in accordance with FASB ASC Topic 718 for all stock option awards granted in 2020.</w:t>
      </w:r>
    </w:p>
    <w:p>
      <w:pPr>
        <w:spacing w:after="0" w:line="8" w:lineRule="exact"/>
        <w:rPr>
          <w:rFonts w:ascii="Arial" w:cs="Arial" w:eastAsia="Arial" w:hAnsi="Arial"/>
          <w:sz w:val="18"/>
          <w:szCs w:val="18"/>
          <w:color w:val="auto"/>
        </w:rPr>
      </w:pPr>
    </w:p>
    <w:p>
      <w:pPr>
        <w:ind w:left="1620" w:right="539" w:hanging="360"/>
        <w:spacing w:after="0" w:line="277"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under the “All Other Compensation” column for Mr. Smuts includes relocation services paid by Lucid totaling $35,447 and a relocation allowance payment of $3,000.</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Executive Offer Letters</w:t>
      </w:r>
    </w:p>
    <w:p>
      <w:pPr>
        <w:spacing w:after="0" w:line="15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Lucid entered into offer letters with Messrs. Rawlinson, Bach and Smuts each of which provides for at-will employment and provides for no specified term of employment. In addition, as a condition of their employment, each of the NEOs was required to sign a Confidential Information and Invention Assignment Agreement which includes, among other provisions, a 24-month post-employment non solicit of employees and customers, a perpetual confidentiality covenant and an assignment of inventions provision.</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each of the NEOs is a party to the Atieva USA, Inc. Severance Benefit Plan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Severance Plan</w:t>
      </w:r>
      <w:r>
        <w:rPr>
          <w:rFonts w:ascii="Arial" w:cs="Arial" w:eastAsia="Arial" w:hAnsi="Arial"/>
          <w:sz w:val="18"/>
          <w:szCs w:val="18"/>
          <w:color w:val="auto"/>
        </w:rPr>
        <w:t xml:space="preserve">”), which is described more fully below under the heading entitled “— </w:t>
      </w:r>
      <w:r>
        <w:rPr>
          <w:rFonts w:ascii="Arial" w:cs="Arial" w:eastAsia="Arial" w:hAnsi="Arial"/>
          <w:sz w:val="18"/>
          <w:szCs w:val="18"/>
          <w:i w:val="1"/>
          <w:iCs w:val="1"/>
          <w:color w:val="auto"/>
        </w:rPr>
        <w:t>Termination and</w:t>
      </w:r>
    </w:p>
    <w:p>
      <w:pPr>
        <w:ind w:left="1260"/>
        <w:spacing w:after="0"/>
        <w:rPr>
          <w:sz w:val="20"/>
          <w:szCs w:val="20"/>
          <w:color w:val="auto"/>
        </w:rPr>
      </w:pPr>
      <w:r>
        <w:rPr>
          <w:rFonts w:ascii="Arial" w:cs="Arial" w:eastAsia="Arial" w:hAnsi="Arial"/>
          <w:sz w:val="18"/>
          <w:szCs w:val="18"/>
          <w:i w:val="1"/>
          <w:iCs w:val="1"/>
          <w:color w:val="auto"/>
        </w:rPr>
        <w:t>Change in Control Benefits</w:t>
      </w:r>
      <w:r>
        <w:rPr>
          <w:rFonts w:ascii="Arial" w:cs="Arial" w:eastAsia="Arial" w:hAnsi="Arial"/>
          <w:sz w:val="18"/>
          <w:szCs w:val="18"/>
          <w:color w:val="auto"/>
        </w:rPr>
        <w:t>.”</w:t>
      </w:r>
    </w:p>
    <w:p>
      <w:pPr>
        <w:spacing w:after="0" w:line="115"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In addition, as described in the Summary Compensation Table above, Mr. Smuts’ offer letter provided for a sign-on bonus of $35,000, which amount was subject to repayment to Lucid if he resigned from his employment or was terminated by Lucid for “cause” before January 13, 2021, which was the first anniversary of his hire date. Mr. Smuts was also entitled to relocation benefits, which is also described in the Summary Compensation Table above.</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Annual Bonus Compensation</w:t>
      </w:r>
    </w:p>
    <w:p>
      <w:pPr>
        <w:spacing w:after="0" w:line="158" w:lineRule="exact"/>
        <w:rPr>
          <w:sz w:val="20"/>
          <w:szCs w:val="20"/>
          <w:color w:val="auto"/>
        </w:rPr>
      </w:pPr>
    </w:p>
    <w:p>
      <w:pPr>
        <w:ind w:left="1260" w:right="819" w:firstLine="360"/>
        <w:spacing w:after="0" w:line="248" w:lineRule="auto"/>
        <w:rPr>
          <w:sz w:val="20"/>
          <w:szCs w:val="20"/>
          <w:color w:val="auto"/>
        </w:rPr>
      </w:pPr>
      <w:r>
        <w:rPr>
          <w:rFonts w:ascii="Arial" w:cs="Arial" w:eastAsia="Arial" w:hAnsi="Arial"/>
          <w:sz w:val="18"/>
          <w:szCs w:val="18"/>
          <w:color w:val="auto"/>
        </w:rPr>
        <w:t>In 2020, Messrs. Rawlinson, Bach and Smuts were eligible to earn annual cash bonuses targeted at 50%, 30% and 30%, respectively, of their base salaries. Mr. Smuts’ annual cash bonus was pro-rated because</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0" w:name="page131"/>
    <w:bookmarkEnd w:id="1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he joined Lucid in mid-January 2020. For 2020, in response to the COVID-19 pandemic, Lucid’s compensation committee determined that the annual cash bonuses would be paid out at less than target. The actual cash bonus awarded to the NEOs in respect of 2020 is set forth in the “Bonus” column of the Summary Compensation Table above.</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CEO Transaction Bonus</w:t>
      </w:r>
    </w:p>
    <w:p>
      <w:pPr>
        <w:spacing w:after="0" w:line="144"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In recognition of Mr. Rawlinson’s efforts on the Merger, the Board approved a $2 million transaction bonus payable to Mr. Rawlinson, subject to: (i) the closing of the Merger, (ii) Mr. Rawlinson’s continued employment through the Closing Date and (iii) Mr. Rawlinson not giving notice of his intent to resign on or before the Closing Date. The transaction bonus will be paid to Mr. Rawlinson on the Company’s first regularly scheduled payroll date after the closing.</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Equity Awards</w:t>
      </w:r>
    </w:p>
    <w:p>
      <w:pPr>
        <w:spacing w:after="0" w:line="15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During 2020, Lucid’s compensation committee approved grants of options to Messrs. Bach and Smuts with a grant date fair value of $691,220 and $158,614, respectively. The options for Mr. Bach are scheduled to vest ratably in forty-eight (48) equal monthly installments over four years, subject to continued employment through each applicable vesting date. The options for Mr. Smuts vest over four (4) years, with 25% vesting on the one-year anniversary of his hire date and the remaining 75% vesting in thirty-six (36) equal monthly installments thereafter.</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Retirement</w:t>
      </w:r>
    </w:p>
    <w:p>
      <w:pPr>
        <w:spacing w:after="0" w:line="158"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We maintain a 401(k) retirement savings plan for our employees in the United States, including the NEOs, who satisfy certain eligibility requirements. Our NEOs are eligible to participate in the 401(k) plan on the same terms as other full-time employees.</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Employee Benefits and Perquisites</w:t>
      </w:r>
    </w:p>
    <w:p>
      <w:pPr>
        <w:spacing w:after="0" w:line="144" w:lineRule="exact"/>
        <w:rPr>
          <w:sz w:val="20"/>
          <w:szCs w:val="20"/>
          <w:color w:val="auto"/>
        </w:rPr>
      </w:pPr>
    </w:p>
    <w:p>
      <w:pPr>
        <w:jc w:val="both"/>
        <w:ind w:left="1260" w:right="439" w:firstLine="360"/>
        <w:spacing w:after="0" w:line="263" w:lineRule="auto"/>
        <w:rPr>
          <w:sz w:val="20"/>
          <w:szCs w:val="20"/>
          <w:color w:val="auto"/>
        </w:rPr>
      </w:pPr>
      <w:r>
        <w:rPr>
          <w:rFonts w:ascii="Arial" w:cs="Arial" w:eastAsia="Arial" w:hAnsi="Arial"/>
          <w:sz w:val="18"/>
          <w:szCs w:val="18"/>
          <w:color w:val="auto"/>
        </w:rPr>
        <w:t>All of our full-time employees, including the NEOs, are eligible to participate in our health and welfare plans, including medical, dental and vision benefits, medical and dependent care flexible spending accounts, short-term and long-term disability insurance and life insurance.</w:t>
      </w:r>
    </w:p>
    <w:p>
      <w:pPr>
        <w:spacing w:after="0" w:line="116"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Lucid also provided relocation services and a relocation allowance payment to Mr. Smuts in the amounts set forth in the Summary Compensation Table above. In addition, we pay for the life insurance premiums for the NEOs in the amounts set forth in the Summary Compensation Table above.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62"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The following table sets forth information concerning unexercised options for the NEOs as of the end of Lucid’s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ind w:left="400"/>
              <w:spacing w:after="0"/>
              <w:rPr>
                <w:sz w:val="20"/>
                <w:szCs w:val="20"/>
                <w:color w:val="auto"/>
              </w:rPr>
            </w:pPr>
            <w:r>
              <w:rPr>
                <w:rFonts w:ascii="Arial" w:cs="Arial" w:eastAsia="Arial" w:hAnsi="Arial"/>
                <w:sz w:val="14"/>
                <w:szCs w:val="14"/>
                <w:b w:val="1"/>
                <w:bCs w:val="1"/>
                <w:color w:val="auto"/>
              </w:rPr>
              <w:t>Option Awards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Securities</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Securities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Underlying</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Underlying</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Unexercised</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Unexercised</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Options (#)</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Options (#)</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Exercisable</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Unexercisable</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186"/>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Price ($)</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6"/>
        </w:trPr>
        <w:tc>
          <w:tcPr>
            <w:tcW w:w="4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Rawlinson</w:t>
            </w:r>
          </w:p>
        </w:tc>
        <w:tc>
          <w:tcPr>
            <w:tcW w:w="100" w:type="dxa"/>
            <w:vAlign w:val="bottom"/>
            <w:shd w:val="clear" w:color="auto" w:fill="CCEEFF"/>
          </w:tcPr>
          <w:p>
            <w:pPr>
              <w:spacing w:after="0"/>
              <w:rPr>
                <w:sz w:val="19"/>
                <w:szCs w:val="19"/>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99,000</w:t>
            </w:r>
          </w:p>
        </w:tc>
        <w:tc>
          <w:tcPr>
            <w:tcW w:w="10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0.47</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05/02/2023</w:t>
            </w:r>
          </w:p>
        </w:tc>
        <w:tc>
          <w:tcPr>
            <w:tcW w:w="0" w:type="dxa"/>
            <w:vAlign w:val="bottom"/>
          </w:tcPr>
          <w:p>
            <w:pPr>
              <w:spacing w:after="0"/>
              <w:rPr>
                <w:sz w:val="1"/>
                <w:szCs w:val="1"/>
                <w:color w:val="auto"/>
              </w:rPr>
            </w:pPr>
          </w:p>
        </w:tc>
      </w:tr>
      <w:tr>
        <w:trPr>
          <w:trHeight w:val="217"/>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 and Chief Technology Officer</w:t>
            </w: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1,662,412</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0.97</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04/16/2025</w:t>
            </w:r>
          </w:p>
        </w:tc>
        <w:tc>
          <w:tcPr>
            <w:tcW w:w="0" w:type="dxa"/>
            <w:vAlign w:val="bottom"/>
          </w:tcPr>
          <w:p>
            <w:pPr>
              <w:spacing w:after="0"/>
              <w:rPr>
                <w:sz w:val="1"/>
                <w:szCs w:val="1"/>
                <w:color w:val="auto"/>
              </w:rPr>
            </w:pPr>
          </w:p>
        </w:tc>
      </w:tr>
      <w:tr>
        <w:trPr>
          <w:trHeight w:val="270"/>
        </w:trPr>
        <w:tc>
          <w:tcPr>
            <w:tcW w:w="4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40"/>
              <w:spacing w:after="0" w:line="270" w:lineRule="exact"/>
              <w:rPr>
                <w:sz w:val="20"/>
                <w:szCs w:val="20"/>
                <w:color w:val="auto"/>
              </w:rPr>
            </w:pPr>
            <w:r>
              <w:rPr>
                <w:rFonts w:ascii="Arial" w:cs="Arial" w:eastAsia="Arial" w:hAnsi="Arial"/>
                <w:sz w:val="18"/>
                <w:szCs w:val="18"/>
                <w:color w:val="auto"/>
                <w:w w:val="88"/>
              </w:rPr>
              <w:t>2,812,500</w:t>
            </w:r>
            <w:r>
              <w:rPr>
                <w:rFonts w:ascii="Arial" w:cs="Arial" w:eastAsia="Arial" w:hAnsi="Arial"/>
                <w:sz w:val="26"/>
                <w:szCs w:val="26"/>
                <w:color w:val="auto"/>
                <w:w w:val="88"/>
                <w:vertAlign w:val="superscript"/>
              </w:rPr>
              <w:t>(1)</w:t>
            </w:r>
          </w:p>
        </w:tc>
        <w:tc>
          <w:tcPr>
            <w:tcW w:w="1080" w:type="dxa"/>
            <w:vAlign w:val="bottom"/>
            <w:gridSpan w:val="2"/>
            <w:shd w:val="clear" w:color="auto" w:fill="CCEEFF"/>
          </w:tcPr>
          <w:p>
            <w:pPr>
              <w:jc w:val="right"/>
              <w:ind w:right="200"/>
              <w:spacing w:after="0" w:line="270" w:lineRule="exact"/>
              <w:rPr>
                <w:sz w:val="20"/>
                <w:szCs w:val="20"/>
                <w:color w:val="auto"/>
              </w:rPr>
            </w:pPr>
            <w:r>
              <w:rPr>
                <w:rFonts w:ascii="Arial" w:cs="Arial" w:eastAsia="Arial" w:hAnsi="Arial"/>
                <w:sz w:val="18"/>
                <w:szCs w:val="18"/>
                <w:color w:val="auto"/>
                <w:w w:val="99"/>
              </w:rPr>
              <w:t>187,500</w:t>
            </w:r>
            <w:r>
              <w:rPr>
                <w:rFonts w:ascii="Arial" w:cs="Arial" w:eastAsia="Arial" w:hAnsi="Arial"/>
                <w:sz w:val="26"/>
                <w:szCs w:val="26"/>
                <w:color w:val="auto"/>
                <w:w w:val="99"/>
                <w:vertAlign w:val="superscript"/>
              </w:rPr>
              <w:t>(1)</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2.19</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04/21/2029</w:t>
            </w: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Eric Bach</w:t>
            </w: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149,990</w:t>
            </w: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5"/>
              </w:rPr>
              <w:t>0.97</w:t>
            </w:r>
          </w:p>
        </w:tc>
        <w:tc>
          <w:tcPr>
            <w:tcW w:w="220" w:type="dxa"/>
            <w:vAlign w:val="bottom"/>
          </w:tcPr>
          <w:p>
            <w:pPr>
              <w:spacing w:after="0"/>
              <w:rPr>
                <w:sz w:val="19"/>
                <w:szCs w:val="19"/>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0"/>
              </w:rPr>
              <w:t>06/01/2025</w:t>
            </w:r>
          </w:p>
        </w:tc>
        <w:tc>
          <w:tcPr>
            <w:tcW w:w="0" w:type="dxa"/>
            <w:vAlign w:val="bottom"/>
          </w:tcPr>
          <w:p>
            <w:pPr>
              <w:spacing w:after="0"/>
              <w:rPr>
                <w:sz w:val="1"/>
                <w:szCs w:val="1"/>
                <w:color w:val="auto"/>
              </w:rPr>
            </w:pPr>
          </w:p>
        </w:tc>
      </w:tr>
      <w:tr>
        <w:trPr>
          <w:trHeight w:val="230"/>
        </w:trPr>
        <w:tc>
          <w:tcPr>
            <w:tcW w:w="4480" w:type="dxa"/>
            <w:vAlign w:val="bottom"/>
            <w:gridSpan w:val="2"/>
          </w:tcPr>
          <w:p>
            <w:pPr>
              <w:ind w:left="180"/>
              <w:spacing w:after="0"/>
              <w:rPr>
                <w:sz w:val="20"/>
                <w:szCs w:val="20"/>
                <w:color w:val="auto"/>
              </w:rPr>
            </w:pPr>
            <w:r>
              <w:rPr>
                <w:rFonts w:ascii="Arial" w:cs="Arial" w:eastAsia="Arial" w:hAnsi="Arial"/>
                <w:sz w:val="18"/>
                <w:szCs w:val="18"/>
                <w:i w:val="1"/>
                <w:iCs w:val="1"/>
                <w:color w:val="auto"/>
              </w:rPr>
              <w:t>Senior Vice President, Product and Chief Engineer</w:t>
            </w:r>
          </w:p>
        </w:tc>
        <w:tc>
          <w:tcPr>
            <w:tcW w:w="1060" w:type="dxa"/>
            <w:vAlign w:val="bottom"/>
            <w:gridSpan w:val="3"/>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5,000</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1.43</w:t>
            </w:r>
          </w:p>
        </w:tc>
        <w:tc>
          <w:tcPr>
            <w:tcW w:w="2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12/16/2025</w:t>
            </w:r>
          </w:p>
        </w:tc>
        <w:tc>
          <w:tcPr>
            <w:tcW w:w="0" w:type="dxa"/>
            <w:vAlign w:val="bottom"/>
          </w:tcPr>
          <w:p>
            <w:pPr>
              <w:spacing w:after="0"/>
              <w:rPr>
                <w:sz w:val="1"/>
                <w:szCs w:val="1"/>
                <w:color w:val="auto"/>
              </w:rPr>
            </w:pPr>
          </w:p>
        </w:tc>
      </w:tr>
      <w:tr>
        <w:trPr>
          <w:trHeight w:val="273"/>
        </w:trPr>
        <w:tc>
          <w:tcPr>
            <w:tcW w:w="4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3"/>
          </w:tcPr>
          <w:p>
            <w:pPr>
              <w:jc w:val="right"/>
              <w:ind w:right="40"/>
              <w:spacing w:after="0" w:line="272" w:lineRule="exact"/>
              <w:rPr>
                <w:sz w:val="20"/>
                <w:szCs w:val="20"/>
                <w:color w:val="auto"/>
              </w:rPr>
            </w:pPr>
            <w:r>
              <w:rPr>
                <w:rFonts w:ascii="Arial" w:cs="Arial" w:eastAsia="Arial" w:hAnsi="Arial"/>
                <w:sz w:val="18"/>
                <w:szCs w:val="18"/>
                <w:color w:val="auto"/>
              </w:rPr>
              <w:t>325,000</w:t>
            </w:r>
            <w:r>
              <w:rPr>
                <w:rFonts w:ascii="Arial" w:cs="Arial" w:eastAsia="Arial" w:hAnsi="Arial"/>
                <w:sz w:val="26"/>
                <w:szCs w:val="26"/>
                <w:color w:val="auto"/>
                <w:vertAlign w:val="superscript"/>
              </w:rPr>
              <w:t>(1)</w:t>
            </w:r>
          </w:p>
        </w:tc>
        <w:tc>
          <w:tcPr>
            <w:tcW w:w="1080" w:type="dxa"/>
            <w:vAlign w:val="bottom"/>
            <w:gridSpan w:val="2"/>
          </w:tcPr>
          <w:p>
            <w:pPr>
              <w:jc w:val="right"/>
              <w:ind w:right="200"/>
              <w:spacing w:after="0" w:line="272" w:lineRule="exact"/>
              <w:rPr>
                <w:sz w:val="20"/>
                <w:szCs w:val="20"/>
                <w:color w:val="auto"/>
              </w:rPr>
            </w:pPr>
            <w:r>
              <w:rPr>
                <w:rFonts w:ascii="Arial" w:cs="Arial" w:eastAsia="Arial" w:hAnsi="Arial"/>
                <w:sz w:val="18"/>
                <w:szCs w:val="18"/>
                <w:color w:val="auto"/>
              </w:rPr>
              <w:t>75,000</w:t>
            </w:r>
            <w:r>
              <w:rPr>
                <w:rFonts w:ascii="Arial" w:cs="Arial" w:eastAsia="Arial" w:hAnsi="Arial"/>
                <w:sz w:val="26"/>
                <w:szCs w:val="26"/>
                <w:color w:val="auto"/>
                <w:vertAlign w:val="superscript"/>
              </w:rPr>
              <w:t>(1)</w:t>
            </w: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2.19</w:t>
            </w:r>
          </w:p>
        </w:tc>
        <w:tc>
          <w:tcPr>
            <w:tcW w:w="2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04/21/2029</w:t>
            </w:r>
          </w:p>
        </w:tc>
        <w:tc>
          <w:tcPr>
            <w:tcW w:w="0" w:type="dxa"/>
            <w:vAlign w:val="bottom"/>
          </w:tcPr>
          <w:p>
            <w:pPr>
              <w:spacing w:after="0"/>
              <w:rPr>
                <w:sz w:val="1"/>
                <w:szCs w:val="1"/>
                <w:color w:val="auto"/>
              </w:rPr>
            </w:pPr>
          </w:p>
        </w:tc>
      </w:tr>
      <w:tr>
        <w:trPr>
          <w:trHeight w:val="267"/>
        </w:trPr>
        <w:tc>
          <w:tcPr>
            <w:tcW w:w="4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3"/>
          </w:tcPr>
          <w:p>
            <w:pPr>
              <w:jc w:val="right"/>
              <w:ind w:right="40"/>
              <w:spacing w:after="0" w:line="267" w:lineRule="exact"/>
              <w:rPr>
                <w:sz w:val="20"/>
                <w:szCs w:val="20"/>
                <w:color w:val="auto"/>
              </w:rPr>
            </w:pPr>
            <w:r>
              <w:rPr>
                <w:rFonts w:ascii="Arial" w:cs="Arial" w:eastAsia="Arial" w:hAnsi="Arial"/>
                <w:sz w:val="18"/>
                <w:szCs w:val="18"/>
                <w:color w:val="auto"/>
              </w:rPr>
              <w:t>102,083</w:t>
            </w:r>
            <w:r>
              <w:rPr>
                <w:rFonts w:ascii="Arial" w:cs="Arial" w:eastAsia="Arial" w:hAnsi="Arial"/>
                <w:sz w:val="26"/>
                <w:szCs w:val="26"/>
                <w:color w:val="auto"/>
                <w:vertAlign w:val="superscript"/>
              </w:rPr>
              <w:t>(2)</w:t>
            </w:r>
          </w:p>
        </w:tc>
        <w:tc>
          <w:tcPr>
            <w:tcW w:w="1080" w:type="dxa"/>
            <w:vAlign w:val="bottom"/>
            <w:gridSpan w:val="2"/>
          </w:tcPr>
          <w:p>
            <w:pPr>
              <w:jc w:val="right"/>
              <w:ind w:right="200"/>
              <w:spacing w:after="0" w:line="267" w:lineRule="exact"/>
              <w:rPr>
                <w:sz w:val="20"/>
                <w:szCs w:val="20"/>
                <w:color w:val="auto"/>
              </w:rPr>
            </w:pPr>
            <w:r>
              <w:rPr>
                <w:rFonts w:ascii="Arial" w:cs="Arial" w:eastAsia="Arial" w:hAnsi="Arial"/>
                <w:sz w:val="18"/>
                <w:szCs w:val="18"/>
                <w:color w:val="auto"/>
                <w:w w:val="99"/>
              </w:rPr>
              <w:t>597,917</w:t>
            </w:r>
            <w:r>
              <w:rPr>
                <w:rFonts w:ascii="Arial" w:cs="Arial" w:eastAsia="Arial" w:hAnsi="Arial"/>
                <w:sz w:val="26"/>
                <w:szCs w:val="26"/>
                <w:color w:val="auto"/>
                <w:w w:val="99"/>
                <w:vertAlign w:val="superscript"/>
              </w:rPr>
              <w:t>(2)</w:t>
            </w: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2.45</w:t>
            </w:r>
          </w:p>
        </w:tc>
        <w:tc>
          <w:tcPr>
            <w:tcW w:w="2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07/15/2030</w:t>
            </w: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Michael Smuts </w:t>
            </w:r>
            <w:r>
              <w:rPr>
                <w:rFonts w:ascii="Arial" w:cs="Arial" w:eastAsia="Arial" w:hAnsi="Arial"/>
                <w:sz w:val="18"/>
                <w:szCs w:val="18"/>
                <w:i w:val="1"/>
                <w:iCs w:val="1"/>
                <w:color w:val="auto"/>
              </w:rPr>
              <w:t>Vice President, Finance</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w w:val="99"/>
              </w:rPr>
              <w:t>150,000</w:t>
            </w:r>
            <w:r>
              <w:rPr>
                <w:rFonts w:ascii="Arial" w:cs="Arial" w:eastAsia="Arial" w:hAnsi="Arial"/>
                <w:sz w:val="26"/>
                <w:szCs w:val="26"/>
                <w:color w:val="auto"/>
                <w:w w:val="99"/>
                <w:vertAlign w:val="superscript"/>
              </w:rPr>
              <w:t>(1)</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2.45</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01/15/2030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-1585595</wp:posOffset>
            </wp:positionV>
            <wp:extent cx="24257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0" w:lineRule="exact"/>
        <w:rPr>
          <w:sz w:val="20"/>
          <w:szCs w:val="20"/>
          <w:color w:val="auto"/>
        </w:rPr>
      </w:pPr>
    </w:p>
    <w:p>
      <w:pPr>
        <w:ind w:left="1620" w:hanging="360"/>
        <w:spacing w:after="0"/>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options vest as follows:</w:t>
      </w:r>
    </w:p>
    <w:p>
      <w:pPr>
        <w:spacing w:after="0" w:line="63" w:lineRule="exact"/>
        <w:rPr>
          <w:rFonts w:ascii="Arial" w:cs="Arial" w:eastAsia="Arial" w:hAnsi="Arial"/>
          <w:sz w:val="18"/>
          <w:szCs w:val="18"/>
          <w:color w:val="auto"/>
        </w:rPr>
      </w:pPr>
    </w:p>
    <w:p>
      <w:pPr>
        <w:ind w:left="1980" w:hanging="360"/>
        <w:spacing w:after="0"/>
        <w:tabs>
          <w:tab w:leader="none" w:pos="1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For Mr. Rawlinson, forty-eight (48) equal monthly installments beginning on April 1, 2017.</w:t>
      </w:r>
    </w:p>
    <w:p>
      <w:pPr>
        <w:spacing w:after="0" w:line="63" w:lineRule="exact"/>
        <w:rPr>
          <w:rFonts w:ascii="Arial" w:cs="Arial" w:eastAsia="Arial" w:hAnsi="Arial"/>
          <w:sz w:val="18"/>
          <w:szCs w:val="18"/>
          <w:color w:val="auto"/>
        </w:rPr>
      </w:pPr>
    </w:p>
    <w:p>
      <w:pPr>
        <w:ind w:left="1980" w:hanging="360"/>
        <w:spacing w:after="0"/>
        <w:tabs>
          <w:tab w:leader="none" w:pos="1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For Mr. Bach, in forty-eight (48) equal monthly installments beginning on October 1, 2017.</w:t>
      </w:r>
    </w:p>
    <w:p>
      <w:pPr>
        <w:spacing w:after="0" w:line="76" w:lineRule="exact"/>
        <w:rPr>
          <w:rFonts w:ascii="Arial" w:cs="Arial" w:eastAsia="Arial" w:hAnsi="Arial"/>
          <w:sz w:val="18"/>
          <w:szCs w:val="18"/>
          <w:color w:val="auto"/>
        </w:rPr>
      </w:pPr>
    </w:p>
    <w:p>
      <w:pPr>
        <w:ind w:left="1980" w:right="859" w:hanging="360"/>
        <w:spacing w:after="0" w:line="277" w:lineRule="auto"/>
        <w:tabs>
          <w:tab w:leader="none" w:pos="1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For Mr. Smuts, 25% on the first anniversary of January 13, 2020, and the remainder in thirty-six (36) equal monthly installments thereafter.</w:t>
      </w:r>
    </w:p>
    <w:p>
      <w:pPr>
        <w:spacing w:after="0" w:line="8" w:lineRule="exact"/>
        <w:rPr>
          <w:rFonts w:ascii="Arial" w:cs="Arial" w:eastAsia="Arial" w:hAnsi="Arial"/>
          <w:sz w:val="18"/>
          <w:szCs w:val="18"/>
          <w:color w:val="auto"/>
        </w:rPr>
      </w:pPr>
    </w:p>
    <w:p>
      <w:pPr>
        <w:ind w:left="1620" w:hanging="360"/>
        <w:spacing w:after="0"/>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options vest in forty-eight (48) equal monthly installments beginning on April 1, 2020.</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Termination and Change in Control Benefits</w:t>
      </w:r>
    </w:p>
    <w:p>
      <w:pPr>
        <w:spacing w:after="0" w:line="162"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7"/>
          <w:szCs w:val="17"/>
          <w:color w:val="auto"/>
        </w:rPr>
        <w:t>Each of Lucid’s NEOs is a party to the Severance Plan. Under the terms of the Severance Plan, Mr. Rawlinson is entitled to receive the following in the event of a termination without “cause” or on a “constructive termination” (as each such term is defined in the Severance Plan) assuming a termination of employment on December 31, 2020: (i) a continuation of his base salary for 12 months, (ii) COBRA continuation premium payments for Mr. Rawlinson and his dependents for 12 months, and (iii) accelerated vesting of 25% of Mr. Rawlinson’s outstanding equity awards plus an additional 5% for each year of his service, which accelerated vesting shall not exceed a maximum of 50% of unvested equity and shall not be duplicative of any vesting acceleration otherwise provided for in any other agreement in connection with a qualifying termination that is not due to a change in control. In the event Mr. Rawlinson is terminated within 3 months prior to or 12 months following a change in control (a “</w:t>
      </w:r>
      <w:r>
        <w:rPr>
          <w:rFonts w:ascii="Arial" w:cs="Arial" w:eastAsia="Arial" w:hAnsi="Arial"/>
          <w:sz w:val="17"/>
          <w:szCs w:val="17"/>
          <w:i w:val="1"/>
          <w:iCs w:val="1"/>
          <w:color w:val="auto"/>
        </w:rPr>
        <w:t>Change in Control Termination</w:t>
      </w:r>
      <w:r>
        <w:rPr>
          <w:rFonts w:ascii="Arial" w:cs="Arial" w:eastAsia="Arial" w:hAnsi="Arial"/>
          <w:sz w:val="17"/>
          <w:szCs w:val="17"/>
          <w:color w:val="auto"/>
        </w:rPr>
        <w:t>”), he is entitled to the accelerated vesting of 100% of his unvested equity awards.</w:t>
      </w:r>
    </w:p>
    <w:p>
      <w:pPr>
        <w:spacing w:after="0" w:line="11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Under the terms of the Severance Plan, Messrs. Bach and Smuts are entitled to receive the following in the event of a termination without “cause” or upon a “constructive termination,” in each case assuming a termination of employment on December 31, 2020: (i) a continuation of their base salary for 6 months (or</w:t>
      </w:r>
    </w:p>
    <w:p>
      <w:pPr>
        <w:ind w:left="1260" w:right="419"/>
        <w:spacing w:after="0" w:line="236" w:lineRule="auto"/>
        <w:rPr>
          <w:sz w:val="20"/>
          <w:szCs w:val="20"/>
          <w:color w:val="auto"/>
        </w:rPr>
      </w:pPr>
      <w:r>
        <w:rPr>
          <w:rFonts w:ascii="Arial" w:cs="Arial" w:eastAsia="Arial" w:hAnsi="Arial"/>
          <w:sz w:val="18"/>
          <w:szCs w:val="18"/>
          <w:color w:val="auto"/>
        </w:rPr>
        <w:t>9 months in the event of a Change in Control Termination), (ii) COBRA continuation premium payments for Messrs. Bach and Smuts and their dependents for 6 months (or 9 months in the event of a Change in Control Termination), and (iii) accelerated vesting of 25% of their outstanding equity awards plus an additional 5% for each year of service, which accelerated vesting shall not exceed a maximum of 50% of unvested equity and shall not be duplicative of any vesting acceleration otherwise provided for in any other agreement in connection with a qualifying termination that is not due to a change in control. In the event of a Change in Control Termination, each of Messrs. Bach and Smuts is entitled to the accelerated vesting of 75% of his unvested equity awards.</w:t>
      </w:r>
    </w:p>
    <w:p>
      <w:pPr>
        <w:spacing w:after="0" w:line="111"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In connection with the Closing, we approved the Lucid Group, Inc. Executive Severance Benefit Plan (the “</w:t>
      </w:r>
      <w:r>
        <w:rPr>
          <w:rFonts w:ascii="Arial" w:cs="Arial" w:eastAsia="Arial" w:hAnsi="Arial"/>
          <w:sz w:val="18"/>
          <w:szCs w:val="18"/>
          <w:i w:val="1"/>
          <w:iCs w:val="1"/>
          <w:color w:val="auto"/>
        </w:rPr>
        <w:t>Lucid Group Severance Plan</w:t>
      </w:r>
      <w:r>
        <w:rPr>
          <w:rFonts w:ascii="Arial" w:cs="Arial" w:eastAsia="Arial" w:hAnsi="Arial"/>
          <w:sz w:val="18"/>
          <w:szCs w:val="18"/>
          <w:color w:val="auto"/>
        </w:rPr>
        <w:t>”) and accompanying form of Participation Agreement, which will replace</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2" w:name="page133"/>
    <w:bookmarkEnd w:id="1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the Severance Plan effective as of the Closing. In addition to the foregoing, the Lucid Group Severance Plan also provides for (i) a continuation of target bonus amounts for a specified number of months and (ii) the accelerated vesting of 100% of unvested equity awards, in each case in connection with a Change in Control Termination.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2009 Share Plan of Atieva, Inc. and the 2014 Share Plan of Atieva, Inc.</w:t>
      </w:r>
    </w:p>
    <w:p>
      <w:pPr>
        <w:spacing w:after="0" w:line="144"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 xml:space="preserve">Lucid’s board of directors and its stockholders approved the 2009 Share Plan of Atieva, Inc. and the 2014 Share Plan of Atieva, Inc. (collectively, the “ </w:t>
      </w:r>
      <w:r>
        <w:rPr>
          <w:rFonts w:ascii="Arial" w:cs="Arial" w:eastAsia="Arial" w:hAnsi="Arial"/>
          <w:sz w:val="18"/>
          <w:szCs w:val="18"/>
          <w:i w:val="1"/>
          <w:iCs w:val="1"/>
          <w:color w:val="auto"/>
        </w:rPr>
        <w:t>Prior Plans</w:t>
      </w:r>
      <w:r>
        <w:rPr>
          <w:rFonts w:ascii="Arial" w:cs="Arial" w:eastAsia="Arial" w:hAnsi="Arial"/>
          <w:sz w:val="18"/>
          <w:szCs w:val="18"/>
          <w:color w:val="auto"/>
        </w:rPr>
        <w:t>”) under which there were 28,902,156 options outstanding as of January 21, 2021. As of January 21, 2021, no awards will be granted under the Prior Plans.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Atieva, Inc. 2021 Stock Incentive Plan</w:t>
      </w:r>
    </w:p>
    <w:p>
      <w:pPr>
        <w:spacing w:after="0" w:line="158"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Lucid’s board of directors adopted, and Lucid’s shareholders approved, the 2021 Stock Incentive Plan in January 2021 and amended it in February 2021 (as amended, the “</w:t>
      </w:r>
      <w:r>
        <w:rPr>
          <w:rFonts w:ascii="Arial" w:cs="Arial" w:eastAsia="Arial" w:hAnsi="Arial"/>
          <w:sz w:val="18"/>
          <w:szCs w:val="18"/>
          <w:i w:val="1"/>
          <w:iCs w:val="1"/>
          <w:color w:val="auto"/>
        </w:rPr>
        <w:t>2021 Plan</w:t>
      </w:r>
      <w:r>
        <w:rPr>
          <w:rFonts w:ascii="Arial" w:cs="Arial" w:eastAsia="Arial" w:hAnsi="Arial"/>
          <w:sz w:val="18"/>
          <w:szCs w:val="18"/>
          <w:color w:val="auto"/>
        </w:rPr>
        <w:t>”) to increase its share reserve amount. The aggregate number of Lucid Common Shares reserved for issuance pursuant to awards under the 2021 Plan is equal to 47,534,042 shares.</w:t>
      </w:r>
    </w:p>
    <w:p>
      <w:pPr>
        <w:spacing w:after="0" w:line="12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Any employee, outside director or consultant of Lucid is eligible to receive an award under the 2021 Plan, to the extent that an offer of such award is permitted by applicable law, stock market or exchange rules and regulations, or any accounting or tax rules and regulations. The 2021 Plan provides for the grant of stock options (including incentive stock options and nonqualified stock options), restricted stock, stock appreciation rights, stock units, performance- based awards and cash awards. Each award will be set forth in a separate grant notice or agreement and will indicate the type and terms and conditions of the award.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Lucid Group, Inc. 2021 Stock Incentive Plan</w:t>
      </w:r>
    </w:p>
    <w:p>
      <w:pPr>
        <w:spacing w:after="0" w:line="144"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Churchill’s board of directors adopted and, following the closing of the Merger, the shareholders approved on July 22, 2021 the Lucid Group, Inc. 2021 Stock Incentive Plan (the “</w:t>
      </w:r>
      <w:r>
        <w:rPr>
          <w:rFonts w:ascii="Arial" w:cs="Arial" w:eastAsia="Arial" w:hAnsi="Arial"/>
          <w:sz w:val="18"/>
          <w:szCs w:val="18"/>
          <w:i w:val="1"/>
          <w:iCs w:val="1"/>
          <w:color w:val="auto"/>
        </w:rPr>
        <w:t>Incentive Plan</w:t>
      </w:r>
      <w:r>
        <w:rPr>
          <w:rFonts w:ascii="Arial" w:cs="Arial" w:eastAsia="Arial" w:hAnsi="Arial"/>
          <w:sz w:val="18"/>
          <w:szCs w:val="18"/>
          <w:color w:val="auto"/>
        </w:rPr>
        <w:t>”). The Incentive Plan includes an Employee Stock Purchase Plan as an addendum (the “</w:t>
      </w:r>
      <w:r>
        <w:rPr>
          <w:rFonts w:ascii="Arial" w:cs="Arial" w:eastAsia="Arial" w:hAnsi="Arial"/>
          <w:sz w:val="18"/>
          <w:szCs w:val="18"/>
          <w:i w:val="1"/>
          <w:iCs w:val="1"/>
          <w:color w:val="auto"/>
        </w:rPr>
        <w:t>ESPP Addendum</w:t>
      </w:r>
      <w:r>
        <w:rPr>
          <w:rFonts w:ascii="Arial" w:cs="Arial" w:eastAsia="Arial" w:hAnsi="Arial"/>
          <w:sz w:val="18"/>
          <w:szCs w:val="18"/>
          <w:color w:val="auto"/>
        </w:rPr>
        <w:t>”), summarized below.</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Material Features of the Incentive Plan</w:t>
      </w:r>
    </w:p>
    <w:p>
      <w:pPr>
        <w:spacing w:after="0" w:line="158" w:lineRule="exact"/>
        <w:rPr>
          <w:sz w:val="20"/>
          <w:szCs w:val="20"/>
          <w:color w:val="auto"/>
        </w:rPr>
      </w:pPr>
    </w:p>
    <w:p>
      <w:pPr>
        <w:ind w:left="1260" w:right="559" w:firstLine="360"/>
        <w:spacing w:after="0" w:line="285" w:lineRule="auto"/>
        <w:rPr>
          <w:sz w:val="20"/>
          <w:szCs w:val="20"/>
          <w:color w:val="auto"/>
        </w:rPr>
      </w:pPr>
      <w:r>
        <w:rPr>
          <w:rFonts w:ascii="Arial" w:cs="Arial" w:eastAsia="Arial" w:hAnsi="Arial"/>
          <w:sz w:val="16"/>
          <w:szCs w:val="16"/>
          <w:color w:val="auto"/>
        </w:rPr>
        <w:t>The maximum aggregate number of shares authorized for issuance as awards under the Incentive Plan shall not exceed the sum of (i) 12.5 million shares, plus (ii) any unallocated shares remaining available for issuance under the 2021 Plan as of the effective date, which was approximately 10.5 million shares after giving effect to the Exchange Ratio; plus (iii) any shares subject to stock awards granted under the 2021 Plan, 2014 Plan or 2009 Plan that (x) expire or terminate for any reason prior to exercise or settlement;</w:t>
      </w:r>
    </w:p>
    <w:p>
      <w:pPr>
        <w:spacing w:after="0" w:line="2" w:lineRule="exact"/>
        <w:rPr>
          <w:sz w:val="20"/>
          <w:szCs w:val="20"/>
          <w:color w:val="auto"/>
        </w:rPr>
      </w:pPr>
    </w:p>
    <w:p>
      <w:pPr>
        <w:ind w:left="1260" w:right="439"/>
        <w:spacing w:after="0" w:line="268" w:lineRule="auto"/>
        <w:tabs>
          <w:tab w:leader="none" w:pos="1529" w:val="left"/>
        </w:tabs>
        <w:numPr>
          <w:ilvl w:val="0"/>
          <w:numId w:val="78"/>
        </w:numPr>
        <w:rPr>
          <w:rFonts w:ascii="Arial" w:cs="Arial" w:eastAsia="Arial" w:hAnsi="Arial"/>
          <w:sz w:val="17"/>
          <w:szCs w:val="17"/>
          <w:color w:val="auto"/>
        </w:rPr>
      </w:pPr>
      <w:r>
        <w:rPr>
          <w:rFonts w:ascii="Arial" w:cs="Arial" w:eastAsia="Arial" w:hAnsi="Arial"/>
          <w:sz w:val="17"/>
          <w:szCs w:val="17"/>
          <w:color w:val="auto"/>
        </w:rPr>
        <w:t>are forfeited, cancelled or otherwise returned to us because of the failure to meet a contingency or condition required to vest such shares; or (z) are reacquired, withheld (or not issued) to satisfy a tax withholding obligation in connection with an award or to satisfy the purchase price or exercise price of a stock award. The number of shares authorized for grant under the Incentive Plan is subject to adjustment (as described below). Of the maximum aggregate shares issuable under the Incentive Plan, up to 61,211,436 shares may be issued in the form of ISOs (as defined below), or under the ESPP Addendum. Based on the number of unallocated shares remaining available for issuance under the 2021 Plan as of the Closing Date and without giving effect to any potential increases as described in clause (iii) above, we have reserved approximately 23.0 million shares for future grants of awards under the Incentive Plan.</w:t>
      </w:r>
    </w:p>
    <w:p>
      <w:pPr>
        <w:spacing w:after="0" w:line="114" w:lineRule="exact"/>
        <w:rPr>
          <w:sz w:val="20"/>
          <w:szCs w:val="20"/>
          <w:color w:val="auto"/>
        </w:rPr>
      </w:pPr>
    </w:p>
    <w:p>
      <w:pPr>
        <w:jc w:val="both"/>
        <w:ind w:left="1260" w:right="419" w:firstLine="360"/>
        <w:spacing w:after="0" w:line="279" w:lineRule="auto"/>
        <w:rPr>
          <w:sz w:val="20"/>
          <w:szCs w:val="20"/>
          <w:color w:val="auto"/>
        </w:rPr>
      </w:pPr>
      <w:r>
        <w:rPr>
          <w:rFonts w:ascii="Arial" w:cs="Arial" w:eastAsia="Arial" w:hAnsi="Arial"/>
          <w:sz w:val="17"/>
          <w:szCs w:val="17"/>
          <w:color w:val="auto"/>
        </w:rPr>
        <w:t>The maximum number of shares subject to awards granted under the Incentive Plan during any calendar year to any outside director (defined as a member of our Board who is not our employee or consultant), plus any cash fees paid to the outside director in a calendar year for service on our Board, will not exceed $1 million in total value for the first year of service and $750,000 in total value per year thereafter.</w:t>
      </w:r>
    </w:p>
    <w:p>
      <w:pPr>
        <w:spacing w:after="0" w:line="90"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The Incentive Plan is administered by our compensation committee. The types of awards that may be made under the Incentive Plan include restricted shares, non-qualified stock options, incentive stock options,</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3" w:name="page134"/>
    <w:bookmarkEnd w:id="1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38" w:lineRule="auto"/>
        <w:rPr>
          <w:sz w:val="20"/>
          <w:szCs w:val="20"/>
          <w:color w:val="auto"/>
        </w:rPr>
      </w:pPr>
      <w:r>
        <w:rPr>
          <w:rFonts w:ascii="Arial" w:cs="Arial" w:eastAsia="Arial" w:hAnsi="Arial"/>
          <w:sz w:val="18"/>
          <w:szCs w:val="18"/>
          <w:color w:val="auto"/>
        </w:rPr>
        <w:t>unrestricted shares, stock appreciation rights, restricted stock units and cash awards. All awards are subject to the conditions, limitations, restrictions, exercise price, vesting and forfeiture provisions determined by the committee, in its sole discretion, subject to such limitations as are provided in the Incentive Plan. The Incentive Plan also includes an employee stock purchase plan component under the ESPP Addendum described below. In addition, subject to the limitations provided in the Incentive Plan and in accordance with applicable law, our compensation committee may accelerate or defer the vesting or payment of awards, cancel or modify outstanding awards, and waive any conditions or restrictions imposed with respect to awards.</w:t>
      </w:r>
    </w:p>
    <w:p>
      <w:pPr>
        <w:spacing w:after="0" w:line="113"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Awards granted under the Incentive Plan may be subject to specified performance criteria. Our compensation committee may utilize any performance criteria selected by it in its sole discretion to establish performance goals. Subject to compliance with Section 409A of the Code (“</w:t>
      </w:r>
      <w:r>
        <w:rPr>
          <w:rFonts w:ascii="Arial" w:cs="Arial" w:eastAsia="Arial" w:hAnsi="Arial"/>
          <w:sz w:val="18"/>
          <w:szCs w:val="18"/>
          <w:i w:val="1"/>
          <w:iCs w:val="1"/>
          <w:color w:val="auto"/>
        </w:rPr>
        <w:t>Section 409A</w:t>
      </w:r>
      <w:r>
        <w:rPr>
          <w:rFonts w:ascii="Arial" w:cs="Arial" w:eastAsia="Arial" w:hAnsi="Arial"/>
          <w:sz w:val="18"/>
          <w:szCs w:val="18"/>
          <w:color w:val="auto"/>
        </w:rPr>
        <w:t xml:space="preserve"> ”), the compensation committee in its sole discretion may permit or require participants to defer certain amounts or shares paid or issued in respect of awards. Our Board may amend, suspend or terminate the Incentive Plan or the ESPP Addendum at any time.</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The ESPP Addendum</w:t>
      </w:r>
    </w:p>
    <w:p>
      <w:pPr>
        <w:spacing w:after="0" w:line="15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 xml:space="preserve">The ESPP Addendum is intended to qualify under Section 423 of the Internal Revenue Code of 1986, as amended (the “ </w:t>
      </w:r>
      <w:r>
        <w:rPr>
          <w:rFonts w:ascii="Arial" w:cs="Arial" w:eastAsia="Arial" w:hAnsi="Arial"/>
          <w:sz w:val="18"/>
          <w:szCs w:val="18"/>
          <w:i w:val="1"/>
          <w:iCs w:val="1"/>
          <w:color w:val="auto"/>
        </w:rPr>
        <w:t>Code</w:t>
      </w:r>
      <w:r>
        <w:rPr>
          <w:rFonts w:ascii="Arial" w:cs="Arial" w:eastAsia="Arial" w:hAnsi="Arial"/>
          <w:sz w:val="18"/>
          <w:szCs w:val="18"/>
          <w:color w:val="auto"/>
        </w:rPr>
        <w:t>”). Our compensation committee may grant stock purchase rights under the ESPP Addendum to any participant who is an employee. The compensation committee may establish sub-plans (which need not qualify under Section 423 of the Code) to facilitate participation in the ESPP Addendum by non-U.S. employees in compliance with foreign laws. The maximum aggregate number of shares for purchase during any calendar year is 2,500,000 shares, or any other such annual limit as may be approved by our compensation committee. While the ESPP Addendum is in effect, the compensation committee may grant options to purchase shares of stock during a specified offering period in compliance with the requirements of Section 423 of the Code, subject to the limitations set forth in the ESPP Addendum. The purchase price for each share purchased during an offering period will be the lesser of 85% of the fair market value of the share on the purchase date or 85% of the fair market value of the share on the offering date.</w:t>
      </w:r>
    </w:p>
    <w:p>
      <w:pPr>
        <w:spacing w:after="0" w:line="19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58"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The following table summarizes Lucid’s equity compensation plan information as of December 31, 2020:</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 Securities Remaining</w:t>
            </w: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Number of Securities to Be Issued</w:t>
            </w: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9"/>
              </w:rPr>
              <w:t>Available for Future Issuance</w:t>
            </w: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Upon Exercise of Outstanding</w:t>
            </w:r>
          </w:p>
        </w:tc>
        <w:tc>
          <w:tcPr>
            <w:tcW w:w="2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Weighted-average Exercise Price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Under Equity Compensation</w:t>
            </w: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Options, Warrants, Rights and</w:t>
            </w: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of Outstanding Options,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5"/>
              </w:rPr>
              <w:t>Plans (excluding securities</w:t>
            </w: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Restricted Stock Units</w:t>
            </w:r>
          </w:p>
        </w:tc>
        <w:tc>
          <w:tcPr>
            <w:tcW w:w="2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Warrants and Rights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8"/>
              </w:rPr>
              <w:t>reflected in column (a))</w:t>
            </w:r>
          </w:p>
        </w:tc>
      </w:tr>
      <w:tr>
        <w:trPr>
          <w:trHeight w:val="186"/>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r>
      <w:tr>
        <w:trPr>
          <w:trHeight w:val="25"/>
        </w:trPr>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2"/>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w:t>
            </w: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6"/>
        </w:trPr>
        <w:tc>
          <w:tcPr>
            <w:tcW w:w="2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Plans Approved by</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44"/>
        </w:trPr>
        <w:tc>
          <w:tcPr>
            <w:tcW w:w="2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2020" w:type="dxa"/>
            <w:vAlign w:val="bottom"/>
            <w:shd w:val="clear" w:color="auto" w:fill="CCEEFF"/>
          </w:tcPr>
          <w:p>
            <w:pPr>
              <w:jc w:val="right"/>
              <w:ind w:right="521"/>
              <w:spacing w:after="0"/>
              <w:rPr>
                <w:sz w:val="20"/>
                <w:szCs w:val="20"/>
                <w:color w:val="auto"/>
              </w:rPr>
            </w:pPr>
            <w:r>
              <w:rPr>
                <w:rFonts w:ascii="Arial" w:cs="Arial" w:eastAsia="Arial" w:hAnsi="Arial"/>
                <w:sz w:val="18"/>
                <w:szCs w:val="18"/>
                <w:color w:val="auto"/>
              </w:rPr>
              <w:t>28,902,156</w:t>
            </w:r>
          </w:p>
        </w:tc>
        <w:tc>
          <w:tcPr>
            <w:tcW w:w="12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74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3,128,811</w:t>
            </w:r>
          </w:p>
        </w:tc>
      </w:tr>
      <w:tr>
        <w:trPr>
          <w:trHeight w:val="229"/>
        </w:trPr>
        <w:tc>
          <w:tcPr>
            <w:tcW w:w="2040" w:type="dxa"/>
            <w:vAlign w:val="bottom"/>
            <w:gridSpan w:val="2"/>
          </w:tcPr>
          <w:p>
            <w:pPr>
              <w:spacing w:after="0"/>
              <w:rPr>
                <w:sz w:val="20"/>
                <w:szCs w:val="20"/>
                <w:color w:val="auto"/>
              </w:rPr>
            </w:pPr>
            <w:r>
              <w:rPr>
                <w:rFonts w:ascii="Arial" w:cs="Arial" w:eastAsia="Arial" w:hAnsi="Arial"/>
                <w:sz w:val="18"/>
                <w:szCs w:val="18"/>
                <w:color w:val="auto"/>
              </w:rPr>
              <w:t>Equity Compensation</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16"/>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Plans Not Approved</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7"/>
        </w:trPr>
        <w:tc>
          <w:tcPr>
            <w:tcW w:w="2040" w:type="dxa"/>
            <w:vAlign w:val="bottom"/>
            <w:gridSpan w:val="2"/>
          </w:tcPr>
          <w:p>
            <w:pPr>
              <w:ind w:left="180"/>
              <w:spacing w:after="0"/>
              <w:rPr>
                <w:sz w:val="20"/>
                <w:szCs w:val="20"/>
                <w:color w:val="auto"/>
              </w:rPr>
            </w:pPr>
            <w:r>
              <w:rPr>
                <w:rFonts w:ascii="Arial" w:cs="Arial" w:eastAsia="Arial" w:hAnsi="Arial"/>
                <w:sz w:val="18"/>
                <w:szCs w:val="18"/>
                <w:color w:val="auto"/>
              </w:rPr>
              <w:t>by Security Holders</w:t>
            </w:r>
          </w:p>
        </w:tc>
        <w:tc>
          <w:tcPr>
            <w:tcW w:w="2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542"/>
              <w:spacing w:after="0"/>
              <w:rPr>
                <w:sz w:val="20"/>
                <w:szCs w:val="20"/>
                <w:color w:val="auto"/>
              </w:rPr>
            </w:pPr>
            <w:r>
              <w:rPr>
                <w:rFonts w:ascii="Arial" w:cs="Arial" w:eastAsia="Arial" w:hAnsi="Arial"/>
                <w:sz w:val="18"/>
                <w:szCs w:val="18"/>
                <w:color w:val="auto"/>
              </w:rPr>
              <w:t>—</w:t>
            </w:r>
          </w:p>
        </w:tc>
      </w:tr>
      <w:tr>
        <w:trPr>
          <w:trHeight w:val="250"/>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jc w:val="right"/>
              <w:ind w:right="521"/>
              <w:spacing w:after="0"/>
              <w:rPr>
                <w:sz w:val="20"/>
                <w:szCs w:val="20"/>
                <w:color w:val="auto"/>
              </w:rPr>
            </w:pPr>
            <w:r>
              <w:rPr>
                <w:rFonts w:ascii="Arial" w:cs="Arial" w:eastAsia="Arial" w:hAnsi="Arial"/>
                <w:sz w:val="18"/>
                <w:szCs w:val="18"/>
                <w:color w:val="auto"/>
              </w:rPr>
              <w:t>28,902,156</w:t>
            </w:r>
          </w:p>
        </w:tc>
        <w:tc>
          <w:tcPr>
            <w:tcW w:w="12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74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3,128,811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-1036955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-1036955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-1036955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Equity Refresh Grants</w:t>
      </w:r>
    </w:p>
    <w:p>
      <w:pPr>
        <w:spacing w:after="0" w:line="144"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Lucid’s compensation committee approved equity “refresh” grants under the 2021 Plan on February 22, 2021 to certain executives of Lucid in connection with the Merger, including an award of 250,000 Lucid RSUs to Mr. Bach and 100,000 Lucid RSUs to Mr. Smuts. These Lucid RSU awards are scheduled to vest quarterly over four years, subject to (i) the successful closing of the Merger and meeting the minimum service period requirement of 375 days after such closing; and (ii) continued employment through each applicable vesting date. These awards are subject to potential acceleration, as further described above under “</w:t>
      </w:r>
      <w:r>
        <w:rPr>
          <w:rFonts w:ascii="Arial" w:cs="Arial" w:eastAsia="Arial" w:hAnsi="Arial"/>
          <w:sz w:val="18"/>
          <w:szCs w:val="18"/>
          <w:i w:val="1"/>
          <w:iCs w:val="1"/>
          <w:color w:val="auto"/>
        </w:rPr>
        <w:t>Termination and Change in Control Benefits</w:t>
      </w:r>
      <w:r>
        <w:rPr>
          <w:rFonts w:ascii="Arial" w:cs="Arial" w:eastAsia="Arial" w:hAnsi="Arial"/>
          <w:sz w:val="18"/>
          <w:szCs w:val="18"/>
          <w:color w:val="auto"/>
        </w:rPr>
        <w:t>.”</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2021 CEO Grant</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recognition of Mr. Rawlinson’s efforts on the Merger and in order to incentivize and align</w:t>
      </w:r>
    </w:p>
    <w:p>
      <w:pPr>
        <w:spacing w:after="0" w:line="12" w:lineRule="exact"/>
        <w:rPr>
          <w:sz w:val="20"/>
          <w:szCs w:val="20"/>
          <w:color w:val="auto"/>
        </w:rPr>
      </w:pPr>
    </w:p>
    <w:p>
      <w:pPr>
        <w:ind w:left="1260" w:right="1280"/>
        <w:spacing w:after="0" w:line="237" w:lineRule="auto"/>
        <w:rPr>
          <w:sz w:val="20"/>
          <w:szCs w:val="20"/>
          <w:color w:val="auto"/>
        </w:rPr>
      </w:pPr>
      <w:r>
        <w:rPr>
          <w:rFonts w:ascii="Arial" w:cs="Arial" w:eastAsia="Arial" w:hAnsi="Arial"/>
          <w:sz w:val="18"/>
          <w:szCs w:val="18"/>
          <w:color w:val="auto"/>
        </w:rPr>
        <w:t>Mr. Rawlinson with Lucid Group’s stockholders after the Merger, Lucid’s board of directors approved a special equity grant of 11,293,177 Lucid RSUs to Mr. Rawlinson (the “</w:t>
      </w:r>
      <w:r>
        <w:rPr>
          <w:rFonts w:ascii="Arial" w:cs="Arial" w:eastAsia="Arial" w:hAnsi="Arial"/>
          <w:sz w:val="18"/>
          <w:szCs w:val="18"/>
          <w:i w:val="1"/>
          <w:iCs w:val="1"/>
          <w:color w:val="auto"/>
        </w:rPr>
        <w:t>CEO RSU Award</w:t>
      </w:r>
      <w:r>
        <w:rPr>
          <w:rFonts w:ascii="Arial" w:cs="Arial" w:eastAsia="Arial" w:hAnsi="Arial"/>
          <w:sz w:val="18"/>
          <w:szCs w:val="18"/>
          <w:color w:val="auto"/>
        </w:rPr>
        <w:t>”), which will vest subject to: (i) with respect to 5,232,507 of the RSUs, a time-vesting requirement (the “</w:t>
      </w:r>
      <w:r>
        <w:rPr>
          <w:rFonts w:ascii="Arial" w:cs="Arial" w:eastAsia="Arial" w:hAnsi="Arial"/>
          <w:sz w:val="18"/>
          <w:szCs w:val="18"/>
          <w:i w:val="1"/>
          <w:iCs w:val="1"/>
          <w:color w:val="auto"/>
        </w:rPr>
        <w:t>CEO Time-Based</w:t>
      </w:r>
      <w:r>
        <w:rPr>
          <w:rFonts w:ascii="Arial" w:cs="Arial" w:eastAsia="Arial" w:hAnsi="Arial"/>
          <w:sz w:val="18"/>
          <w:szCs w:val="18"/>
          <w:color w:val="auto"/>
        </w:rPr>
        <w:t xml:space="preserve"> </w:t>
      </w:r>
      <w:r>
        <w:rPr>
          <w:rFonts w:ascii="Arial" w:cs="Arial" w:eastAsia="Arial" w:hAnsi="Arial"/>
          <w:sz w:val="18"/>
          <w:szCs w:val="18"/>
          <w:i w:val="1"/>
          <w:iCs w:val="1"/>
          <w:color w:val="auto"/>
        </w:rPr>
        <w:t>RSUs</w:t>
      </w:r>
      <w:r>
        <w:rPr>
          <w:rFonts w:ascii="Arial" w:cs="Arial" w:eastAsia="Arial" w:hAnsi="Arial"/>
          <w:sz w:val="18"/>
          <w:szCs w:val="18"/>
          <w:color w:val="auto"/>
        </w:rPr>
        <w:t>”) and (ii) with respect to 6,060,670 of the RSUs, a performance-vesting requirement (the “</w:t>
      </w:r>
      <w:r>
        <w:rPr>
          <w:rFonts w:ascii="Arial" w:cs="Arial" w:eastAsia="Arial" w:hAnsi="Arial"/>
          <w:sz w:val="18"/>
          <w:szCs w:val="18"/>
          <w:i w:val="1"/>
          <w:iCs w:val="1"/>
          <w:color w:val="auto"/>
        </w:rPr>
        <w:t>CEO Performance RSUs</w:t>
      </w:r>
      <w:r>
        <w:rPr>
          <w:rFonts w:ascii="Arial" w:cs="Arial" w:eastAsia="Arial" w:hAnsi="Arial"/>
          <w:sz w:val="18"/>
          <w:szCs w:val="18"/>
          <w:color w:val="auto"/>
        </w:rPr>
        <w:t>”). The CEO RSU Award was converted into an equivalent award with respect to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after the Merger.</w:t>
      </w:r>
    </w:p>
    <w:p>
      <w:pPr>
        <w:spacing w:after="0" w:line="121" w:lineRule="exact"/>
        <w:rPr>
          <w:sz w:val="20"/>
          <w:szCs w:val="20"/>
          <w:color w:val="auto"/>
        </w:rPr>
      </w:pPr>
    </w:p>
    <w:p>
      <w:pPr>
        <w:jc w:val="both"/>
        <w:ind w:left="1260" w:right="1440" w:firstLine="360"/>
        <w:spacing w:after="0" w:line="270" w:lineRule="auto"/>
        <w:rPr>
          <w:sz w:val="20"/>
          <w:szCs w:val="20"/>
          <w:color w:val="auto"/>
        </w:rPr>
      </w:pPr>
      <w:r>
        <w:rPr>
          <w:rFonts w:ascii="Arial" w:cs="Arial" w:eastAsia="Arial" w:hAnsi="Arial"/>
          <w:sz w:val="17"/>
          <w:szCs w:val="17"/>
          <w:color w:val="auto"/>
        </w:rPr>
        <w:t>Subject to Mr. Rawlinson’s continued employment on each vesting date, the CEO Time-Based RSUs will vest in sixteen equal quarterly installments beginning on December 5, 2021. For purposes of the CEO Time-Based RSUs, the vesting dates will be March 5, June 5, September 5 and December 5 of each year.</w:t>
      </w:r>
    </w:p>
    <w:p>
      <w:pPr>
        <w:spacing w:after="0" w:line="96" w:lineRule="exact"/>
        <w:rPr>
          <w:sz w:val="20"/>
          <w:szCs w:val="20"/>
          <w:color w:val="auto"/>
        </w:rPr>
      </w:pPr>
    </w:p>
    <w:p>
      <w:pPr>
        <w:ind w:left="1260" w:right="1260" w:firstLine="360"/>
        <w:spacing w:after="0" w:line="239" w:lineRule="auto"/>
        <w:rPr>
          <w:sz w:val="20"/>
          <w:szCs w:val="20"/>
          <w:color w:val="auto"/>
        </w:rPr>
      </w:pPr>
      <w:r>
        <w:rPr>
          <w:rFonts w:ascii="Arial" w:cs="Arial" w:eastAsia="Arial" w:hAnsi="Arial"/>
          <w:sz w:val="18"/>
          <w:szCs w:val="18"/>
          <w:color w:val="auto"/>
        </w:rPr>
        <w:t>The CEO Performance RSUs will vest in five tranches based on the achievement of market capitalization goals applicable to each tranche (the “</w:t>
      </w:r>
      <w:r>
        <w:rPr>
          <w:rFonts w:ascii="Arial" w:cs="Arial" w:eastAsia="Arial" w:hAnsi="Arial"/>
          <w:sz w:val="18"/>
          <w:szCs w:val="18"/>
          <w:i w:val="1"/>
          <w:iCs w:val="1"/>
          <w:color w:val="auto"/>
        </w:rPr>
        <w:t>Performance Goals</w:t>
      </w:r>
      <w:r>
        <w:rPr>
          <w:rFonts w:ascii="Arial" w:cs="Arial" w:eastAsia="Arial" w:hAnsi="Arial"/>
          <w:sz w:val="18"/>
          <w:szCs w:val="18"/>
          <w:color w:val="auto"/>
        </w:rPr>
        <w:t xml:space="preserve">”) over any six-month period subject to Mr. Rawlinson’s continued employment through the applicable vesting date. The six-month market capitalization is calculated based on (i) the volume weighted average trading price per share over any six-month period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average of the total number of outstanding shares of Class A common stock reported in a public filing for the two most recently completely quarterly reporting periods. The six-month market capitalization target for each tranche is as follows:</w:t>
      </w:r>
    </w:p>
    <w:p>
      <w:pPr>
        <w:spacing w:after="0" w:line="69" w:lineRule="exact"/>
        <w:rPr>
          <w:sz w:val="20"/>
          <w:szCs w:val="20"/>
          <w:color w:val="auto"/>
        </w:rPr>
      </w:pPr>
    </w:p>
    <w:p>
      <w:pPr>
        <w:ind w:left="1800" w:hanging="180"/>
        <w:spacing w:after="0"/>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Tranche 1: $23.5 billion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Tranche 2: $35.25 billion</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Tranche 3: $47 billion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Tranche 4: $58.75 billion</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Tranche 5: $70.5 billion</w:t>
      </w:r>
    </w:p>
    <w:p>
      <w:pPr>
        <w:spacing w:after="0" w:line="158" w:lineRule="exact"/>
        <w:rPr>
          <w:sz w:val="20"/>
          <w:szCs w:val="20"/>
          <w:color w:val="auto"/>
        </w:rPr>
      </w:pPr>
    </w:p>
    <w:p>
      <w:pPr>
        <w:ind w:left="1260" w:right="1320" w:firstLine="360"/>
        <w:spacing w:after="0" w:line="259" w:lineRule="auto"/>
        <w:rPr>
          <w:sz w:val="20"/>
          <w:szCs w:val="20"/>
          <w:color w:val="auto"/>
        </w:rPr>
      </w:pPr>
      <w:r>
        <w:rPr>
          <w:rFonts w:ascii="Arial" w:cs="Arial" w:eastAsia="Arial" w:hAnsi="Arial"/>
          <w:sz w:val="17"/>
          <w:szCs w:val="17"/>
          <w:color w:val="auto"/>
        </w:rPr>
        <w:t>Any CEO Performance RSUs that have not vested within five years after the closing of the Merger (such period, the “</w:t>
      </w:r>
      <w:r>
        <w:rPr>
          <w:rFonts w:ascii="Arial" w:cs="Arial" w:eastAsia="Arial" w:hAnsi="Arial"/>
          <w:sz w:val="17"/>
          <w:szCs w:val="17"/>
          <w:i w:val="1"/>
          <w:iCs w:val="1"/>
          <w:color w:val="auto"/>
        </w:rPr>
        <w:t>Performance Period</w:t>
      </w:r>
      <w:r>
        <w:rPr>
          <w:rFonts w:ascii="Arial" w:cs="Arial" w:eastAsia="Arial" w:hAnsi="Arial"/>
          <w:sz w:val="17"/>
          <w:szCs w:val="17"/>
          <w:color w:val="auto"/>
        </w:rPr>
        <w:t>”) will be forfeited. Upon a termination without “cause” or upon a “constructive termination” (as each such term is defined in the CEO RSU Award agreement), the CEO Performance RSUs will remain outstanding and eligible to vest upon attainment of the Performance Goals for six months (or the end of the Performance Period, if sooner) following such termination of employment.</w:t>
      </w:r>
    </w:p>
    <w:p>
      <w:pPr>
        <w:spacing w:after="0" w:line="93" w:lineRule="exact"/>
        <w:rPr>
          <w:sz w:val="20"/>
          <w:szCs w:val="20"/>
          <w:color w:val="auto"/>
        </w:rPr>
      </w:pPr>
    </w:p>
    <w:p>
      <w:pPr>
        <w:ind w:left="1260" w:right="1320" w:firstLine="360"/>
        <w:spacing w:after="0" w:line="252" w:lineRule="auto"/>
        <w:rPr>
          <w:sz w:val="20"/>
          <w:szCs w:val="20"/>
          <w:color w:val="auto"/>
        </w:rPr>
      </w:pPr>
      <w:r>
        <w:rPr>
          <w:rFonts w:ascii="Arial" w:cs="Arial" w:eastAsia="Arial" w:hAnsi="Arial"/>
          <w:sz w:val="17"/>
          <w:szCs w:val="17"/>
          <w:color w:val="auto"/>
        </w:rPr>
        <w:t>In the event of a change in control of Lucid Group following the closing of the Merger, any unvested CEO Time-Based RSUs to the extent not assumed or substituted in connection with such change in control will vest subject to Mr. Rawlinson’s continued employment through the change in control or a termination without cause or constructive termination within thirty days of the change in control. If the CEO Time-Based RSUs are assumed or substituted in connection with the change in control, any unvested CEO Time-Based RSUs will vest if Mr. Rawlinson experiences a termination without cause or constructive termination within twelve months of the change in control. With respect to the CEO Performance RSUs, subject to Mr. Rawlinson’s continued service through the change in control, any unvested CEO Performance RSUs will vest on the change in control to the extent the per share deal price exceeds the relevant market capitalization goal. In addition, upon a private financing or public offering of Lucid Group’s common stock with proceeds of at least $1 billion, if the price per share implied by the financing exceeds the relevant market capitalization goal, the CEO Performance RSUs associated with such goal will vest.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left="1260" w:right="1300" w:firstLine="360"/>
        <w:spacing w:after="0" w:line="248" w:lineRule="auto"/>
        <w:rPr>
          <w:sz w:val="20"/>
          <w:szCs w:val="20"/>
          <w:color w:val="auto"/>
        </w:rPr>
      </w:pPr>
      <w:r>
        <w:rPr>
          <w:rFonts w:ascii="Arial" w:cs="Arial" w:eastAsia="Arial" w:hAnsi="Arial"/>
          <w:sz w:val="18"/>
          <w:szCs w:val="18"/>
          <w:color w:val="auto"/>
        </w:rPr>
        <w:t>Tony Posawatz received compensation from PIF for his service as a director as described below. Lucid’s directors did not otherwise receive any additional compensation for their service in their capacity as directors in the year ended December 31, 2020.</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Fees Earned or</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All Other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620" w:type="dxa"/>
            <w:vAlign w:val="bottom"/>
          </w:tcPr>
          <w:p>
            <w:pPr>
              <w:spacing w:after="0"/>
              <w:rPr>
                <w:sz w:val="14"/>
                <w:szCs w:val="14"/>
                <w:color w:val="auto"/>
              </w:rPr>
            </w:pPr>
          </w:p>
        </w:tc>
      </w:tr>
      <w:tr>
        <w:trPr>
          <w:trHeight w:val="186"/>
        </w:trPr>
        <w:tc>
          <w:tcPr>
            <w:tcW w:w="3980" w:type="dxa"/>
            <w:vAlign w:val="bottom"/>
            <w:gridSpan w:val="2"/>
          </w:tcPr>
          <w:p>
            <w:pPr>
              <w:ind w:left="1620"/>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Paid in Cash</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Compensation</w:t>
            </w:r>
          </w:p>
        </w:tc>
        <w:tc>
          <w:tcPr>
            <w:tcW w:w="700" w:type="dxa"/>
            <w:vAlign w:val="bottom"/>
          </w:tcPr>
          <w:p>
            <w:pPr>
              <w:jc w:val="right"/>
              <w:ind w:right="182"/>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spacing w:after="0"/>
              <w:rPr>
                <w:sz w:val="16"/>
                <w:szCs w:val="16"/>
                <w:color w:val="auto"/>
              </w:rPr>
            </w:pPr>
          </w:p>
        </w:tc>
      </w:tr>
      <w:tr>
        <w:trPr>
          <w:trHeight w:val="25"/>
        </w:trPr>
        <w:tc>
          <w:tcPr>
            <w:tcW w:w="162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Pr>
          <w:p>
            <w:pPr>
              <w:spacing w:after="0"/>
              <w:rPr>
                <w:sz w:val="21"/>
                <w:szCs w:val="21"/>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Tony Posawatz</w:t>
            </w:r>
          </w:p>
        </w:tc>
        <w:tc>
          <w:tcPr>
            <w:tcW w:w="3120" w:type="dxa"/>
            <w:vAlign w:val="bottom"/>
            <w:gridSpan w:val="3"/>
            <w:shd w:val="clear" w:color="auto" w:fill="CCEEFF"/>
          </w:tcPr>
          <w:p>
            <w:pPr>
              <w:jc w:val="center"/>
              <w:ind w:left="2050"/>
              <w:spacing w:after="0"/>
              <w:rPr>
                <w:sz w:val="20"/>
                <w:szCs w:val="20"/>
                <w:color w:val="auto"/>
              </w:rPr>
            </w:pPr>
            <w:r>
              <w:rPr>
                <w:rFonts w:ascii="Arial" w:cs="Arial" w:eastAsia="Arial" w:hAnsi="Arial"/>
                <w:sz w:val="18"/>
                <w:szCs w:val="18"/>
                <w:color w:val="auto"/>
                <w:w w:val="87"/>
              </w:rPr>
              <w:t>$ 150,000</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50" w:lineRule="exact"/>
              <w:rPr>
                <w:sz w:val="20"/>
                <w:szCs w:val="20"/>
                <w:color w:val="auto"/>
              </w:rPr>
            </w:pPr>
            <w:r>
              <w:rPr>
                <w:rFonts w:ascii="Arial" w:cs="Arial" w:eastAsia="Arial" w:hAnsi="Arial"/>
                <w:sz w:val="18"/>
                <w:szCs w:val="18"/>
                <w:color w:val="auto"/>
              </w:rPr>
              <w:t>$7,895</w:t>
            </w:r>
            <w:r>
              <w:rPr>
                <w:rFonts w:ascii="Arial" w:cs="Arial" w:eastAsia="Arial" w:hAnsi="Arial"/>
                <w:sz w:val="26"/>
                <w:szCs w:val="26"/>
                <w:color w:val="auto"/>
                <w:vertAlign w:val="superscript"/>
              </w:rPr>
              <w:t>(1)</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$157,895</w:t>
            </w:r>
          </w:p>
        </w:tc>
        <w:tc>
          <w:tcPr>
            <w:tcW w:w="1620" w:type="dxa"/>
            <w:vAlign w:val="bottom"/>
          </w:tcPr>
          <w:p>
            <w:pPr>
              <w:spacing w:after="0"/>
              <w:rPr>
                <w:sz w:val="21"/>
                <w:szCs w:val="21"/>
                <w:color w:val="auto"/>
              </w:rPr>
            </w:pPr>
          </w:p>
        </w:tc>
      </w:tr>
      <w:tr>
        <w:trPr>
          <w:trHeight w:val="621"/>
        </w:trPr>
        <w:tc>
          <w:tcPr>
            <w:tcW w:w="1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-830580</wp:posOffset>
            </wp:positionV>
            <wp:extent cx="137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-830580</wp:posOffset>
            </wp:positionV>
            <wp:extent cx="137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-830580</wp:posOffset>
            </wp:positionV>
            <wp:extent cx="137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35" w:name="page136"/>
    <w:bookmarkEnd w:id="1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528320</wp:posOffset>
            </wp:positionV>
            <wp:extent cx="123444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Represents the amount paid by PIF in respect of Saudi Arabian taxes owed by Mr. Posawatz.</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Nancy Gioia, who became our director upon the Closing, will forfeit certain pension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benefits from a prior employer in the amount of approximately $3.3 million in connection with her services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our director. As compensation for such forfeiture (i) Churchill agreed to pay $2.0 million in cash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Ms. Gioia and (ii) an affiliate of the Sponsor agreed to issue Ms. Gioia indirect membership interests in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Sponsor, which represent 100,000 shares of Class A common stock.</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Director Compensation following the Merger</w:t>
      </w:r>
    </w:p>
    <w:p>
      <w:pPr>
        <w:spacing w:after="0" w:line="158"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Lucid Group implemented a new director compensation program, under which Lucid Group’s non-employee directors are eligible to receive the following annual retainers and annual equity compensation grants:</w:t>
      </w:r>
    </w:p>
    <w:p>
      <w:pPr>
        <w:spacing w:after="0" w:line="76" w:lineRule="exact"/>
        <w:rPr>
          <w:sz w:val="20"/>
          <w:szCs w:val="20"/>
          <w:color w:val="auto"/>
        </w:rPr>
      </w:pPr>
    </w:p>
    <w:p>
      <w:pPr>
        <w:ind w:left="1800" w:right="419" w:hanging="180"/>
        <w:spacing w:after="0" w:line="259"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Board Member: $210,000, of which $30,000 will be an annual cash retainer and $180,000 will be in the form of RSUs which will vest a year following the grant date. For new directors, the initial equity retainer will be $210,000 (instead of $180,000) in RSUs which will vest in three equal installments on the first, second and third anniversary of the grant date.</w:t>
      </w:r>
    </w:p>
    <w:p>
      <w:pPr>
        <w:spacing w:after="0" w:line="78"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Independent Chairman and Lead Director: Directors will receive an additional $30,000 for their service as an independent Chairman of the Board and an additional $15,000 for their service as Lead Director, to the extent applicable.</w:t>
      </w:r>
    </w:p>
    <w:p>
      <w:pPr>
        <w:spacing w:after="0" w:line="75"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Committee Chairs: Chairs of the audit, compensation, nominating and corporate governance and executive committees will receive an additional $20,000, $15,000, $8,000 and $20,000, respectively, as an annual cash retainer.</w:t>
      </w:r>
    </w:p>
    <w:p>
      <w:pPr>
        <w:spacing w:after="0" w:line="75"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Committee Members: Members of the audit, compensation, nominating and corporate governance and executive committees will receive an additional $10,000, $7,500, $4,000 and $10,000, respectively, as an annual cash retainer.</w:t>
      </w:r>
    </w:p>
    <w:p>
      <w:pPr>
        <w:spacing w:after="0" w:line="116"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We will also reimburse all of our directors for (i) up to $10,000 annually for director educational programs and (ii) their reasonable expenses incurred in attending meetings of the Board or committees and training and educational conferences.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Relationships and Related Party Transactions of Churchill</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Churchill IPO</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May 22, 2020, the Sponsor purchased an aggregate of 21,562,500 shares of Churchill’s Class B</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common stock for an aggregate purchase price of $25,000. On July 14, 2020, Churchill effected a stock</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dividend of one-third of a share for each outstanding share of Churchill’s Class B common stock, on</w:t>
      </w:r>
    </w:p>
    <w:p>
      <w:pPr>
        <w:ind w:left="1260"/>
        <w:spacing w:after="0"/>
        <w:rPr>
          <w:sz w:val="20"/>
          <w:szCs w:val="20"/>
          <w:color w:val="auto"/>
        </w:rPr>
      </w:pPr>
      <w:r>
        <w:rPr>
          <w:rFonts w:ascii="Arial" w:cs="Arial" w:eastAsia="Arial" w:hAnsi="Arial"/>
          <w:sz w:val="17"/>
          <w:szCs w:val="17"/>
          <w:color w:val="auto"/>
        </w:rPr>
        <w:t>July 27, 2020, Churchill effected a stock dividend of 0.50 to 1 share of Churchill’s Class B common stock</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 each outstanding share of Churchill’s Class B common stock, and on July 30, 2020, Churchill effected 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 dividend of approximately 0.20 to 1 share of Churchill’s Class B common stock for each outstanding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 of Churchill’s Class B common stock, resulting in 51,750,000 shares of Churchill’s Class B common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 The founder shares included an aggregate of up to 6,750,000 shares subject to forfeiture to the extent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that the underwriters’ over-allotment option was not exercised in full or in part, so that the Sponsor would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own, on an as-converted basis, 20% of Churchill’s issued and outstanding shares after the Churchill IPO. As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result of the underwriters’ election to fully exercise their over-allotment option in the Crh, 6,750,000</w:t>
      </w:r>
    </w:p>
    <w:p>
      <w:pPr>
        <w:ind w:left="1260"/>
        <w:spacing w:after="0"/>
        <w:rPr>
          <w:sz w:val="20"/>
          <w:szCs w:val="20"/>
          <w:color w:val="auto"/>
        </w:rPr>
      </w:pPr>
      <w:r>
        <w:rPr>
          <w:rFonts w:ascii="Arial" w:cs="Arial" w:eastAsia="Arial" w:hAnsi="Arial"/>
          <w:sz w:val="18"/>
          <w:szCs w:val="18"/>
          <w:color w:val="auto"/>
        </w:rPr>
        <w:t>founder shares ceased to be subject to forfeiture.</w:t>
      </w:r>
    </w:p>
    <w:p>
      <w:pPr>
        <w:spacing w:after="0" w:line="12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 Sponsor also purchased an aggregate of 42,850,000 Private Placement Warrants for a purchase price of $ 1.00 per warrant in a private placement that occurred simultaneously with the closing of the Churchill IPO. As such, the Sponsor’s interest in the Churchill IPO was valued at $ 42,850,000, based on the number of Private Placement Warrants purchased. Each Private Placement Warrant entitles the holder thereof to purchase one share of our Class A common stock at a price of $11.50 per share, subject to adjustment.</w:t>
      </w:r>
    </w:p>
    <w:p>
      <w:pPr>
        <w:spacing w:after="0" w:line="122"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Glenn R. August, William J. Bynum, Malcom S. McDermid, Bonnie Jonas and Karen G. Mills, each of whom was a director of Churchill, has an economic interest in the founder shares and Private Placement Warrants purchased by the Sponsor as a result of his or her direct or indirect ownership of membership interests in the Sponsor.</w:t>
      </w:r>
    </w:p>
    <w:p>
      <w:pPr>
        <w:spacing w:after="0" w:line="107"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Churchill entered into an Administrative Services Agreement pursuant to which it paid an affiliate of its Sponsor a total of $50,000 per month for office space, administrative and support services. From and after July 1, 2021, Churchill ceased paying these monthly fees.</w:t>
      </w:r>
    </w:p>
    <w:p>
      <w:pPr>
        <w:spacing w:after="0" w:line="114" w:lineRule="exact"/>
        <w:rPr>
          <w:sz w:val="20"/>
          <w:szCs w:val="20"/>
          <w:color w:val="auto"/>
        </w:rPr>
      </w:pPr>
    </w:p>
    <w:p>
      <w:pPr>
        <w:jc w:val="both"/>
        <w:ind w:left="1260" w:right="499" w:firstLine="360"/>
        <w:spacing w:after="0" w:line="270" w:lineRule="auto"/>
        <w:rPr>
          <w:sz w:val="20"/>
          <w:szCs w:val="20"/>
          <w:color w:val="auto"/>
        </w:rPr>
      </w:pPr>
      <w:r>
        <w:rPr>
          <w:rFonts w:ascii="Arial" w:cs="Arial" w:eastAsia="Arial" w:hAnsi="Arial"/>
          <w:sz w:val="17"/>
          <w:szCs w:val="17"/>
          <w:color w:val="auto"/>
        </w:rPr>
        <w:t>The Sponsor, Churchill’s officers and directors or any of their respective affiliates were reimbursed for any out-of-pocket expenses incurred in connection with activities on Churchill’s behalf such as identifying potential target businesses and performing due diligence on suitable business combinations.</w:t>
      </w:r>
    </w:p>
    <w:p>
      <w:pPr>
        <w:spacing w:after="0" w:line="96" w:lineRule="exact"/>
        <w:rPr>
          <w:sz w:val="20"/>
          <w:szCs w:val="20"/>
          <w:color w:val="auto"/>
        </w:rPr>
      </w:pPr>
    </w:p>
    <w:p>
      <w:pPr>
        <w:jc w:val="both"/>
        <w:ind w:left="1260" w:right="439" w:firstLine="360"/>
        <w:spacing w:after="0" w:line="262" w:lineRule="auto"/>
        <w:rPr>
          <w:sz w:val="20"/>
          <w:szCs w:val="20"/>
          <w:color w:val="auto"/>
        </w:rPr>
      </w:pPr>
      <w:r>
        <w:rPr>
          <w:rFonts w:ascii="Arial" w:cs="Arial" w:eastAsia="Arial" w:hAnsi="Arial"/>
          <w:sz w:val="17"/>
          <w:szCs w:val="17"/>
          <w:color w:val="auto"/>
        </w:rPr>
        <w:t>Churchill’s audit committee reviewed on a quarterly basis all payments that were made by Churchill to its Sponsor, officers, directors or its or any of their respective affiliates and determined which expenses and the amount of expenses that would be reimbursed. There was no cap or ceiling on the reimbursement of out-of-pocket expenses incurred by such persons in connection with activities on Churchill’s behalf.</w:t>
      </w:r>
    </w:p>
    <w:p>
      <w:pPr>
        <w:spacing w:after="0" w:line="91"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Andrew Liveris is current Chairman of our Board, was the Chairman of Lucid’s board of directors and is an operating partner of the Sponsor. Mr. Liveris also has had an economic interest in shares of our Class A common stock and Private Placement Warrants through his ownership of membership interests in the Sponsor. For more information, see the section entitled “</w:t>
      </w:r>
      <w:r>
        <w:rPr>
          <w:rFonts w:ascii="Arial" w:cs="Arial" w:eastAsia="Arial" w:hAnsi="Arial"/>
          <w:sz w:val="17"/>
          <w:szCs w:val="17"/>
          <w:i w:val="1"/>
          <w:iCs w:val="1"/>
          <w:color w:val="auto"/>
        </w:rPr>
        <w:t>Beneficial Ownership of Securities.</w:t>
      </w:r>
      <w:r>
        <w:rPr>
          <w:rFonts w:ascii="Arial" w:cs="Arial" w:eastAsia="Arial" w:hAnsi="Arial"/>
          <w:sz w:val="17"/>
          <w:szCs w:val="17"/>
          <w:color w:val="auto"/>
        </w:rPr>
        <w:t>”</w:t>
      </w:r>
    </w:p>
    <w:p>
      <w:pPr>
        <w:spacing w:after="0" w:line="10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February 22, 2021, Churchill issued the Note in the principal amount of $1,500,000 to the Sponsor.</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Note bore no interest and was repayable in full upon the closing of Merger. In connection with the</w:t>
      </w:r>
    </w:p>
    <w:p>
      <w:pPr>
        <w:ind w:left="1260"/>
        <w:spacing w:after="0" w:line="234" w:lineRule="auto"/>
        <w:rPr>
          <w:sz w:val="20"/>
          <w:szCs w:val="20"/>
          <w:color w:val="auto"/>
        </w:rPr>
      </w:pPr>
      <w:r>
        <w:rPr>
          <w:rFonts w:ascii="Arial" w:cs="Arial" w:eastAsia="Arial" w:hAnsi="Arial"/>
          <w:sz w:val="18"/>
          <w:szCs w:val="18"/>
          <w:color w:val="auto"/>
        </w:rPr>
        <w:t>Closing, the Sponsor has elected to exercise its option to convert the unpaid balance of the Note of</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$1,500,000 into 1,500,000 Working Capital Warrants. The terms of any such Working Capital Warrant are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identical to the terms of the Private Placement Warrants held by the Sponsor. The proceeds of the Note were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used to fund expenses related to Churchill’s normal operating expenses and other transactional related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expenses.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Sponsor Agreement</w:t>
      </w:r>
    </w:p>
    <w:p>
      <w:pPr>
        <w:spacing w:after="0" w:line="158"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In connection with the execution of the Merger Agreement, the Sponsor and certain insiders entered into the Sponsor Agreement pursuant to which they have agreed to comply with the provisions of the Merger</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7" w:name="page138"/>
    <w:bookmarkEnd w:id="1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Agreement applicable to such persons as well as the covenants set forth in the Sponsor Agreement, including voting all shares of common stock of Churchill beneficially owned by such persons in favor of the Transactions.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Investor Rights Agreement and Registration Rights</w:t>
      </w:r>
    </w:p>
    <w:p>
      <w:pPr>
        <w:spacing w:after="0" w:line="14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Churchill, the Sponsor, Ayar and certain other parties thereto entered into the Investor Rights Agreement, pursuant to which such stockholders are entitled to, among other things, certain registration rights, including demand, piggy-back and shelf registration rights, subject to cut-back provisions. We are also required to register additional shares of our common stock pursuant to the PIPE Subscription Agreements and the Warrant Agreement. To satisfy these obligations, we are registering up to 1,422,079,949 shares of Class A common stock pursuant to the registration statement of which this prospectus is a part. Certain parties to the Investor Rights Agreement, including the Sponsor and Ayar, have agreed not to sell, transfer, pledge or otherwise dispose of shares of Class A common stock they hold or receive for certain time periods specified therein.</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and Support Agreement</w:t>
      </w:r>
    </w:p>
    <w:p>
      <w:pPr>
        <w:spacing w:after="0" w:line="158" w:lineRule="exact"/>
        <w:rPr>
          <w:sz w:val="20"/>
          <w:szCs w:val="20"/>
          <w:color w:val="auto"/>
        </w:rPr>
      </w:pPr>
    </w:p>
    <w:p>
      <w:pPr>
        <w:ind w:left="1260" w:right="559" w:firstLine="360"/>
        <w:spacing w:after="0" w:line="272" w:lineRule="auto"/>
        <w:rPr>
          <w:sz w:val="20"/>
          <w:szCs w:val="20"/>
          <w:color w:val="auto"/>
        </w:rPr>
      </w:pPr>
      <w:r>
        <w:rPr>
          <w:rFonts w:ascii="Arial" w:cs="Arial" w:eastAsia="Arial" w:hAnsi="Arial"/>
          <w:sz w:val="17"/>
          <w:szCs w:val="17"/>
          <w:color w:val="auto"/>
        </w:rPr>
        <w:t>In connection with the Merger Agreement, on February 22, 2021, Churchill entered into a Voting and Support Agreement with Lucid and Ayar. Pursuant to the Voting and Support Agreement, Ayar agreed to vote all of its Lucid Shares, among other things, in favor of the adoption and approval of the Merger Agreement, the Transaction Agreements (as defined in the Merger Agreement) and the Transactions and in favor of the other matters set forth in the Merger Agreement, including the conversion of the Lucid Preferred Shares to Lucid Common Shares. The affirmative vote of the shares subject to the Voting and Support Agreement is sufficient to obtain the required approval by Lucid’s existing shareholders.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5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 connection with the execution of the Merger Agreement, Churchill entered into the PIPE Subscription Agreements with the PIPE Investors. Pursuant to the terms of the PIPE Subscription Agreements, Churchill agreed to issue and sell to the PIPE Investors, and the PIPE Investors have agreed to buy, 166,666,667 shares of Class A common stock at a purchase price of $15.00 per share for an aggregate commitment of $2,500,000,005. In connection with the PIPE Investment, Churchill entered into PIPE Subscription Agreements with Ayar, Lucid’s majority shareholder, Aristeia, which previously beneficially owned greater than five percent of Churchill’s outstanding stock, and entities affiliated with Magnetar, which previously beneficially owned greater than five percent of Churchill’s outstanding stock. Pursuant to such PIPE Subscription Agreements, (i) Ayar subscribed for 13,333,333 shares of Class A common stock for a commitment of $200.0 million, (ii) Aristeia subscribed for 666,667 shares of Class A common stock for a commitment of $10.0 million, and (iii) entities affiliated with Magnetar subscribed for an aggregate of 10,000,000 shares of Class A common stock for an aggregate commitment of $150.0 million.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Relationships and Related Person Transactions of Lucid</w:t>
      </w:r>
    </w:p>
    <w:p>
      <w:pPr>
        <w:spacing w:after="0" w:line="14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The following sets forth transactions and series of similar transactions, since January 1, 2018, in which Lucid participated or will participate, in which (i) the amounts involved exceeded or will exceed $120,000, and (ii) any of Lucid’s then directors, executive officers, or holders of more than 5% of its capital stock at the time of such transaction, or any member of the immediate family of the foregoing persons, had or will have a direct or indirect material interest.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Shareholder Agreements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Investors’ Rights Agreement</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Lucid entered into a third amended and restated investors’ rights agreement dated September 21, 2020 with certain of its preferred shareholders, including Ayar. The investors’ rights agreement grants registration rights, preemptive rights and information rights, among other things, to certain preferred shareholders, including Ayar. This agreement terminated upon the Closing.</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Right of First Refusal and Co-Sale Agreement</w:t>
      </w:r>
    </w:p>
    <w:p>
      <w:pPr>
        <w:spacing w:after="0" w:line="144" w:lineRule="exact"/>
        <w:rPr>
          <w:sz w:val="20"/>
          <w:szCs w:val="20"/>
          <w:color w:val="auto"/>
        </w:rPr>
      </w:pPr>
    </w:p>
    <w:p>
      <w:pPr>
        <w:ind w:left="1260" w:right="639" w:firstLine="360"/>
        <w:spacing w:after="0" w:line="262" w:lineRule="auto"/>
        <w:rPr>
          <w:sz w:val="20"/>
          <w:szCs w:val="20"/>
          <w:color w:val="auto"/>
        </w:rPr>
      </w:pPr>
      <w:r>
        <w:rPr>
          <w:rFonts w:ascii="Arial" w:cs="Arial" w:eastAsia="Arial" w:hAnsi="Arial"/>
          <w:sz w:val="17"/>
          <w:szCs w:val="17"/>
          <w:color w:val="auto"/>
        </w:rPr>
        <w:t>Lucid entered into a third amended and restated right of first refusal and co-sale agreement dated September 1, 2020 with certain of its preferred shareholders, including Ayar. The right of first refusal and co-sale agreement grants Ayar a right of first refusal and grants certain shareholders a right of co-sale in respect of certain sales of securities. This agreement terminated upon the Closing.</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Voting Agreement</w:t>
      </w:r>
    </w:p>
    <w:p>
      <w:pPr>
        <w:spacing w:after="0" w:line="15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7"/>
          <w:szCs w:val="17"/>
          <w:color w:val="auto"/>
        </w:rPr>
        <w:t>Lucid entered into a third amended and restated voting agreement dated September 21, 2020 with certain of its preferred shareholders, including Ayar, pursuant to which such shareholders have agreed to vote in certain ways on certain matters, including with respect to the election of directors of Lucid. This agreement terminated upon the Closing, following which none of Lucid’s shareholders has any rights pursuant to this agreement with respect to the election or designation of members of our Board.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Preferred Share and Convertible Note Financings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Series D Financing</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In September 2018, Lucid and Ayar entered into a secured convertible loan agreement, a securities purchase agreement and certain other agreements (together, the “</w:t>
      </w:r>
      <w:r>
        <w:rPr>
          <w:rFonts w:ascii="Arial" w:cs="Arial" w:eastAsia="Arial" w:hAnsi="Arial"/>
          <w:sz w:val="17"/>
          <w:szCs w:val="17"/>
          <w:i w:val="1"/>
          <w:iCs w:val="1"/>
          <w:color w:val="auto"/>
        </w:rPr>
        <w:t>2018 Series D Agreements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Pursuant to the 2018 Series D Agreements, Lucid issued and sold $300.0 million aggregate principal amount of secured convertible notes (the “</w:t>
      </w:r>
      <w:r>
        <w:rPr>
          <w:rFonts w:ascii="Arial" w:cs="Arial" w:eastAsia="Arial" w:hAnsi="Arial"/>
          <w:sz w:val="17"/>
          <w:szCs w:val="17"/>
          <w:i w:val="1"/>
          <w:iCs w:val="1"/>
          <w:color w:val="auto"/>
        </w:rPr>
        <w:t>Convertible Notes</w:t>
      </w:r>
      <w:r>
        <w:rPr>
          <w:rFonts w:ascii="Arial" w:cs="Arial" w:eastAsia="Arial" w:hAnsi="Arial"/>
          <w:sz w:val="17"/>
          <w:szCs w:val="17"/>
          <w:color w:val="auto"/>
        </w:rPr>
        <w:t>”) to Ayar and granted Ayar a security interest in substantially all of its tangible and intangible property (the “</w:t>
      </w:r>
      <w:r>
        <w:rPr>
          <w:rFonts w:ascii="Arial" w:cs="Arial" w:eastAsia="Arial" w:hAnsi="Arial"/>
          <w:sz w:val="17"/>
          <w:szCs w:val="17"/>
          <w:i w:val="1"/>
          <w:iCs w:val="1"/>
          <w:color w:val="auto"/>
        </w:rPr>
        <w:t>Security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The Convertible Notes bore interest at a rate of 8% per annum. Under the 2018 Series D Agreements, the Convertible Notes (and any interest accruing thereon) automatically convert into Lucid Series D Preferred Shares at a conversion price of $6.41 per share upon satisfaction of certain conditions, including approval by the Committee on Foreign Investment in the</w:t>
      </w:r>
    </w:p>
    <w:p>
      <w:pPr>
        <w:spacing w:after="0" w:line="100" w:lineRule="exact"/>
        <w:rPr>
          <w:sz w:val="20"/>
          <w:szCs w:val="20"/>
          <w:color w:val="auto"/>
        </w:rPr>
      </w:pPr>
    </w:p>
    <w:p>
      <w:pPr>
        <w:ind w:left="1260" w:right="539" w:firstLine="360"/>
        <w:spacing w:after="0" w:line="270" w:lineRule="auto"/>
        <w:rPr>
          <w:sz w:val="20"/>
          <w:szCs w:val="20"/>
          <w:color w:val="auto"/>
        </w:rPr>
      </w:pPr>
      <w:r>
        <w:rPr>
          <w:rFonts w:ascii="Arial" w:cs="Arial" w:eastAsia="Arial" w:hAnsi="Arial"/>
          <w:sz w:val="17"/>
          <w:szCs w:val="17"/>
          <w:color w:val="auto"/>
        </w:rPr>
        <w:t>United States (“</w:t>
      </w:r>
      <w:r>
        <w:rPr>
          <w:rFonts w:ascii="Arial" w:cs="Arial" w:eastAsia="Arial" w:hAnsi="Arial"/>
          <w:sz w:val="17"/>
          <w:szCs w:val="17"/>
          <w:i w:val="1"/>
          <w:iCs w:val="1"/>
          <w:color w:val="auto"/>
        </w:rPr>
        <w:t>CFIUS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Ayar agreed to subscribe for approximately $200.0 million in additional Lucid Series D Preferred Shares at $6.41 per share upon the conversion of the Convertible Notes and an additional amount of up to $800.0 million thereafter subject to the satisfaction of certain milestones.</w:t>
      </w:r>
    </w:p>
    <w:p>
      <w:pPr>
        <w:spacing w:after="0" w:line="96"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In April 2019, upon CFIUS approval and pursuant to the terms of the 2018 Series D Agreements, Ayar released the Security Interest, and Lucid issued and sold Ayar an aggregate of 79,343,833 Lucid Series D Preferred Shares, including (i) 48,142,585 Lucid Series D Preferred Shares issued at a conversion price of $6.41 per share upon conversion of the $300.0 million aggregate principal amount of the Convertible Notes and approximately $8.6 million in accrued and unpaid interest on the Convertible Notes and (ii) 31,201,248 Lucid Series D Preferred Shares issued at a purchase price of $6.41 per share for aggregate cash consideration of approximately $200.0 million.</w:t>
      </w:r>
    </w:p>
    <w:p>
      <w:pPr>
        <w:spacing w:after="0" w:line="123"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Pursuant to the 2018 Series D Agreements, upon the satisfaction of various milestones, Lucid issued and sold Ayar an aggregate of 124,804,992 additional Lucid Series D Preferred Shares in subsequent closings between June 2019 and June 2020 at a purchase price of $6.41 per share for aggregate cash consideration of approximately $800.0 million.</w:t>
      </w:r>
    </w:p>
    <w:p>
      <w:pPr>
        <w:spacing w:after="0" w:line="107"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The 2018 Series D Agreements also contemplated certain commercial arrangements which are now satisfied. In the 2018 Series D Agreements, Lucid and Ayar agreed to establish a partnership which would have been granted exclusive development, manufacturing, distribution and service capabilities in respect of Lucid’s products and services in Africa, Europe, the Middle East, and India and to negotiate in good faith a business plan that included a full production facility in the Kingdom of Saudi Arabia. In December 2020, Lucid’s board of directors, with the support of Ayar, decided to instead pursue a strategy that contemplates global sales and distribution and manufacturing of Lucid vehicles and other products in Asia-Pacific, the Middle East and potentially Europe through wholly owned subsidiaries of Lucid. As part of this strategy, Lucid’s business plan contemplates manufacturing facilities in Saudi Arabia and China. In connection with this decision, Lucid has satisfied its applicable obligations under the 2018 Series D Agreements.</w:t>
      </w:r>
    </w:p>
    <w:p>
      <w:pPr>
        <w:spacing w:after="0" w:line="113" w:lineRule="exact"/>
        <w:rPr>
          <w:sz w:val="20"/>
          <w:szCs w:val="20"/>
          <w:color w:val="auto"/>
        </w:rPr>
      </w:pPr>
    </w:p>
    <w:p>
      <w:pPr>
        <w:ind w:left="1260" w:right="639" w:firstLine="360"/>
        <w:spacing w:after="0" w:line="291" w:lineRule="auto"/>
        <w:rPr>
          <w:sz w:val="20"/>
          <w:szCs w:val="20"/>
          <w:color w:val="auto"/>
        </w:rPr>
      </w:pPr>
      <w:r>
        <w:rPr>
          <w:rFonts w:ascii="Arial" w:cs="Arial" w:eastAsia="Arial" w:hAnsi="Arial"/>
          <w:sz w:val="17"/>
          <w:szCs w:val="17"/>
          <w:color w:val="auto"/>
        </w:rPr>
        <w:t>In connection with the Transactions, each Lucid Series D Preferred Share held by Ayar automatically converted into one Lucid Common Share and was exchanged for the per share Merger Consideration.</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Series E Financing</w:t>
      </w:r>
    </w:p>
    <w:p>
      <w:pPr>
        <w:spacing w:after="0" w:line="144"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In September 2020, Lucid and Ayar entered into a preferred share purchase agreement (the “</w:t>
      </w:r>
      <w:r>
        <w:rPr>
          <w:rFonts w:ascii="Arial" w:cs="Arial" w:eastAsia="Arial" w:hAnsi="Arial"/>
          <w:sz w:val="18"/>
          <w:szCs w:val="18"/>
          <w:i w:val="1"/>
          <w:iCs w:val="1"/>
          <w:color w:val="auto"/>
        </w:rPr>
        <w:t>Series 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r>
        <w:rPr>
          <w:rFonts w:ascii="Arial" w:cs="Arial" w:eastAsia="Arial" w:hAnsi="Arial"/>
          <w:sz w:val="18"/>
          <w:szCs w:val="18"/>
          <w:i w:val="1"/>
          <w:iCs w:val="1"/>
          <w:color w:val="auto"/>
        </w:rPr>
        <w:t xml:space="preserve"> . </w:t>
      </w:r>
      <w:r>
        <w:rPr>
          <w:rFonts w:ascii="Arial" w:cs="Arial" w:eastAsia="Arial" w:hAnsi="Arial"/>
          <w:sz w:val="18"/>
          <w:szCs w:val="18"/>
          <w:color w:val="auto"/>
        </w:rPr>
        <w:t>Pursuant to the Series E Agreement, Lucid issued and sold Ayar an aggregate of 113,877,589</w:t>
      </w:r>
      <w:r>
        <w:rPr>
          <w:rFonts w:ascii="Arial" w:cs="Arial" w:eastAsia="Arial" w:hAnsi="Arial"/>
          <w:sz w:val="18"/>
          <w:szCs w:val="18"/>
          <w:i w:val="1"/>
          <w:iCs w:val="1"/>
          <w:color w:val="auto"/>
        </w:rPr>
        <w:t xml:space="preserve"> </w:t>
      </w:r>
      <w:r>
        <w:rPr>
          <w:rFonts w:ascii="Arial" w:cs="Arial" w:eastAsia="Arial" w:hAnsi="Arial"/>
          <w:sz w:val="18"/>
          <w:szCs w:val="18"/>
          <w:color w:val="auto"/>
        </w:rPr>
        <w:t>Lucid Series E Preferred Shares in two closings in September and December 2020 at a purchase price of approximately $7.90 per share (the “</w:t>
      </w:r>
      <w:r>
        <w:rPr>
          <w:rFonts w:ascii="Arial" w:cs="Arial" w:eastAsia="Arial" w:hAnsi="Arial"/>
          <w:sz w:val="18"/>
          <w:szCs w:val="18"/>
          <w:i w:val="1"/>
          <w:iCs w:val="1"/>
          <w:color w:val="auto"/>
        </w:rPr>
        <w:t>Series E Price</w:t>
      </w:r>
      <w:r>
        <w:rPr>
          <w:rFonts w:ascii="Arial" w:cs="Arial" w:eastAsia="Arial" w:hAnsi="Arial"/>
          <w:sz w:val="18"/>
          <w:szCs w:val="18"/>
          <w:color w:val="auto"/>
        </w:rPr>
        <w:t>”) for aggregate cash consideration of approximately $900.0 million.</w:t>
      </w:r>
    </w:p>
    <w:p>
      <w:pPr>
        <w:spacing w:after="0" w:line="122"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In February 2021, Lucid and Ayar entered into an amendment to the Series E Agreement (the “</w:t>
      </w:r>
      <w:r>
        <w:rPr>
          <w:rFonts w:ascii="Arial" w:cs="Arial" w:eastAsia="Arial" w:hAnsi="Arial"/>
          <w:sz w:val="17"/>
          <w:szCs w:val="17"/>
          <w:i w:val="1"/>
          <w:iCs w:val="1"/>
          <w:color w:val="auto"/>
        </w:rPr>
        <w:t>Series E</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w:t>
      </w:r>
      <w:r>
        <w:rPr>
          <w:rFonts w:ascii="Arial" w:cs="Arial" w:eastAsia="Arial" w:hAnsi="Arial"/>
          <w:sz w:val="17"/>
          <w:szCs w:val="17"/>
          <w:color w:val="auto"/>
        </w:rPr>
        <w:t>”), pursuant to which Lucid agreed to issue and sell an additional 75,918,392 Lucid Series E</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Shares (the “</w:t>
      </w:r>
      <w:r>
        <w:rPr>
          <w:rFonts w:ascii="Arial" w:cs="Arial" w:eastAsia="Arial" w:hAnsi="Arial"/>
          <w:sz w:val="17"/>
          <w:szCs w:val="17"/>
          <w:i w:val="1"/>
          <w:iCs w:val="1"/>
          <w:color w:val="auto"/>
        </w:rPr>
        <w:t>Extension Amount</w:t>
      </w:r>
      <w:r>
        <w:rPr>
          <w:rFonts w:ascii="Arial" w:cs="Arial" w:eastAsia="Arial" w:hAnsi="Arial"/>
          <w:sz w:val="17"/>
          <w:szCs w:val="17"/>
          <w:color w:val="auto"/>
        </w:rPr>
        <w:t xml:space="preserve"> ”) at the Series E Price for aggregate cash consideration of approximately $600.0 million to (i) Ayar and (ii) holders of Lucid’s preferred shares other than Ayar as of March 1, 2021 (collectively, “</w:t>
      </w:r>
      <w:r>
        <w:rPr>
          <w:rFonts w:ascii="Arial" w:cs="Arial" w:eastAsia="Arial" w:hAnsi="Arial"/>
          <w:sz w:val="17"/>
          <w:szCs w:val="17"/>
          <w:i w:val="1"/>
          <w:iCs w:val="1"/>
          <w:color w:val="auto"/>
        </w:rPr>
        <w:t>Eligible Holders</w:t>
      </w:r>
      <w:r>
        <w:rPr>
          <w:rFonts w:ascii="Arial" w:cs="Arial" w:eastAsia="Arial" w:hAnsi="Arial"/>
          <w:sz w:val="17"/>
          <w:szCs w:val="17"/>
          <w:color w:val="auto"/>
        </w:rPr>
        <w:t>”) that elect to participate in a rights offering, in each case based on their respective pro rata share of the Extension Amount. Eligible Holders received a right of over allocation to the extent the aggregate pro rata share for Eligible Holders was not taken up. Lucid was also granted discretion to offer Lucid Series E Preferred Shares to Lucid’s senior management employees, directors, consultants, advisors, contractors, and others, subject to compliance with applicable securities laws and Ayar’s approval as to the identity of such person and the number of shares offered (each, an “</w:t>
      </w:r>
      <w:r>
        <w:rPr>
          <w:rFonts w:ascii="Arial" w:cs="Arial" w:eastAsia="Arial" w:hAnsi="Arial"/>
          <w:sz w:val="17"/>
          <w:szCs w:val="17"/>
          <w:i w:val="1"/>
          <w:iCs w:val="1"/>
          <w:color w:val="auto"/>
        </w:rPr>
        <w:t>Additional Purchaser</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Ayar committed to purchase the entire Extension Amount to the extent not subscribed by Eligible Holders or Additional Purchasers.</w:t>
      </w:r>
    </w:p>
    <w:p>
      <w:pPr>
        <w:spacing w:after="0" w:line="116"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Upon the execution of the Series E Amendment, Lucid issued and sold Ayar 50,612,262 Lucid Series E Preferred Shares at the Series E Price for cash consideration of approximately $400.0 million. In early April 2021, Lucid issued and sold an additional 25,306,130 Lucid Series E Preferred Shares at the Series E Price for cash consideration of approximately $200.0 million as follows: (i) to Eligible Holders (not including Ayar) pursuant to a rights offering for an aggregate of 8,977,769 Lucid Series E Preferred Shares (representing such Eligible Holders’ aggregate pro rata share of the Extension Amount); (ii) to certain Additional Purchasers (comprised of directors, senior management of Lucid, and certain other individuals), an aggregate of 6,026,345 Lucid Series E Preferred Shares including 202,449 Lucid Series E Preferred Shares each to Andrew Liveris, Peter Rawlinson, and Xiaobing Chen (a current director of Lucid), 1,741,526 Lucid Series E Preferred Shares to H.E. Yasir Othman Al-Rumayyan, 782,957 Lucid Series E Preferred Shares to Turqi Alnowaiser, 20,000 Lucid Series E Preferred Shares to Tony Posawatz, 221,428 Lucid Series E Preferred Shares to Eric Bach, 37,959 Lucid Series E Preferred Shares to Michael Bell and 45,000 Lucid Series E Preferred Shares to Michael Smuts; and (iii) to Ayar, an aggregate of 10,302,016 Lucid Series E Preferred Shares pursuant to Ayar’s commitment to purchase any Lucid Series E Preferred Shares not purchased by Eligible Holders or Additional Purchasers.</w:t>
      </w:r>
    </w:p>
    <w:p>
      <w:pPr>
        <w:spacing w:after="0" w:line="106"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In connection with the Transactions, each Lucid Series E Preferred Share automatically converted into one Lucid Common Share and was exchanged for the per share Merger Consideration.</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Separation Agreements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Doug Haslam</w:t>
      </w:r>
    </w:p>
    <w:p>
      <w:pPr>
        <w:spacing w:after="0" w:line="15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In January 2019, Lucid entered into a separation agreement and release of claims with Doug Haslam, its former Vice President of Human Resources and Secretary. Pursuant to this agreement, Mr. Haslam agreed to resign from his positions with Lucid and executed a general release of claims, and Lucid agreed to provide certain severance benefits, including (i) a lump sum payment of $127,500, (ii) continued benefits eligibility for a period of up to six months and (iii) accelerated vesting of a previously granted option to purchase 150,000 Lucid Common Shares.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Sam Weng</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April 2019, Lucid entered into a resignation agreement and release of claims with Sam Weng, its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former Chief Executive Officer and a former member of Lucid’s board of directors. Pursuant to this</w:t>
      </w:r>
    </w:p>
    <w:p>
      <w:pPr>
        <w:ind w:left="1260"/>
        <w:spacing w:after="0" w:line="234" w:lineRule="auto"/>
        <w:rPr>
          <w:sz w:val="20"/>
          <w:szCs w:val="20"/>
          <w:color w:val="auto"/>
        </w:rPr>
      </w:pPr>
      <w:r>
        <w:rPr>
          <w:rFonts w:ascii="Arial" w:cs="Arial" w:eastAsia="Arial" w:hAnsi="Arial"/>
          <w:sz w:val="18"/>
          <w:szCs w:val="18"/>
          <w:color w:val="auto"/>
        </w:rPr>
        <w:t>agreement, Mr. Weng agreed to resign from his positions with Lucid and executed a general release of</w:t>
      </w:r>
    </w:p>
    <w:p>
      <w:pPr>
        <w:ind w:left="1260"/>
        <w:spacing w:after="0" w:line="235" w:lineRule="auto"/>
        <w:rPr>
          <w:sz w:val="20"/>
          <w:szCs w:val="20"/>
          <w:color w:val="auto"/>
        </w:rPr>
      </w:pPr>
      <w:r>
        <w:rPr>
          <w:rFonts w:ascii="Arial" w:cs="Arial" w:eastAsia="Arial" w:hAnsi="Arial"/>
          <w:sz w:val="18"/>
          <w:szCs w:val="18"/>
          <w:color w:val="auto"/>
        </w:rPr>
        <w:t>claims, and Lucid agreed to provide certain severance benefits, including (i) a lump sum payment of</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$350,000, (ii) continued benefits eligibility for a period of up to one year, (iii) grant of an option to purchase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1,500,000</w:t>
      </w: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94" w:lineRule="auto"/>
        <w:rPr>
          <w:sz w:val="20"/>
          <w:szCs w:val="20"/>
          <w:color w:val="auto"/>
        </w:rPr>
      </w:pPr>
      <w:r>
        <w:rPr>
          <w:rFonts w:ascii="Arial" w:cs="Arial" w:eastAsia="Arial" w:hAnsi="Arial"/>
          <w:sz w:val="16"/>
          <w:szCs w:val="16"/>
          <w:color w:val="auto"/>
        </w:rPr>
        <w:t>Lucid Common Shares at an exercise price of $2.19 per share, with accelerated vesting such that 1,156,250 shares subject to such option became vested upon Mr. Weng’s resignation and (iv) accelerated vesting of 41,667 unvested shares subject to a previously granted option to purchase 250,000 Lucid Common Shares.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Public Investment Fund Training Program</w:t>
      </w:r>
    </w:p>
    <w:p>
      <w:pPr>
        <w:spacing w:after="0" w:line="144"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In 2019, Lucid and PIF, an affiliate of Ayar, entered into an agreement to implement a recruitment and talent development program pursuant to which Lucid agreed to evaluate, employ and train participants nominated by PIF for six-month internships, and PIF agreed to reimburse Lucid for expenses related to participant wages, visa fees, medical insurance, airfare and housing incurred by Lucid. Lucid was reimbursed a total of $709,000 by PIF for such expenses in connection with the program from its 2019 initiation until its termination in 2020.</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Professional Services Contract</w:t>
      </w:r>
    </w:p>
    <w:p>
      <w:pPr>
        <w:spacing w:after="0" w:line="158" w:lineRule="exact"/>
        <w:rPr>
          <w:sz w:val="20"/>
          <w:szCs w:val="20"/>
          <w:color w:val="auto"/>
        </w:rPr>
      </w:pPr>
    </w:p>
    <w:p>
      <w:pPr>
        <w:ind w:left="1260" w:right="839" w:firstLine="360"/>
        <w:spacing w:after="0" w:line="241" w:lineRule="auto"/>
        <w:rPr>
          <w:sz w:val="20"/>
          <w:szCs w:val="20"/>
          <w:color w:val="auto"/>
        </w:rPr>
      </w:pPr>
      <w:r>
        <w:rPr>
          <w:rFonts w:ascii="Arial" w:cs="Arial" w:eastAsia="Arial" w:hAnsi="Arial"/>
          <w:sz w:val="18"/>
          <w:szCs w:val="18"/>
          <w:color w:val="auto"/>
        </w:rPr>
        <w:t>On July 14, 2021, a subsidiary of Lucid entered into a master services agreement with Emdad Al Khebrat Limited Company (“</w:t>
      </w:r>
      <w:r>
        <w:rPr>
          <w:rFonts w:ascii="Arial" w:cs="Arial" w:eastAsia="Arial" w:hAnsi="Arial"/>
          <w:sz w:val="18"/>
          <w:szCs w:val="18"/>
          <w:i w:val="1"/>
          <w:iCs w:val="1"/>
          <w:color w:val="auto"/>
        </w:rPr>
        <w:t>Emdad</w:t>
      </w:r>
      <w:r>
        <w:rPr>
          <w:rFonts w:ascii="Arial" w:cs="Arial" w:eastAsia="Arial" w:hAnsi="Arial"/>
          <w:sz w:val="18"/>
          <w:szCs w:val="18"/>
          <w:color w:val="auto"/>
        </w:rPr>
        <w:t>”), an entity wholly owned by PIF, the parent entity of Ayar, our majority stockholder. Pursuant to the agreement, Emdad will provide direct hire and contractor staffing services to us. We expect to make payments under the agreement of approximately $9 million in the aggregate in 2021.</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Public Investment Fund Internship Agreement</w:t>
      </w:r>
    </w:p>
    <w:p>
      <w:pPr>
        <w:spacing w:after="0" w:line="15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7"/>
          <w:szCs w:val="17"/>
          <w:color w:val="auto"/>
        </w:rPr>
        <w:t>We entered into an agreement with PIF, the parent entity of Ayar, our majority stockholder, to implement a recruitment and talent development program pursuant to which we agreed to evaluate, employ and train participants nominated by PIF during six-month internships, and PIF agreed to reimburse us for expenses related to participant wages, visa fees, medical insurance, airfare and housing incurred by us. We expect to be reimbursed by PIF in an aggregate of $1 million in 2021 for such expenses.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Executive Officer and Director Compensation Arrangements</w:t>
      </w:r>
    </w:p>
    <w:p>
      <w:pPr>
        <w:spacing w:after="0" w:line="144" w:lineRule="exact"/>
        <w:rPr>
          <w:sz w:val="20"/>
          <w:szCs w:val="20"/>
          <w:color w:val="auto"/>
        </w:rPr>
      </w:pPr>
    </w:p>
    <w:p>
      <w:pPr>
        <w:ind w:left="1260" w:right="1099" w:firstLine="360"/>
        <w:spacing w:after="0" w:line="270" w:lineRule="auto"/>
        <w:rPr>
          <w:sz w:val="20"/>
          <w:szCs w:val="20"/>
          <w:color w:val="auto"/>
        </w:rPr>
      </w:pPr>
      <w:r>
        <w:rPr>
          <w:rFonts w:ascii="Arial" w:cs="Arial" w:eastAsia="Arial" w:hAnsi="Arial"/>
          <w:sz w:val="17"/>
          <w:szCs w:val="17"/>
          <w:color w:val="auto"/>
        </w:rPr>
        <w:t xml:space="preserve">See “ </w:t>
      </w:r>
      <w:r>
        <w:rPr>
          <w:rFonts w:ascii="Arial" w:cs="Arial" w:eastAsia="Arial" w:hAnsi="Arial"/>
          <w:sz w:val="17"/>
          <w:szCs w:val="17"/>
          <w:i w:val="1"/>
          <w:iCs w:val="1"/>
          <w:color w:val="auto"/>
        </w:rPr>
        <w:t>Executive Compensation</w:t>
      </w:r>
      <w:r>
        <w:rPr>
          <w:rFonts w:ascii="Arial" w:cs="Arial" w:eastAsia="Arial" w:hAnsi="Arial"/>
          <w:sz w:val="17"/>
          <w:szCs w:val="17"/>
          <w:color w:val="auto"/>
        </w:rPr>
        <w:t>” for information regarding compensation arrangements with our executive officers and directors, which include, among other things, employment, termination of employment and change in control arrangements, stock awards and certain other benefits.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and Executive Officer Indemnification</w:t>
      </w:r>
    </w:p>
    <w:p>
      <w:pPr>
        <w:spacing w:after="0" w:line="158"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7"/>
          <w:szCs w:val="17"/>
          <w:color w:val="auto"/>
        </w:rPr>
        <w:t>Lucid’s memorandum and articles of association provided, and our current certificate of incorporation and our current bylaws provide, for indemnification for directors and certain officers to the fullest extent permitted by law. Lucid previously entered and, in connection with the Closing, we entered into indemnification agreements with each director and executive officer and certain other officers. Such agreements provide among other things, the officers and directors of Lucid or Lucid Group, respectively, with contractual rights to indemnification, expense advancement and reimbursement, to the fullest extent permitted by law, including to the extent they serve at Lucid’s or Lucid Group’s request as directors, officers, employees or other agents of any other affiliated entity, to the fullest extent permitted by law.</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62"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Our Board has adopted a written related person transaction policy that sets forth the following policies and procedures for the review and approval or ratification of related person transactions. A “related person transaction” is a transaction, arrangement or relationship in which Lucid Group or any of its subsidiaries was, is or will be a participant, the amount of which involved exceeds $120,000, and in which any related person had, has or will have a direct or indirect material interest. A “related person” means:</w:t>
      </w:r>
    </w:p>
    <w:p>
      <w:pPr>
        <w:spacing w:after="0" w:line="52" w:lineRule="exact"/>
        <w:rPr>
          <w:sz w:val="20"/>
          <w:szCs w:val="20"/>
          <w:color w:val="auto"/>
        </w:rPr>
      </w:pPr>
    </w:p>
    <w:p>
      <w:pPr>
        <w:ind w:left="1800" w:right="579" w:hanging="180"/>
        <w:spacing w:after="0" w:line="277"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Lucid Group’s executive officers or directors;</w:t>
      </w:r>
    </w:p>
    <w:p>
      <w:pPr>
        <w:spacing w:after="0" w:line="62"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person who is known by Lucid Group to be the beneficial owner of more than 5% of Lucid Group’s voting stock;</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hanging="180"/>
        <w:spacing w:after="0" w:line="255" w:lineRule="auto"/>
        <w:tabs>
          <w:tab w:leader="none" w:pos="1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Lucid Group’s voting stock, and any person (other than a tenant or employee) sharing the household of such director, executive officer or beneficial owner of more than 5% of Lucid Group’s voting stock; and</w:t>
      </w:r>
    </w:p>
    <w:p>
      <w:pPr>
        <w:spacing w:after="0" w:line="84" w:lineRule="exact"/>
        <w:rPr>
          <w:rFonts w:ascii="Arial" w:cs="Arial" w:eastAsia="Arial" w:hAnsi="Arial"/>
          <w:sz w:val="18"/>
          <w:szCs w:val="18"/>
          <w:color w:val="auto"/>
        </w:rPr>
      </w:pPr>
    </w:p>
    <w:p>
      <w:pPr>
        <w:jc w:val="both"/>
        <w:ind w:left="1800" w:right="579" w:hanging="180"/>
        <w:spacing w:after="0" w:line="308" w:lineRule="auto"/>
        <w:tabs>
          <w:tab w:leader="none" w:pos="18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firm, corporation or other entity in which any of the foregoing persons is a partner or principal, or in a similar position, or in which such person has a 10% or greater beneficial ownership interest.</w:t>
      </w:r>
    </w:p>
    <w:p>
      <w:pPr>
        <w:spacing w:after="0" w:line="65"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Lucid Group has policies and procedures designed to minimize potential conflicts of interest arising from any dealings it may have with its affiliates and to provide appropriate procedures for the disclosure of any actual or potential conflicts of interest that may exist from time to time. Specifically, pursuant to its audit committee charter, Lucid Group’s audit committee has the responsibility to review 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BENEFICIAL OWNERSHIP OF SECURITIES</w:t>
      </w:r>
    </w:p>
    <w:p>
      <w:pPr>
        <w:spacing w:after="0" w:line="148"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7"/>
          <w:szCs w:val="17"/>
          <w:color w:val="auto"/>
        </w:rPr>
        <w:t>The following table sets forth information known to us regarding the beneficial ownership of Class A common stock immediately following consummation of the Transactions the Closing Date by:</w:t>
      </w:r>
    </w:p>
    <w:p>
      <w:pPr>
        <w:spacing w:after="0" w:line="39" w:lineRule="exact"/>
        <w:rPr>
          <w:sz w:val="20"/>
          <w:szCs w:val="20"/>
          <w:color w:val="auto"/>
        </w:rPr>
      </w:pPr>
    </w:p>
    <w:p>
      <w:pPr>
        <w:ind w:left="1800" w:right="979" w:hanging="180"/>
        <w:spacing w:after="0" w:line="277"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person who is the beneficial owner of more than 5% of the outstanding shares of Class A common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58"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08" w:lineRule="exact"/>
        <w:rPr>
          <w:sz w:val="20"/>
          <w:szCs w:val="20"/>
          <w:color w:val="auto"/>
        </w:rPr>
      </w:pPr>
    </w:p>
    <w:p>
      <w:pPr>
        <w:jc w:val="both"/>
        <w:ind w:left="1260" w:right="959" w:firstLine="360"/>
        <w:spacing w:after="0" w:line="243" w:lineRule="auto"/>
        <w:rPr>
          <w:sz w:val="20"/>
          <w:szCs w:val="20"/>
          <w:color w:val="auto"/>
        </w:rPr>
      </w:pPr>
      <w:r>
        <w:rPr>
          <w:rFonts w:ascii="Arial" w:cs="Arial" w:eastAsia="Arial" w:hAnsi="Arial"/>
          <w:sz w:val="18"/>
          <w:szCs w:val="18"/>
          <w:color w:val="auto"/>
        </w:rPr>
        <w:t>The beneficial ownership of Class A common stock is based on 1,618,621,534 shares of Class A common stock issued and outstanding immediately following consummation of the Transactions. The amount of shares of Class A common stock excludes the 21,644 shares that were validly redeemed in connection with the Merger.</w:t>
      </w:r>
    </w:p>
    <w:p>
      <w:pPr>
        <w:sectPr>
          <w:pgSz w:w="11900" w:h="16838" w:orient="portrait"/>
          <w:cols w:equalWidth="0" w:num="1">
            <w:col w:w="9879"/>
          </w:cols>
          <w:pgMar w:left="580" w:top="131" w:right="1440" w:bottom="1440" w:gutter="0" w:footer="0" w:header="0"/>
        </w:sectPr>
      </w:pPr>
    </w:p>
    <w:p>
      <w:pPr>
        <w:spacing w:after="0" w:line="10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460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i w:val="1"/>
          <w:iCs w:val="1"/>
          <w:color w:val="auto"/>
        </w:rPr>
        <w:t>Five Percent Holders:</w:t>
      </w:r>
    </w:p>
    <w:p>
      <w:pPr>
        <w:ind w:left="1260"/>
        <w:spacing w:after="0" w:line="184" w:lineRule="auto"/>
        <w:rPr>
          <w:sz w:val="20"/>
          <w:szCs w:val="20"/>
          <w:color w:val="auto"/>
        </w:rPr>
      </w:pPr>
      <w:r>
        <w:rPr>
          <w:rFonts w:ascii="Arial" w:cs="Arial" w:eastAsia="Arial" w:hAnsi="Arial"/>
          <w:sz w:val="18"/>
          <w:szCs w:val="18"/>
          <w:color w:val="auto"/>
        </w:rPr>
        <w:t>Churchill Sponsor IV LLC</w:t>
      </w:r>
      <w:r>
        <w:rPr>
          <w:rFonts w:ascii="Arial" w:cs="Arial" w:eastAsia="Arial" w:hAnsi="Arial"/>
          <w:sz w:val="26"/>
          <w:szCs w:val="26"/>
          <w:color w:val="auto"/>
          <w:vertAlign w:val="superscript"/>
        </w:rPr>
        <w:t>(2)</w:t>
      </w:r>
    </w:p>
    <w:p>
      <w:pPr>
        <w:ind w:left="1260"/>
        <w:spacing w:after="0" w:line="217" w:lineRule="auto"/>
        <w:rPr>
          <w:sz w:val="20"/>
          <w:szCs w:val="20"/>
          <w:color w:val="auto"/>
        </w:rPr>
      </w:pPr>
      <w:r>
        <w:rPr>
          <w:rFonts w:ascii="Arial" w:cs="Arial" w:eastAsia="Arial" w:hAnsi="Arial"/>
          <w:sz w:val="18"/>
          <w:szCs w:val="18"/>
          <w:color w:val="auto"/>
        </w:rPr>
        <w:t>The Public Investment Fund</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5212080" cy="1454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ind w:left="1260"/>
        <w:spacing w:after="0" w:line="203" w:lineRule="auto"/>
        <w:rPr>
          <w:sz w:val="20"/>
          <w:szCs w:val="20"/>
          <w:color w:val="auto"/>
        </w:rPr>
      </w:pPr>
      <w:r>
        <w:rPr>
          <w:rFonts w:ascii="Arial" w:cs="Arial" w:eastAsia="Arial" w:hAnsi="Arial"/>
          <w:sz w:val="18"/>
          <w:szCs w:val="18"/>
          <w:i w:val="1"/>
          <w:iCs w:val="1"/>
          <w:color w:val="auto"/>
        </w:rPr>
        <w:t>Named Executive Officers and Directors:</w:t>
      </w:r>
    </w:p>
    <w:p>
      <w:pPr>
        <w:ind w:left="1260"/>
        <w:spacing w:after="0" w:line="184" w:lineRule="auto"/>
        <w:rPr>
          <w:sz w:val="20"/>
          <w:szCs w:val="20"/>
          <w:color w:val="auto"/>
        </w:rPr>
      </w:pPr>
      <w:r>
        <w:rPr>
          <w:rFonts w:ascii="Arial" w:cs="Arial" w:eastAsia="Arial" w:hAnsi="Arial"/>
          <w:sz w:val="18"/>
          <w:szCs w:val="18"/>
          <w:color w:val="auto"/>
        </w:rPr>
        <w:t>Peter Rawlinson</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5212080" cy="146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ind w:left="1260"/>
        <w:spacing w:after="0" w:line="184" w:lineRule="auto"/>
        <w:rPr>
          <w:sz w:val="20"/>
          <w:szCs w:val="20"/>
          <w:color w:val="auto"/>
        </w:rPr>
      </w:pPr>
      <w:r>
        <w:rPr>
          <w:rFonts w:ascii="Arial" w:cs="Arial" w:eastAsia="Arial" w:hAnsi="Arial"/>
          <w:sz w:val="18"/>
          <w:szCs w:val="18"/>
          <w:color w:val="auto"/>
        </w:rPr>
        <w:t>Eric Bach</w:t>
      </w:r>
      <w:r>
        <w:rPr>
          <w:rFonts w:ascii="Arial" w:cs="Arial" w:eastAsia="Arial" w:hAnsi="Arial"/>
          <w:sz w:val="26"/>
          <w:szCs w:val="26"/>
          <w:color w:val="auto"/>
          <w:vertAlign w:val="superscript"/>
        </w:rPr>
        <w:t>(5)</w:t>
      </w:r>
    </w:p>
    <w:p>
      <w:pPr>
        <w:ind w:left="1260"/>
        <w:spacing w:after="0" w:line="195" w:lineRule="auto"/>
        <w:rPr>
          <w:sz w:val="20"/>
          <w:szCs w:val="20"/>
          <w:color w:val="auto"/>
        </w:rPr>
      </w:pPr>
      <w:r>
        <w:rPr>
          <w:rFonts w:ascii="Arial" w:cs="Arial" w:eastAsia="Arial" w:hAnsi="Arial"/>
          <w:sz w:val="18"/>
          <w:szCs w:val="18"/>
          <w:color w:val="auto"/>
        </w:rPr>
        <w:t>Michael Smuts</w:t>
      </w:r>
      <w:r>
        <w:rPr>
          <w:rFonts w:ascii="Arial" w:cs="Arial" w:eastAsia="Arial" w:hAnsi="Arial"/>
          <w:sz w:val="26"/>
          <w:szCs w:val="26"/>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-145415</wp:posOffset>
            </wp:positionV>
            <wp:extent cx="5212080" cy="146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ind w:left="1260"/>
        <w:spacing w:after="0" w:line="195" w:lineRule="auto"/>
        <w:rPr>
          <w:sz w:val="20"/>
          <w:szCs w:val="20"/>
          <w:color w:val="auto"/>
        </w:rPr>
      </w:pPr>
      <w:r>
        <w:rPr>
          <w:rFonts w:ascii="Arial" w:cs="Arial" w:eastAsia="Arial" w:hAnsi="Arial"/>
          <w:sz w:val="18"/>
          <w:szCs w:val="18"/>
          <w:color w:val="auto"/>
        </w:rPr>
        <w:t>Turqi Alnowaiser</w:t>
      </w:r>
      <w:r>
        <w:rPr>
          <w:rFonts w:ascii="Arial" w:cs="Arial" w:eastAsia="Arial" w:hAnsi="Arial"/>
          <w:sz w:val="26"/>
          <w:szCs w:val="26"/>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54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line="195" w:lineRule="auto"/>
        <w:rPr>
          <w:sz w:val="20"/>
          <w:szCs w:val="20"/>
          <w:color w:val="auto"/>
        </w:rPr>
      </w:pPr>
      <w:r>
        <w:rPr>
          <w:rFonts w:ascii="Arial" w:cs="Arial" w:eastAsia="Arial" w:hAnsi="Arial"/>
          <w:sz w:val="18"/>
          <w:szCs w:val="18"/>
          <w:color w:val="auto"/>
        </w:rPr>
        <w:t>Glenn R. August</w:t>
      </w:r>
      <w:r>
        <w:rPr>
          <w:rFonts w:ascii="Arial" w:cs="Arial" w:eastAsia="Arial" w:hAnsi="Arial"/>
          <w:sz w:val="26"/>
          <w:szCs w:val="26"/>
          <w:color w:val="auto"/>
          <w:vertAlign w:val="superscript"/>
        </w:rPr>
        <w:t>(8)</w:t>
      </w:r>
    </w:p>
    <w:p>
      <w:pPr>
        <w:ind w:left="1260"/>
        <w:spacing w:after="0" w:line="228" w:lineRule="auto"/>
        <w:rPr>
          <w:sz w:val="20"/>
          <w:szCs w:val="20"/>
          <w:color w:val="auto"/>
        </w:rPr>
      </w:pPr>
      <w:r>
        <w:rPr>
          <w:rFonts w:ascii="Arial" w:cs="Arial" w:eastAsia="Arial" w:hAnsi="Arial"/>
          <w:sz w:val="18"/>
          <w:szCs w:val="18"/>
          <w:color w:val="auto"/>
        </w:rPr>
        <w:t>Nancy Gioia</w:t>
      </w:r>
      <w:r>
        <w:rPr>
          <w:rFonts w:ascii="Arial" w:cs="Arial" w:eastAsia="Arial" w:hAnsi="Arial"/>
          <w:sz w:val="26"/>
          <w:szCs w:val="26"/>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-25400</wp:posOffset>
            </wp:positionV>
            <wp:extent cx="5212080" cy="1454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ind w:left="1260"/>
        <w:spacing w:after="0" w:line="219" w:lineRule="auto"/>
        <w:rPr>
          <w:sz w:val="20"/>
          <w:szCs w:val="20"/>
          <w:color w:val="auto"/>
        </w:rPr>
      </w:pPr>
      <w:r>
        <w:rPr>
          <w:rFonts w:ascii="Arial" w:cs="Arial" w:eastAsia="Arial" w:hAnsi="Arial"/>
          <w:sz w:val="18"/>
          <w:szCs w:val="18"/>
          <w:color w:val="auto"/>
        </w:rPr>
        <w:t>Frank Lindenberg</w:t>
      </w:r>
    </w:p>
    <w:p>
      <w:pPr>
        <w:ind w:left="1260"/>
        <w:spacing w:after="0" w:line="228" w:lineRule="auto"/>
        <w:rPr>
          <w:sz w:val="20"/>
          <w:szCs w:val="20"/>
          <w:color w:val="auto"/>
        </w:rPr>
      </w:pPr>
      <w:r>
        <w:rPr>
          <w:rFonts w:ascii="Arial" w:cs="Arial" w:eastAsia="Arial" w:hAnsi="Arial"/>
          <w:sz w:val="18"/>
          <w:szCs w:val="18"/>
          <w:color w:val="auto"/>
        </w:rPr>
        <w:t>Andrew Liveris</w:t>
      </w:r>
      <w:r>
        <w:rPr>
          <w:rFonts w:ascii="Arial" w:cs="Arial" w:eastAsia="Arial" w:hAnsi="Arial"/>
          <w:sz w:val="26"/>
          <w:szCs w:val="26"/>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454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Nichelle Maynard-Elliott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Tony Posawatz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46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Janet Wong</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All executive officers and directors as a group (12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141605</wp:posOffset>
            </wp:positionV>
            <wp:extent cx="123444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1" w:lineRule="exact"/>
        <w:rPr>
          <w:sz w:val="20"/>
          <w:szCs w:val="20"/>
          <w:color w:val="auto"/>
        </w:rPr>
      </w:pPr>
    </w:p>
    <w:p>
      <w:pPr>
        <w:ind w:left="1620" w:hanging="360"/>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b w:val="1"/>
          <w:bCs w:val="1"/>
          <w:color w:val="auto"/>
        </w:rPr>
        <w:t>Number of Shares</w:t>
      </w:r>
      <w:r>
        <w:rPr>
          <w:sz w:val="20"/>
          <w:szCs w:val="20"/>
          <w:color w:val="auto"/>
        </w:rPr>
        <w:tab/>
      </w:r>
      <w:r>
        <w:rPr>
          <w:rFonts w:ascii="Arial" w:cs="Arial" w:eastAsia="Arial" w:hAnsi="Arial"/>
          <w:sz w:val="12"/>
          <w:szCs w:val="12"/>
          <w:b w:val="1"/>
          <w:bCs w:val="1"/>
          <w:color w:val="auto"/>
        </w:rPr>
        <w:t>Percent Owned</w:t>
      </w:r>
    </w:p>
    <w:p>
      <w:pPr>
        <w:spacing w:after="0" w:line="293" w:lineRule="exact"/>
        <w:rPr>
          <w:sz w:val="20"/>
          <w:szCs w:val="20"/>
          <w:color w:val="auto"/>
        </w:rPr>
      </w:pPr>
    </w:p>
    <w:p>
      <w:pPr>
        <w:ind w:left="240"/>
        <w:spacing w:after="0"/>
        <w:tabs>
          <w:tab w:leader="none" w:pos="1660" w:val="left"/>
        </w:tabs>
        <w:rPr>
          <w:sz w:val="20"/>
          <w:szCs w:val="20"/>
          <w:color w:val="auto"/>
        </w:rPr>
      </w:pPr>
      <w:r>
        <w:rPr>
          <w:rFonts w:ascii="Arial" w:cs="Arial" w:eastAsia="Arial" w:hAnsi="Arial"/>
          <w:sz w:val="18"/>
          <w:szCs w:val="18"/>
          <w:color w:val="auto"/>
        </w:rPr>
        <w:t>96,100,000</w:t>
      </w:r>
      <w:r>
        <w:rPr>
          <w:sz w:val="20"/>
          <w:szCs w:val="20"/>
          <w:color w:val="auto"/>
        </w:rPr>
        <w:tab/>
      </w:r>
      <w:r>
        <w:rPr>
          <w:rFonts w:ascii="Arial" w:cs="Arial" w:eastAsia="Arial" w:hAnsi="Arial"/>
          <w:sz w:val="18"/>
          <w:szCs w:val="18"/>
          <w:color w:val="auto"/>
        </w:rPr>
        <w:t>5.9%</w:t>
      </w:r>
    </w:p>
    <w:p>
      <w:pPr>
        <w:spacing w:after="0" w:line="23"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8"/>
          <w:szCs w:val="18"/>
          <w:color w:val="auto"/>
        </w:rPr>
        <w:t>1,015,252,523</w:t>
      </w:r>
      <w:r>
        <w:rPr>
          <w:sz w:val="20"/>
          <w:szCs w:val="20"/>
          <w:color w:val="auto"/>
        </w:rPr>
        <w:tab/>
      </w:r>
      <w:r>
        <w:rPr>
          <w:rFonts w:ascii="Arial" w:cs="Arial" w:eastAsia="Arial" w:hAnsi="Arial"/>
          <w:sz w:val="18"/>
          <w:szCs w:val="18"/>
          <w:color w:val="auto"/>
        </w:rPr>
        <w:t>62.7%</w:t>
      </w:r>
    </w:p>
    <w:p>
      <w:pPr>
        <w:spacing w:after="0" w:line="238" w:lineRule="exact"/>
        <w:rPr>
          <w:sz w:val="20"/>
          <w:szCs w:val="20"/>
          <w:color w:val="auto"/>
        </w:rPr>
      </w:pPr>
    </w:p>
    <w:p>
      <w:pPr>
        <w:ind w:left="240"/>
        <w:spacing w:after="0"/>
        <w:tabs>
          <w:tab w:leader="none" w:pos="1800" w:val="left"/>
        </w:tabs>
        <w:rPr>
          <w:sz w:val="20"/>
          <w:szCs w:val="20"/>
          <w:color w:val="auto"/>
        </w:rPr>
      </w:pPr>
      <w:r>
        <w:rPr>
          <w:rFonts w:ascii="Arial" w:cs="Arial" w:eastAsia="Arial" w:hAnsi="Arial"/>
          <w:sz w:val="18"/>
          <w:szCs w:val="18"/>
          <w:color w:val="auto"/>
        </w:rPr>
        <w:t>13,127,090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320"/>
        <w:spacing w:after="0"/>
        <w:tabs>
          <w:tab w:leader="none" w:pos="1800" w:val="left"/>
        </w:tabs>
        <w:rPr>
          <w:sz w:val="20"/>
          <w:szCs w:val="20"/>
          <w:color w:val="auto"/>
        </w:rPr>
      </w:pPr>
      <w:r>
        <w:rPr>
          <w:rFonts w:ascii="Arial" w:cs="Arial" w:eastAsia="Arial" w:hAnsi="Arial"/>
          <w:sz w:val="18"/>
          <w:szCs w:val="18"/>
          <w:color w:val="auto"/>
        </w:rPr>
        <w:t>2,669,807</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460"/>
        <w:spacing w:after="0"/>
        <w:tabs>
          <w:tab w:leader="none" w:pos="1800" w:val="left"/>
        </w:tabs>
        <w:rPr>
          <w:sz w:val="20"/>
          <w:szCs w:val="20"/>
          <w:color w:val="auto"/>
        </w:rPr>
      </w:pPr>
      <w:r>
        <w:rPr>
          <w:rFonts w:ascii="Arial" w:cs="Arial" w:eastAsia="Arial" w:hAnsi="Arial"/>
          <w:sz w:val="18"/>
          <w:szCs w:val="18"/>
          <w:color w:val="auto"/>
        </w:rPr>
        <w:t>284,229</w:t>
      </w:r>
      <w:r>
        <w:rPr>
          <w:sz w:val="20"/>
          <w:szCs w:val="20"/>
          <w:color w:val="auto"/>
        </w:rPr>
        <w:tab/>
      </w:r>
      <w:r>
        <w:rPr>
          <w:rFonts w:ascii="Arial" w:cs="Arial" w:eastAsia="Arial" w:hAnsi="Arial"/>
          <w:sz w:val="18"/>
          <w:szCs w:val="18"/>
          <w:color w:val="auto"/>
        </w:rPr>
        <w:t>*</w:t>
      </w:r>
    </w:p>
    <w:p>
      <w:pPr>
        <w:spacing w:after="0" w:line="35"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8"/>
          <w:szCs w:val="18"/>
          <w:color w:val="auto"/>
        </w:rPr>
        <w:t>1,017,322,661</w:t>
      </w:r>
      <w:r>
        <w:rPr>
          <w:sz w:val="20"/>
          <w:szCs w:val="20"/>
          <w:color w:val="auto"/>
        </w:rPr>
        <w:tab/>
      </w:r>
      <w:r>
        <w:rPr>
          <w:rFonts w:ascii="Arial" w:cs="Arial" w:eastAsia="Arial" w:hAnsi="Arial"/>
          <w:sz w:val="18"/>
          <w:szCs w:val="18"/>
          <w:color w:val="auto"/>
        </w:rPr>
        <w:t>62.9%</w:t>
      </w:r>
    </w:p>
    <w:p>
      <w:pPr>
        <w:spacing w:after="0" w:line="36"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5" w:lineRule="exact"/>
        <w:rPr>
          <w:sz w:val="20"/>
          <w:szCs w:val="20"/>
          <w:color w:val="auto"/>
        </w:rPr>
      </w:pPr>
    </w:p>
    <w:p>
      <w:pPr>
        <w:ind w:left="460"/>
        <w:spacing w:after="0"/>
        <w:tabs>
          <w:tab w:leader="none" w:pos="1800" w:val="left"/>
        </w:tabs>
        <w:rPr>
          <w:sz w:val="20"/>
          <w:szCs w:val="20"/>
          <w:color w:val="auto"/>
        </w:rPr>
      </w:pPr>
      <w:r>
        <w:rPr>
          <w:rFonts w:ascii="Arial" w:cs="Arial" w:eastAsia="Arial" w:hAnsi="Arial"/>
          <w:sz w:val="18"/>
          <w:szCs w:val="18"/>
          <w:color w:val="auto"/>
        </w:rPr>
        <w:t>535,275</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18"/>
          <w:szCs w:val="18"/>
          <w:color w:val="auto"/>
        </w:rPr>
        <w:t>52,880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8"/>
          <w:szCs w:val="18"/>
          <w:color w:val="auto"/>
        </w:rPr>
        <w:t>1,033,808,077</w:t>
      </w:r>
      <w:r>
        <w:rPr>
          <w:sz w:val="20"/>
          <w:szCs w:val="20"/>
          <w:color w:val="auto"/>
        </w:rPr>
        <w:tab/>
      </w:r>
      <w:r>
        <w:rPr>
          <w:rFonts w:ascii="Arial" w:cs="Arial" w:eastAsia="Arial" w:hAnsi="Arial"/>
          <w:sz w:val="18"/>
          <w:szCs w:val="18"/>
          <w:color w:val="auto"/>
        </w:rPr>
        <w:t>63.9%</w:t>
      </w:r>
    </w:p>
    <w:p>
      <w:pPr>
        <w:spacing w:after="0" w:line="643" w:lineRule="exact"/>
        <w:rPr>
          <w:sz w:val="20"/>
          <w:szCs w:val="20"/>
          <w:color w:val="auto"/>
        </w:rPr>
      </w:pPr>
    </w:p>
    <w:p>
      <w:pPr>
        <w:sectPr>
          <w:pgSz w:w="11900" w:h="16838" w:orient="portrait"/>
          <w:cols w:equalWidth="0" w:num="2">
            <w:col w:w="6540" w:space="720"/>
            <w:col w:w="2619"/>
          </w:cols>
          <w:pgMar w:left="580" w:top="131" w:right="1440" w:bottom="1440" w:gutter="0" w:footer="0" w:header="0"/>
          <w:type w:val="continuous"/>
        </w:sectPr>
      </w:pPr>
    </w:p>
    <w:p>
      <w:pPr>
        <w:ind w:left="1620" w:right="1139" w:hanging="360"/>
        <w:spacing w:after="0" w:line="277"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c/o Lucid Group, Inc., 7373 Gateway Blvd., Newark, CA 94560.</w:t>
      </w:r>
    </w:p>
    <w:p>
      <w:pPr>
        <w:spacing w:after="0" w:line="21" w:lineRule="exact"/>
        <w:rPr>
          <w:rFonts w:ascii="Arial" w:cs="Arial" w:eastAsia="Arial" w:hAnsi="Arial"/>
          <w:sz w:val="18"/>
          <w:szCs w:val="18"/>
          <w:color w:val="auto"/>
        </w:rPr>
      </w:pPr>
    </w:p>
    <w:p>
      <w:pPr>
        <w:ind w:left="1620" w:right="419" w:hanging="360"/>
        <w:spacing w:after="0" w:line="252"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Interests shown consist of (i) 51,750,000 shares of Class A common stock and (ii) 44,350,000 Private Placement Warrants (including 1,500,000 Working Capital Warrants) to purchase shares of Class A common stock. Each warrant entitles the holder thereof to purchase one share of Class A common stock at a price of $11.50 per share, subject to adjustment. 17,250,000 of such shares and 14,783,333 of such warrants unvested as of the Closing and such shares and warrants will revest as follows: (a) 1/3 of such shares and warrants will revest at such time as during the 5-year period starting on the Closing and ending on the 5-year anniversary of the Closing (the “</w:t>
      </w:r>
      <w:r>
        <w:rPr>
          <w:rFonts w:ascii="Arial" w:cs="Arial" w:eastAsia="Arial" w:hAnsi="Arial"/>
          <w:sz w:val="18"/>
          <w:szCs w:val="18"/>
          <w:i w:val="1"/>
          <w:iCs w:val="1"/>
          <w:color w:val="auto"/>
        </w:rPr>
        <w:t>Vesting Period</w:t>
      </w:r>
      <w:r>
        <w:rPr>
          <w:rFonts w:ascii="Arial" w:cs="Arial" w:eastAsia="Arial" w:hAnsi="Arial"/>
          <w:sz w:val="18"/>
          <w:szCs w:val="18"/>
          <w:color w:val="auto"/>
        </w:rPr>
        <w:t>”), the closing price of Class A common stock exceeds $20.00 for any 40 trading days in a 60 consecutive day period, (b) an additional 1/3 of such shares and warrants will revest at such time as during the Vesting Period, the closing price of Class A common stock exceeds $25.00 for any 40 trading days in a 60 consecutive day period and (c) an additional 1/3 of such shares and warrants will revest at such time as during the Vesting</w:t>
      </w:r>
    </w:p>
    <w:p>
      <w:pPr>
        <w:sectPr>
          <w:pgSz w:w="11900" w:h="16838" w:orient="portrait"/>
          <w:cols w:equalWidth="0" w:num="1">
            <w:col w:w="9879"/>
          </w:cols>
          <w:pgMar w:left="580" w:top="131" w:right="1440" w:bottom="1440" w:gutter="0" w:footer="0" w:header="0"/>
          <w:type w:val="continuous"/>
        </w:sectPr>
      </w:pPr>
    </w:p>
    <w:p>
      <w:pPr>
        <w:spacing w:after="0" w:line="38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1260"/>
        <w:spacing w:after="0" w:line="235" w:lineRule="auto"/>
        <w:rPr>
          <w:sz w:val="20"/>
          <w:szCs w:val="20"/>
          <w:color w:val="auto"/>
        </w:rPr>
      </w:pPr>
      <w:r>
        <w:rPr>
          <w:rFonts w:ascii="Arial" w:cs="Arial" w:eastAsia="Arial" w:hAnsi="Arial"/>
          <w:sz w:val="18"/>
          <w:szCs w:val="18"/>
          <w:color w:val="auto"/>
        </w:rPr>
        <w:t>Period, the closing price of Class A common stock exceeds $30.00 for any 40 trading days in a 60 consecutive day period. Michael Klein is the sole stockholder of M. Klein Associates, Inc., which is the managing member of the Sponsor. The shares beneficially owned by the Sponsor may also be deemed to be beneficially owned by Mr. Klein. The business address for Mr. Klein is 640 Fifth Avenue,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New York, NY 10019.</w:t>
      </w:r>
    </w:p>
    <w:p>
      <w:pPr>
        <w:spacing w:after="0" w:line="58" w:lineRule="exact"/>
        <w:rPr>
          <w:sz w:val="20"/>
          <w:szCs w:val="20"/>
          <w:color w:val="auto"/>
        </w:rPr>
      </w:pPr>
    </w:p>
    <w:p>
      <w:pPr>
        <w:ind w:left="1620" w:hanging="360"/>
        <w:spacing w:after="0"/>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Interests shown consist of 1,015,252,523 shares of Class A common stock issued to Ayar upon</w:t>
      </w:r>
    </w:p>
    <w:p>
      <w:pPr>
        <w:spacing w:after="0" w:line="23" w:lineRule="exact"/>
        <w:rPr>
          <w:rFonts w:ascii="Arial" w:cs="Arial" w:eastAsia="Arial" w:hAnsi="Arial"/>
          <w:sz w:val="18"/>
          <w:szCs w:val="18"/>
          <w:color w:val="auto"/>
        </w:rPr>
      </w:pPr>
    </w:p>
    <w:p>
      <w:pPr>
        <w:jc w:val="both"/>
        <w:ind w:left="1620" w:right="1340"/>
        <w:spacing w:after="0" w:line="265" w:lineRule="auto"/>
        <w:rPr>
          <w:rFonts w:ascii="Arial" w:cs="Arial" w:eastAsia="Arial" w:hAnsi="Arial"/>
          <w:sz w:val="18"/>
          <w:szCs w:val="18"/>
          <w:color w:val="auto"/>
        </w:rPr>
      </w:pPr>
      <w:r>
        <w:rPr>
          <w:rFonts w:ascii="Arial" w:cs="Arial" w:eastAsia="Arial" w:hAnsi="Arial"/>
          <w:sz w:val="17"/>
          <w:szCs w:val="17"/>
          <w:color w:val="auto"/>
        </w:rPr>
        <w:t>the Closing (including in connection with the PIPE Investment). Ayar is a wholly owned subsidiary of PIF. The Board of Directors of PIF, consisting of His Royal Highness Mohammad bin Salman Al-Saud (Chairman), H.E. Ibrahim Abdulaziz Al-Assaf, H.E. Mohammad Abdul Malek Al Shaikh, H.E.</w:t>
      </w:r>
    </w:p>
    <w:p>
      <w:pPr>
        <w:ind w:left="1620" w:right="1360"/>
        <w:spacing w:after="0" w:line="267" w:lineRule="auto"/>
        <w:rPr>
          <w:rFonts w:ascii="Arial" w:cs="Arial" w:eastAsia="Arial" w:hAnsi="Arial"/>
          <w:sz w:val="18"/>
          <w:szCs w:val="18"/>
          <w:color w:val="auto"/>
        </w:rPr>
      </w:pPr>
      <w:r>
        <w:rPr>
          <w:rFonts w:ascii="Arial" w:cs="Arial" w:eastAsia="Arial" w:hAnsi="Arial"/>
          <w:sz w:val="17"/>
          <w:szCs w:val="17"/>
          <w:color w:val="auto"/>
        </w:rPr>
        <w:t>Khalid Abdulaziz Al-Falih, H.E. Dr. Majid Bin Abdullah Al Qasabi, H.E. Mohammad Abdullah Al-Jadaan, H.E. Mohamed Mazyed Altwaijri, H.E. Ahmed Aqeel Al-Khateeb, and H.E. Yasir Othman Al-Rumayyan, has dispositive power over the shares held by Ayar by a majority of the votes of the Directors, with the Chairman having a casting vote. Each of the Board of Directors of PIF, H.E. Al-Rumayyan and Turqi Alnowaiser has shared voting power over the shares held by Ayar. Neither H.E. Al-Rumayyan, who is the Governor of PIF, nor Mr. Alnowaiser, who is Deputy Governor and Head of the International Investments Division of PIF, has a pecuniary interest in the shares held by Ayar, and each of H.E. Al-Rumayyan and Mr. Alnowaiser disclaims beneficial ownership of the shares held by Ayar. Interests shown do not include 4,604,595 shares of Class A common stock issued to H.E. Al-Rumayyan upon the Closing or 2,070,138 shares of Class A common stock issued to Mr. Alnowaiser upon the Closing. The business address for PIF and for H.E. Al-Rumayyan is Alr’idah Digital City, Building MU04, Al Nakhil District, P.O. Box 6847, Riyadh 11452, The Kingdom of Saudi Arabia.</w:t>
      </w:r>
    </w:p>
    <w:p>
      <w:pPr>
        <w:spacing w:after="0" w:line="35" w:lineRule="exact"/>
        <w:rPr>
          <w:rFonts w:ascii="Arial" w:cs="Arial" w:eastAsia="Arial" w:hAnsi="Arial"/>
          <w:sz w:val="18"/>
          <w:szCs w:val="18"/>
          <w:color w:val="auto"/>
        </w:rPr>
      </w:pPr>
    </w:p>
    <w:p>
      <w:pPr>
        <w:ind w:left="1620" w:right="1420" w:hanging="360"/>
        <w:spacing w:after="0" w:line="263"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Interests shown consist of 537,919 shares of Class A common stock issued upon the Closing and 12,589,171 shares of Class A common stock subject to option awards that are currently exercisable or exercisable within 60 days of the Closing.</w:t>
      </w:r>
    </w:p>
    <w:p>
      <w:pPr>
        <w:spacing w:after="0" w:line="48" w:lineRule="exact"/>
        <w:rPr>
          <w:rFonts w:ascii="Arial" w:cs="Arial" w:eastAsia="Arial" w:hAnsi="Arial"/>
          <w:sz w:val="18"/>
          <w:szCs w:val="18"/>
          <w:color w:val="auto"/>
        </w:rPr>
      </w:pPr>
    </w:p>
    <w:p>
      <w:pPr>
        <w:ind w:left="1620" w:right="1520" w:hanging="360"/>
        <w:spacing w:after="0" w:line="263"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Interests shown consist of 1,173,177 shares of Class A common stock issued upon the Closing and 1,496,630 shares of Class A common stock subject to option awards that are currently exercisable or exercisable within 60 days of the Closing.</w:t>
      </w:r>
    </w:p>
    <w:p>
      <w:pPr>
        <w:spacing w:after="0" w:line="35" w:lineRule="exact"/>
        <w:rPr>
          <w:rFonts w:ascii="Arial" w:cs="Arial" w:eastAsia="Arial" w:hAnsi="Arial"/>
          <w:sz w:val="18"/>
          <w:szCs w:val="18"/>
          <w:color w:val="auto"/>
        </w:rPr>
      </w:pPr>
    </w:p>
    <w:p>
      <w:pPr>
        <w:ind w:left="1620" w:right="1660" w:hanging="360"/>
        <w:spacing w:after="0" w:line="263"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Interests shown consist of 118,980 shares of Class A common stock issued upon the Closing and 165,249 shares of Class A common stock subject to option awards that are currently exercisable or exercisable within 60 days of the Closing.</w:t>
      </w:r>
    </w:p>
    <w:p>
      <w:pPr>
        <w:spacing w:after="0" w:line="35" w:lineRule="exact"/>
        <w:rPr>
          <w:rFonts w:ascii="Arial" w:cs="Arial" w:eastAsia="Arial" w:hAnsi="Arial"/>
          <w:sz w:val="18"/>
          <w:szCs w:val="18"/>
          <w:color w:val="auto"/>
        </w:rPr>
      </w:pPr>
    </w:p>
    <w:p>
      <w:pPr>
        <w:ind w:left="1620" w:right="1260" w:hanging="360"/>
        <w:spacing w:after="0" w:line="255"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Interests shown consist of (i) 2,070,138 shares of Class A common stock issued to Mr. Alnowaiser upon the Closing and (ii) 1,015,252,523 shares of Class A common stock issued to Ayar upon the Closing (including in connection with the PIPE Investment). Mr. Alnowaiser, who is Deputy Governor and Head of the International Investments Division of PIF, has shared voting power with respect to the shares held by Ayar and has no pecuniary interest in and disclaims beneficial ownership of such shares. See note (3) above.</w:t>
      </w:r>
    </w:p>
    <w:p>
      <w:pPr>
        <w:spacing w:after="0" w:line="57" w:lineRule="exact"/>
        <w:rPr>
          <w:rFonts w:ascii="Arial" w:cs="Arial" w:eastAsia="Arial" w:hAnsi="Arial"/>
          <w:sz w:val="18"/>
          <w:szCs w:val="18"/>
          <w:color w:val="auto"/>
        </w:rPr>
      </w:pPr>
    </w:p>
    <w:p>
      <w:pPr>
        <w:ind w:left="1620" w:right="1260" w:hanging="360"/>
        <w:spacing w:after="0" w:line="254" w:lineRule="auto"/>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of Nancy Gioia and Andrew Liveris has an economic interest in shares of Class A common stock and Private Placement Warrants through his or her ownership of membership interests in the Sponsor, but does not beneficially own any Class A common stock or warrants. In addition, Glenn R. August has an economic interest in the shares of Class A common stock and Private Placement Warrants through his control and partial ownership of an entity, OHA Partner Global Co-Investment III, LLP, which owns membership interests in the Sponsor, but does not beneficially own any Class A common stock or warrants.</w:t>
      </w:r>
    </w:p>
    <w:p>
      <w:pPr>
        <w:spacing w:after="0" w:line="46" w:lineRule="exact"/>
        <w:rPr>
          <w:rFonts w:ascii="Arial" w:cs="Arial" w:eastAsia="Arial" w:hAnsi="Arial"/>
          <w:sz w:val="18"/>
          <w:szCs w:val="18"/>
          <w:color w:val="auto"/>
        </w:rPr>
      </w:pPr>
    </w:p>
    <w:p>
      <w:pPr>
        <w:ind w:left="1620" w:right="1840"/>
        <w:spacing w:after="0" w:line="277" w:lineRule="auto"/>
        <w:rPr>
          <w:rFonts w:ascii="Arial" w:cs="Arial" w:eastAsia="Arial" w:hAnsi="Arial"/>
          <w:sz w:val="18"/>
          <w:szCs w:val="18"/>
          <w:color w:val="auto"/>
        </w:rPr>
      </w:pPr>
      <w:r>
        <w:rPr>
          <w:rFonts w:ascii="Arial" w:cs="Arial" w:eastAsia="Arial" w:hAnsi="Arial"/>
          <w:sz w:val="18"/>
          <w:szCs w:val="18"/>
          <w:color w:val="auto"/>
        </w:rPr>
        <w:t>The economic interest (or deemed economic interest) of these individuals and entity in shares of Class A common stock and warrants held by the Sponsor is as shown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Class A</w:t>
            </w:r>
          </w:p>
        </w:tc>
        <w:tc>
          <w:tcPr>
            <w:tcW w:w="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2"/>
        </w:trPr>
        <w:tc>
          <w:tcPr>
            <w:tcW w:w="1620" w:type="dxa"/>
            <w:vAlign w:val="bottom"/>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21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common stock</w:t>
            </w:r>
          </w:p>
        </w:tc>
        <w:tc>
          <w:tcPr>
            <w:tcW w:w="2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Warrants</w:t>
            </w:r>
          </w:p>
        </w:tc>
        <w:tc>
          <w:tcPr>
            <w:tcW w:w="1620" w:type="dxa"/>
            <w:vAlign w:val="bottom"/>
          </w:tcPr>
          <w:p>
            <w:pPr>
              <w:spacing w:after="0"/>
              <w:rPr>
                <w:sz w:val="16"/>
                <w:szCs w:val="16"/>
                <w:color w:val="auto"/>
              </w:rPr>
            </w:pPr>
          </w:p>
        </w:tc>
      </w:tr>
      <w:tr>
        <w:trPr>
          <w:trHeight w:val="215"/>
        </w:trPr>
        <w:tc>
          <w:tcPr>
            <w:tcW w:w="16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Nancy Gioia</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20" w:type="dxa"/>
            <w:vAlign w:val="bottom"/>
          </w:tcPr>
          <w:p>
            <w:pPr>
              <w:spacing w:after="0"/>
              <w:rPr>
                <w:sz w:val="18"/>
                <w:szCs w:val="18"/>
                <w:color w:val="auto"/>
              </w:rPr>
            </w:pPr>
          </w:p>
        </w:tc>
      </w:tr>
      <w:tr>
        <w:trPr>
          <w:trHeight w:val="216"/>
        </w:trPr>
        <w:tc>
          <w:tcPr>
            <w:tcW w:w="5100" w:type="dxa"/>
            <w:vAlign w:val="bottom"/>
            <w:gridSpan w:val="2"/>
          </w:tcPr>
          <w:p>
            <w:pPr>
              <w:ind w:left="1620"/>
              <w:spacing w:after="0"/>
              <w:rPr>
                <w:sz w:val="20"/>
                <w:szCs w:val="20"/>
                <w:color w:val="auto"/>
              </w:rPr>
            </w:pPr>
            <w:r>
              <w:rPr>
                <w:rFonts w:ascii="Arial" w:cs="Arial" w:eastAsia="Arial" w:hAnsi="Arial"/>
                <w:sz w:val="18"/>
                <w:szCs w:val="18"/>
                <w:color w:val="auto"/>
              </w:rPr>
              <w:t>Andrew Liveris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363,347</w:t>
            </w:r>
          </w:p>
        </w:tc>
        <w:tc>
          <w:tcPr>
            <w:tcW w:w="1620" w:type="dxa"/>
            <w:vAlign w:val="bottom"/>
          </w:tcPr>
          <w:p>
            <w:pPr>
              <w:spacing w:after="0"/>
              <w:rPr>
                <w:sz w:val="18"/>
                <w:szCs w:val="18"/>
                <w:color w:val="auto"/>
              </w:rPr>
            </w:pPr>
          </w:p>
        </w:tc>
      </w:tr>
      <w:tr>
        <w:trPr>
          <w:trHeight w:val="229"/>
        </w:trPr>
        <w:tc>
          <w:tcPr>
            <w:tcW w:w="16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OHA Partner Global Co-Investment III, LLP</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6,858,569</w:t>
            </w:r>
          </w:p>
        </w:tc>
        <w:tc>
          <w:tcPr>
            <w:tcW w:w="1620" w:type="dxa"/>
            <w:vAlign w:val="bottom"/>
          </w:tcPr>
          <w:p>
            <w:pPr>
              <w:spacing w:after="0"/>
              <w:rPr>
                <w:sz w:val="19"/>
                <w:szCs w:val="19"/>
                <w:color w:val="auto"/>
              </w:rPr>
            </w:pPr>
          </w:p>
        </w:tc>
      </w:tr>
      <w:tr>
        <w:trPr>
          <w:trHeight w:val="621"/>
        </w:trPr>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180" w:type="dxa"/>
            <w:vAlign w:val="bottom"/>
          </w:tcPr>
          <w:p>
            <w:pPr>
              <w:jc w:val="right"/>
              <w:ind w:right="1710"/>
              <w:spacing w:after="0"/>
              <w:rPr>
                <w:sz w:val="20"/>
                <w:szCs w:val="20"/>
                <w:color w:val="auto"/>
              </w:rPr>
            </w:pPr>
            <w:r>
              <w:rPr>
                <w:rFonts w:ascii="Arial" w:cs="Arial" w:eastAsia="Arial" w:hAnsi="Arial"/>
                <w:sz w:val="18"/>
                <w:szCs w:val="18"/>
                <w:color w:val="auto"/>
              </w:rPr>
              <w:t>135</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-1087755</wp:posOffset>
            </wp:positionV>
            <wp:extent cx="42773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4" w:name="page145"/>
    <w:bookmarkEnd w:id="1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SELLING SECURITYHOLDERS</w:t>
      </w:r>
    </w:p>
    <w:p>
      <w:pPr>
        <w:spacing w:after="0" w:line="148" w:lineRule="exact"/>
        <w:rPr>
          <w:sz w:val="20"/>
          <w:szCs w:val="20"/>
          <w:color w:val="auto"/>
        </w:rPr>
      </w:pPr>
    </w:p>
    <w:p>
      <w:pPr>
        <w:ind w:left="1260" w:right="459" w:firstLine="360"/>
        <w:spacing w:after="0" w:line="284" w:lineRule="auto"/>
        <w:rPr>
          <w:sz w:val="20"/>
          <w:szCs w:val="20"/>
          <w:color w:val="auto"/>
        </w:rPr>
      </w:pPr>
      <w:r>
        <w:rPr>
          <w:rFonts w:ascii="Arial" w:cs="Arial" w:eastAsia="Arial" w:hAnsi="Arial"/>
          <w:sz w:val="16"/>
          <w:szCs w:val="16"/>
          <w:color w:val="auto"/>
        </w:rPr>
        <w:t>Pursuant to the Investor Rights Agreement, the PIPE Subscription Agreements and the Warrant Agreement, as applicable, we previously agreed to file a registration statement with the SEC for the purposes of registering for resale certain of our securities. This prospectus relates to the resale by the Selling Securityholders from time to time of (a) up to 1,336,329,949 shares of Class A common stock, consisting of (i) 1,244,157,121 issued and outstanding shares of Class A common stock, (ii) 47,822,828 shares of Class A common stock subject to vesting and/or exercise of the assumed Lucid Equity Awards and</w:t>
      </w:r>
    </w:p>
    <w:p>
      <w:pPr>
        <w:spacing w:after="0" w:line="4" w:lineRule="exact"/>
        <w:rPr>
          <w:sz w:val="20"/>
          <w:szCs w:val="20"/>
          <w:color w:val="auto"/>
        </w:rPr>
      </w:pPr>
    </w:p>
    <w:p>
      <w:pPr>
        <w:ind w:left="1260" w:right="439"/>
        <w:spacing w:after="0" w:line="251" w:lineRule="auto"/>
        <w:tabs>
          <w:tab w:leader="none" w:pos="1596" w:val="left"/>
        </w:tabs>
        <w:numPr>
          <w:ilvl w:val="0"/>
          <w:numId w:val="87"/>
        </w:numPr>
        <w:rPr>
          <w:rFonts w:ascii="Arial" w:cs="Arial" w:eastAsia="Arial" w:hAnsi="Arial"/>
          <w:sz w:val="18"/>
          <w:szCs w:val="18"/>
          <w:color w:val="auto"/>
        </w:rPr>
      </w:pPr>
      <w:r>
        <w:rPr>
          <w:rFonts w:ascii="Arial" w:cs="Arial" w:eastAsia="Arial" w:hAnsi="Arial"/>
          <w:sz w:val="18"/>
          <w:szCs w:val="18"/>
          <w:color w:val="auto"/>
        </w:rPr>
        <w:t>44,350,000 shares of Class A common stock issuable upon exercise of the Private Placement Warrants and the Working Capital Warrants, and (b) 44,350,000 warrants representing the Private Placement Warrants and the Working Capital Warrants. The Selling Securityholders may from time to time offer and sell any or all of the Class A common stock and warrants set forth below pursuant to this prospectus and any accompanying prospectus supplement. When we refer to the “Selling Securityholders” in this prospectus, we mean the persons listed in the table below, and their permitted transferees who later come to hold any of the Selling Securityholders’ interest in Class A common stock or warrants in accordance with the terms of the agreements governing the registration rights applicable to such Selling Securityholder’s shares of Class A common stock or warrants.</w:t>
      </w:r>
    </w:p>
    <w:p>
      <w:pPr>
        <w:spacing w:after="0" w:line="13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following table sets forth, based on written representations from the Selling Securityholders and, unless stated otherwise below, as of the Closing Date, the names of the Selling Securityholders, the aggregate number of shares of Class A common stock and warrants beneficially owned, the aggregate number of shares of Class A common stock and warrants that the Selling Securityholders may offer pursuant to this prospectus and the number of shares of Class A common stock and warrants beneficially owned by the Selling Securityholders after the sale of the securities offered hereby. We have based percentage ownership on 1,618,621,534 shares of Class A common stock issued and outstanding immediately following consummation of the Transactions on the Closing Date.</w:t>
      </w:r>
    </w:p>
    <w:p>
      <w:pPr>
        <w:spacing w:after="0" w:line="124"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07"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Class A common stock or warrants. In addition, the Selling Securityholders may sell, transfer or otherwise dispose of, at any time and from time to time, Class A common stock and warrants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and no other purchases or sales of our securities by the Selling Securityholders will have occurred.</w:t>
      </w:r>
    </w:p>
    <w:p>
      <w:pPr>
        <w:spacing w:after="0" w:line="127"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Arial" w:cs="Arial" w:eastAsia="Arial" w:hAnsi="Arial"/>
          <w:sz w:val="17"/>
          <w:szCs w:val="17"/>
          <w:i w:val="1"/>
          <w:iCs w:val="1"/>
          <w:color w:val="auto"/>
        </w:rPr>
        <w:t>Plan of Distribution</w:t>
      </w:r>
      <w:r>
        <w:rPr>
          <w:rFonts w:ascii="Arial" w:cs="Arial" w:eastAsia="Arial" w:hAnsi="Arial"/>
          <w:sz w:val="17"/>
          <w:szCs w:val="17"/>
          <w:color w:val="auto"/>
        </w:rPr>
        <w:t>.”</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 of Class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Shares of Class A common</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A common</w:t>
            </w: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6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stock Beneficially Owned</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stock</w:t>
            </w: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3"/>
              </w:rPr>
              <w:t>Shares of Class</w:t>
            </w:r>
          </w:p>
        </w:tc>
        <w:tc>
          <w:tcPr>
            <w:tcW w:w="16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After the Offered Shares of</w:t>
            </w: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Beneficially</w:t>
            </w: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A common</w:t>
            </w:r>
          </w:p>
        </w:tc>
        <w:tc>
          <w:tcPr>
            <w:tcW w:w="16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Common Stock are Sold</w:t>
            </w:r>
          </w:p>
        </w:tc>
        <w:tc>
          <w:tcPr>
            <w:tcW w:w="0" w:type="dxa"/>
            <w:vAlign w:val="bottom"/>
          </w:tcPr>
          <w:p>
            <w:pPr>
              <w:spacing w:after="0"/>
              <w:rPr>
                <w:sz w:val="1"/>
                <w:szCs w:val="1"/>
                <w:color w:val="auto"/>
              </w:rPr>
            </w:pPr>
          </w:p>
        </w:tc>
      </w:tr>
      <w:tr>
        <w:trPr>
          <w:trHeight w:val="92"/>
        </w:trPr>
        <w:tc>
          <w:tcPr>
            <w:tcW w:w="3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Owned Prior to</w:t>
            </w: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stock Being</w:t>
            </w:r>
          </w:p>
        </w:tc>
        <w:tc>
          <w:tcPr>
            <w:tcW w:w="16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Name of Selling Securityholder</w:t>
            </w: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Offering</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Offered</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25"/>
        </w:trPr>
        <w:tc>
          <w:tcPr>
            <w:tcW w:w="3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40" w:type="dxa"/>
            <w:vAlign w:val="bottom"/>
            <w:gridSpan w:val="2"/>
            <w:shd w:val="clear" w:color="auto" w:fill="CCEEFF"/>
          </w:tcPr>
          <w:p>
            <w:pPr>
              <w:spacing w:after="0" w:line="250" w:lineRule="exact"/>
              <w:rPr>
                <w:sz w:val="20"/>
                <w:szCs w:val="20"/>
                <w:color w:val="auto"/>
              </w:rPr>
            </w:pPr>
            <w:r>
              <w:rPr>
                <w:rFonts w:ascii="Arial" w:cs="Arial" w:eastAsia="Arial" w:hAnsi="Arial"/>
                <w:sz w:val="18"/>
                <w:szCs w:val="18"/>
                <w:color w:val="auto"/>
              </w:rPr>
              <w:t>Peter Rawlinson</w:t>
            </w:r>
            <w:r>
              <w:rPr>
                <w:rFonts w:ascii="Arial" w:cs="Arial" w:eastAsia="Arial" w:hAnsi="Arial"/>
                <w:sz w:val="26"/>
                <w:szCs w:val="26"/>
                <w:color w:val="auto"/>
                <w:vertAlign w:val="superscript"/>
              </w:rPr>
              <w:t>(1)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13,127,090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42,986,249</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4040" w:type="dxa"/>
            <w:vAlign w:val="bottom"/>
            <w:gridSpan w:val="2"/>
          </w:tcPr>
          <w:p>
            <w:pPr>
              <w:spacing w:after="0" w:line="256" w:lineRule="exact"/>
              <w:rPr>
                <w:sz w:val="20"/>
                <w:szCs w:val="20"/>
                <w:color w:val="auto"/>
              </w:rPr>
            </w:pPr>
            <w:r>
              <w:rPr>
                <w:rFonts w:ascii="Arial" w:cs="Arial" w:eastAsia="Arial" w:hAnsi="Arial"/>
                <w:sz w:val="18"/>
                <w:szCs w:val="18"/>
                <w:color w:val="auto"/>
              </w:rPr>
              <w:t>Sherry House</w:t>
            </w:r>
            <w:r>
              <w:rPr>
                <w:rFonts w:ascii="Arial" w:cs="Arial" w:eastAsia="Arial" w:hAnsi="Arial"/>
                <w:sz w:val="26"/>
                <w:szCs w:val="26"/>
                <w:color w:val="auto"/>
                <w:vertAlign w:val="superscript"/>
              </w:rPr>
              <w:t>(2)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661,000</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4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Eric Bach</w:t>
            </w:r>
            <w:r>
              <w:rPr>
                <w:rFonts w:ascii="Arial" w:cs="Arial" w:eastAsia="Arial" w:hAnsi="Arial"/>
                <w:sz w:val="26"/>
                <w:szCs w:val="26"/>
                <w:color w:val="auto"/>
                <w:vertAlign w:val="superscript"/>
              </w:rPr>
              <w:t>(3)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2,669,807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4,564,675</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69"/>
        </w:trPr>
        <w:tc>
          <w:tcPr>
            <w:tcW w:w="4040" w:type="dxa"/>
            <w:vAlign w:val="bottom"/>
            <w:gridSpan w:val="2"/>
          </w:tcPr>
          <w:p>
            <w:pPr>
              <w:spacing w:after="0"/>
              <w:rPr>
                <w:sz w:val="20"/>
                <w:szCs w:val="20"/>
                <w:color w:val="auto"/>
              </w:rPr>
            </w:pPr>
            <w:r>
              <w:rPr>
                <w:rFonts w:ascii="Arial" w:cs="Arial" w:eastAsia="Arial" w:hAnsi="Arial"/>
                <w:sz w:val="18"/>
                <w:szCs w:val="18"/>
                <w:color w:val="auto"/>
              </w:rPr>
              <w:t>Michael Bell</w:t>
            </w:r>
            <w:r>
              <w:rPr>
                <w:rFonts w:ascii="Arial" w:cs="Arial" w:eastAsia="Arial" w:hAnsi="Arial"/>
                <w:sz w:val="26"/>
                <w:szCs w:val="26"/>
                <w:color w:val="auto"/>
                <w:vertAlign w:val="superscript"/>
              </w:rPr>
              <w:t>(4)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100,364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1,422,364</w:t>
            </w:r>
          </w:p>
        </w:tc>
        <w:tc>
          <w:tcPr>
            <w:tcW w:w="8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-730885</wp:posOffset>
            </wp:positionV>
            <wp:extent cx="1371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-730885</wp:posOffset>
            </wp:positionV>
            <wp:extent cx="13716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-730885</wp:posOffset>
            </wp:positionV>
            <wp:extent cx="13716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-730885</wp:posOffset>
            </wp:positionV>
            <wp:extent cx="13716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7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5" w:name="page146"/>
    <w:bookmarkEnd w:id="1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 of Class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Shares of Class A common</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A common</w:t>
            </w: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6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stock Beneficially Owned</w:t>
            </w: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1"/>
              </w:rPr>
              <w:t>stock</w:t>
            </w: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3"/>
              </w:rPr>
              <w:t>Shares of Class</w:t>
            </w:r>
          </w:p>
        </w:tc>
        <w:tc>
          <w:tcPr>
            <w:tcW w:w="16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After the Offered Shares of</w:t>
            </w: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Beneficially</w:t>
            </w: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A common</w:t>
            </w:r>
          </w:p>
        </w:tc>
        <w:tc>
          <w:tcPr>
            <w:tcW w:w="16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Common Stock are Sold</w:t>
            </w: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260" w:type="dxa"/>
            <w:vAlign w:val="bottom"/>
          </w:tcPr>
          <w:p>
            <w:pPr>
              <w:spacing w:after="0"/>
              <w:rPr>
                <w:sz w:val="7"/>
                <w:szCs w:val="7"/>
                <w:color w:val="auto"/>
              </w:rPr>
            </w:pPr>
          </w:p>
        </w:tc>
        <w:tc>
          <w:tcPr>
            <w:tcW w:w="3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Owned Prior to</w:t>
            </w: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stock Being</w:t>
            </w:r>
          </w:p>
        </w:tc>
        <w:tc>
          <w:tcPr>
            <w:tcW w:w="162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26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Arial" w:cs="Arial" w:eastAsia="Arial" w:hAnsi="Arial"/>
                <w:sz w:val="14"/>
                <w:szCs w:val="14"/>
                <w:b w:val="1"/>
                <w:bCs w:val="1"/>
                <w:color w:val="auto"/>
              </w:rPr>
              <w:t>Name of Selling Securityholder</w:t>
            </w:r>
          </w:p>
        </w:tc>
        <w:tc>
          <w:tcPr>
            <w:tcW w:w="220" w:type="dxa"/>
            <w:vAlign w:val="bottom"/>
          </w:tcPr>
          <w:p>
            <w:pPr>
              <w:spacing w:after="0"/>
              <w:rPr>
                <w:sz w:val="16"/>
                <w:szCs w:val="16"/>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Offering</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Offered</w:t>
            </w: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82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Andrew Liveris</w:t>
            </w:r>
            <w:r>
              <w:rPr>
                <w:rFonts w:ascii="Arial" w:cs="Arial" w:eastAsia="Arial" w:hAnsi="Arial"/>
                <w:sz w:val="26"/>
                <w:szCs w:val="26"/>
                <w:color w:val="auto"/>
                <w:vertAlign w:val="superscript"/>
              </w:rPr>
              <w:t>(5)</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535,275</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1,298,622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Glenn R. August</w:t>
            </w:r>
            <w:r>
              <w:rPr>
                <w:rFonts w:ascii="Arial" w:cs="Arial" w:eastAsia="Arial" w:hAnsi="Arial"/>
                <w:sz w:val="26"/>
                <w:szCs w:val="26"/>
                <w:color w:val="auto"/>
                <w:vertAlign w:val="superscript"/>
              </w:rPr>
              <w:t>(6)</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13,858,569</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Nancy Gioia</w:t>
            </w:r>
            <w:r>
              <w:rPr>
                <w:rFonts w:ascii="Arial" w:cs="Arial" w:eastAsia="Arial" w:hAnsi="Arial"/>
                <w:sz w:val="26"/>
                <w:szCs w:val="26"/>
                <w:color w:val="auto"/>
                <w:vertAlign w:val="superscript"/>
              </w:rPr>
              <w:t>(7)</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Tony Posawatz</w:t>
            </w:r>
            <w:r>
              <w:rPr>
                <w:rFonts w:ascii="Arial" w:cs="Arial" w:eastAsia="Arial" w:hAnsi="Arial"/>
                <w:sz w:val="26"/>
                <w:szCs w:val="26"/>
                <w:color w:val="auto"/>
                <w:vertAlign w:val="superscript"/>
              </w:rPr>
              <w:t>(8)</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52,880</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52,880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Turqi Alnowaiser</w:t>
            </w:r>
            <w:r>
              <w:rPr>
                <w:rFonts w:ascii="Arial" w:cs="Arial" w:eastAsia="Arial" w:hAnsi="Arial"/>
                <w:sz w:val="26"/>
                <w:szCs w:val="26"/>
                <w:color w:val="auto"/>
                <w:vertAlign w:val="superscript"/>
              </w:rPr>
              <w:t>(9)</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2,070,138</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2,070,138</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H.E. Yasir Othman Al-Rumayyan</w:t>
            </w:r>
            <w:r>
              <w:rPr>
                <w:rFonts w:ascii="Arial" w:cs="Arial" w:eastAsia="Arial" w:hAnsi="Arial"/>
                <w:sz w:val="26"/>
                <w:szCs w:val="26"/>
                <w:color w:val="auto"/>
                <w:vertAlign w:val="superscript"/>
              </w:rPr>
              <w:t>(10)</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4,604,595</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4,604,595</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Churchill Sponsor IV LLC</w:t>
            </w:r>
            <w:r>
              <w:rPr>
                <w:rFonts w:ascii="Arial" w:cs="Arial" w:eastAsia="Arial" w:hAnsi="Arial"/>
                <w:sz w:val="26"/>
                <w:szCs w:val="26"/>
                <w:color w:val="auto"/>
                <w:vertAlign w:val="superscript"/>
              </w:rPr>
              <w:t>(11)</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51,750,000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51,750,000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40 North Latitude Master Fund Ltd.</w:t>
            </w:r>
            <w:r>
              <w:rPr>
                <w:rFonts w:ascii="Arial" w:cs="Arial" w:eastAsia="Arial" w:hAnsi="Arial"/>
                <w:sz w:val="26"/>
                <w:szCs w:val="26"/>
                <w:color w:val="auto"/>
                <w:vertAlign w:val="superscript"/>
              </w:rPr>
              <w:t>(12)</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1,666,667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1,666,667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Aurora Trust</w:t>
            </w:r>
            <w:r>
              <w:rPr>
                <w:rFonts w:ascii="Arial" w:cs="Arial" w:eastAsia="Arial" w:hAnsi="Arial"/>
                <w:sz w:val="26"/>
                <w:szCs w:val="26"/>
                <w:color w:val="auto"/>
                <w:vertAlign w:val="superscript"/>
              </w:rPr>
              <w:t>(13)</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333,333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333,333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Ayar Third Investment Company</w:t>
            </w:r>
            <w:r>
              <w:rPr>
                <w:rFonts w:ascii="Arial" w:cs="Arial" w:eastAsia="Arial" w:hAnsi="Arial"/>
                <w:sz w:val="26"/>
                <w:szCs w:val="26"/>
                <w:color w:val="auto"/>
                <w:vertAlign w:val="superscript"/>
              </w:rPr>
              <w:t>(14)</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1,015,252,523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1,015,252,523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Alberta Investment Management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3820" w:type="dxa"/>
            <w:vAlign w:val="bottom"/>
            <w:shd w:val="clear" w:color="auto" w:fill="CCEEFF"/>
          </w:tcPr>
          <w:p>
            <w:pPr>
              <w:ind w:left="180"/>
              <w:spacing w:after="0" w:line="281" w:lineRule="exact"/>
              <w:rPr>
                <w:sz w:val="20"/>
                <w:szCs w:val="20"/>
                <w:color w:val="auto"/>
              </w:rPr>
            </w:pPr>
            <w:r>
              <w:rPr>
                <w:rFonts w:ascii="Arial" w:cs="Arial" w:eastAsia="Arial" w:hAnsi="Arial"/>
                <w:sz w:val="18"/>
                <w:szCs w:val="18"/>
                <w:color w:val="auto"/>
              </w:rPr>
              <w:t>Corporation</w:t>
            </w:r>
            <w:r>
              <w:rPr>
                <w:rFonts w:ascii="Arial" w:cs="Arial" w:eastAsia="Arial" w:hAnsi="Arial"/>
                <w:sz w:val="26"/>
                <w:szCs w:val="26"/>
                <w:color w:val="auto"/>
                <w:vertAlign w:val="superscript"/>
              </w:rPr>
              <w:t>(15)</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1,666,667</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1,666,667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Alpine Partners (BVI), L.P.</w:t>
            </w:r>
            <w:r>
              <w:rPr>
                <w:rFonts w:ascii="Arial" w:cs="Arial" w:eastAsia="Arial" w:hAnsi="Arial"/>
                <w:sz w:val="26"/>
                <w:szCs w:val="26"/>
                <w:color w:val="auto"/>
                <w:vertAlign w:val="superscript"/>
              </w:rPr>
              <w:t>(16)</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1,333,334</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1,333,334</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Altimeter Partners Fund, L.P.</w:t>
            </w:r>
            <w:r>
              <w:rPr>
                <w:rFonts w:ascii="Arial" w:cs="Arial" w:eastAsia="Arial" w:hAnsi="Arial"/>
                <w:sz w:val="26"/>
                <w:szCs w:val="26"/>
                <w:color w:val="auto"/>
                <w:vertAlign w:val="superscript"/>
              </w:rPr>
              <w:t>(17)</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3,333,333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3,333,333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Alyeska Master Fund, L.P.</w:t>
            </w:r>
            <w:r>
              <w:rPr>
                <w:rFonts w:ascii="Arial" w:cs="Arial" w:eastAsia="Arial" w:hAnsi="Arial"/>
                <w:sz w:val="26"/>
                <w:szCs w:val="26"/>
                <w:color w:val="auto"/>
                <w:vertAlign w:val="superscript"/>
              </w:rPr>
              <w:t>(18)</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1,416,314</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1,333,333</w:t>
            </w:r>
          </w:p>
        </w:tc>
        <w:tc>
          <w:tcPr>
            <w:tcW w:w="760" w:type="dxa"/>
            <w:vAlign w:val="bottom"/>
          </w:tcPr>
          <w:p>
            <w:pPr>
              <w:jc w:val="right"/>
              <w:spacing w:after="0"/>
              <w:rPr>
                <w:sz w:val="20"/>
                <w:szCs w:val="20"/>
                <w:color w:val="auto"/>
              </w:rPr>
            </w:pPr>
            <w:r>
              <w:rPr>
                <w:rFonts w:ascii="Arial" w:cs="Arial" w:eastAsia="Arial" w:hAnsi="Arial"/>
                <w:sz w:val="18"/>
                <w:szCs w:val="18"/>
                <w:color w:val="auto"/>
              </w:rPr>
              <w:t>82,981</w:t>
            </w:r>
          </w:p>
        </w:tc>
        <w:tc>
          <w:tcPr>
            <w:tcW w:w="220" w:type="dxa"/>
            <w:vAlign w:val="bottom"/>
          </w:tcPr>
          <w:p>
            <w:pPr>
              <w:spacing w:after="0"/>
              <w:rPr>
                <w:sz w:val="23"/>
                <w:szCs w:val="23"/>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Arena Capital Funds</w:t>
            </w:r>
            <w:r>
              <w:rPr>
                <w:rFonts w:ascii="Arial" w:cs="Arial" w:eastAsia="Arial" w:hAnsi="Arial"/>
                <w:sz w:val="26"/>
                <w:szCs w:val="26"/>
                <w:color w:val="auto"/>
                <w:vertAlign w:val="superscript"/>
              </w:rPr>
              <w:t>(19)</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1,333,333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1,333,333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 xml:space="preserve">Aristeia Funds </w:t>
            </w:r>
            <w:r>
              <w:rPr>
                <w:rFonts w:ascii="Arial" w:cs="Arial" w:eastAsia="Arial" w:hAnsi="Arial"/>
                <w:sz w:val="26"/>
                <w:szCs w:val="26"/>
                <w:color w:val="auto"/>
                <w:vertAlign w:val="superscript"/>
              </w:rPr>
              <w:t>(20)</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666,667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666,667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Atlas Diversified Master Fund, Ltd.</w:t>
            </w:r>
            <w:r>
              <w:rPr>
                <w:rFonts w:ascii="Arial" w:cs="Arial" w:eastAsia="Arial" w:hAnsi="Arial"/>
                <w:sz w:val="26"/>
                <w:szCs w:val="26"/>
                <w:color w:val="auto"/>
                <w:vertAlign w:val="superscript"/>
              </w:rPr>
              <w:t>(21)</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1,333,333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1,333,333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BCP Portfolio II LLC</w:t>
            </w:r>
            <w:r>
              <w:rPr>
                <w:rFonts w:ascii="Arial" w:cs="Arial" w:eastAsia="Arial" w:hAnsi="Arial"/>
                <w:sz w:val="26"/>
                <w:szCs w:val="26"/>
                <w:color w:val="auto"/>
                <w:vertAlign w:val="superscript"/>
              </w:rPr>
              <w:t>(22)</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133,333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133,333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Behdad Eghbali</w:t>
            </w:r>
            <w:r>
              <w:rPr>
                <w:rFonts w:ascii="Arial" w:cs="Arial" w:eastAsia="Arial" w:hAnsi="Arial"/>
                <w:sz w:val="26"/>
                <w:szCs w:val="26"/>
                <w:color w:val="auto"/>
                <w:vertAlign w:val="superscript"/>
              </w:rPr>
              <w:t>(23)</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833,334</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833,334</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BlackRock Funds</w:t>
            </w:r>
            <w:r>
              <w:rPr>
                <w:rFonts w:ascii="Arial" w:cs="Arial" w:eastAsia="Arial" w:hAnsi="Arial"/>
                <w:sz w:val="26"/>
                <w:szCs w:val="26"/>
                <w:color w:val="auto"/>
                <w:vertAlign w:val="superscript"/>
              </w:rPr>
              <w:t>(24)</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16,666,667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16,666,667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Blackstone Funds</w:t>
            </w:r>
            <w:r>
              <w:rPr>
                <w:rFonts w:ascii="Arial" w:cs="Arial" w:eastAsia="Arial" w:hAnsi="Arial"/>
                <w:sz w:val="26"/>
                <w:szCs w:val="26"/>
                <w:color w:val="auto"/>
                <w:vertAlign w:val="superscript"/>
              </w:rPr>
              <w:t>(25)</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8,733,334</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8,333,334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8"/>
              </w:rPr>
              <w:t>MMCAP International Inc. SPC for and on behalf</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3820" w:type="dxa"/>
            <w:vAlign w:val="bottom"/>
          </w:tcPr>
          <w:p>
            <w:pPr>
              <w:ind w:left="180"/>
              <w:spacing w:after="0" w:line="281" w:lineRule="exact"/>
              <w:rPr>
                <w:sz w:val="20"/>
                <w:szCs w:val="20"/>
                <w:color w:val="auto"/>
              </w:rPr>
            </w:pPr>
            <w:r>
              <w:rPr>
                <w:rFonts w:ascii="Arial" w:cs="Arial" w:eastAsia="Arial" w:hAnsi="Arial"/>
                <w:sz w:val="18"/>
                <w:szCs w:val="18"/>
                <w:color w:val="auto"/>
              </w:rPr>
              <w:t>of MMCAP Master Segregated Portfolio</w:t>
            </w:r>
            <w:r>
              <w:rPr>
                <w:rFonts w:ascii="Arial" w:cs="Arial" w:eastAsia="Arial" w:hAnsi="Arial"/>
                <w:sz w:val="26"/>
                <w:szCs w:val="26"/>
                <w:color w:val="auto"/>
                <w:vertAlign w:val="superscript"/>
              </w:rPr>
              <w:t>(26)</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666,667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666,667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CCC-IV INVESTMENTS LLC</w:t>
            </w:r>
            <w:r>
              <w:rPr>
                <w:rFonts w:ascii="Arial" w:cs="Arial" w:eastAsia="Arial" w:hAnsi="Arial"/>
                <w:sz w:val="26"/>
                <w:szCs w:val="26"/>
                <w:color w:val="auto"/>
                <w:vertAlign w:val="superscript"/>
              </w:rPr>
              <w:t>(27)</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1,666,667</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1,666,667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Citadel Multi-Strategy Equities Master</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3820" w:type="dxa"/>
            <w:vAlign w:val="bottom"/>
          </w:tcPr>
          <w:p>
            <w:pPr>
              <w:ind w:left="180"/>
              <w:spacing w:after="0" w:line="281" w:lineRule="exact"/>
              <w:rPr>
                <w:sz w:val="20"/>
                <w:szCs w:val="20"/>
                <w:color w:val="auto"/>
              </w:rPr>
            </w:pPr>
            <w:r>
              <w:rPr>
                <w:rFonts w:ascii="Arial" w:cs="Arial" w:eastAsia="Arial" w:hAnsi="Arial"/>
                <w:sz w:val="18"/>
                <w:szCs w:val="18"/>
                <w:color w:val="auto"/>
              </w:rPr>
              <w:t xml:space="preserve">Fund Ltd. </w:t>
            </w:r>
            <w:r>
              <w:rPr>
                <w:rFonts w:ascii="Arial" w:cs="Arial" w:eastAsia="Arial" w:hAnsi="Arial"/>
                <w:sz w:val="26"/>
                <w:szCs w:val="26"/>
                <w:color w:val="auto"/>
                <w:vertAlign w:val="superscript"/>
              </w:rPr>
              <w:t>(28)</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5,450,511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5,333,333</w:t>
            </w:r>
          </w:p>
        </w:tc>
        <w:tc>
          <w:tcPr>
            <w:tcW w:w="760" w:type="dxa"/>
            <w:vAlign w:val="bottom"/>
          </w:tcPr>
          <w:p>
            <w:pPr>
              <w:jc w:val="right"/>
              <w:spacing w:after="0"/>
              <w:rPr>
                <w:sz w:val="20"/>
                <w:szCs w:val="20"/>
                <w:color w:val="auto"/>
              </w:rPr>
            </w:pPr>
            <w:r>
              <w:rPr>
                <w:rFonts w:ascii="Arial" w:cs="Arial" w:eastAsia="Arial" w:hAnsi="Arial"/>
                <w:sz w:val="18"/>
                <w:szCs w:val="18"/>
                <w:color w:val="auto"/>
              </w:rPr>
              <w:t>117,178</w:t>
            </w:r>
          </w:p>
        </w:tc>
        <w:tc>
          <w:tcPr>
            <w:tcW w:w="220" w:type="dxa"/>
            <w:vAlign w:val="bottom"/>
          </w:tcPr>
          <w:p>
            <w:pPr>
              <w:spacing w:after="0"/>
              <w:rPr>
                <w:sz w:val="24"/>
                <w:szCs w:val="24"/>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Corsair Capital Funds</w:t>
            </w:r>
            <w:r>
              <w:rPr>
                <w:rFonts w:ascii="Arial" w:cs="Arial" w:eastAsia="Arial" w:hAnsi="Arial"/>
                <w:sz w:val="26"/>
                <w:szCs w:val="26"/>
                <w:color w:val="auto"/>
                <w:vertAlign w:val="superscript"/>
              </w:rPr>
              <w:t>(29)</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1,333,333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1,333,333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 xml:space="preserve">Cramer Rosenthal McGlynn Funds </w:t>
            </w:r>
            <w:r>
              <w:rPr>
                <w:rFonts w:ascii="Arial" w:cs="Arial" w:eastAsia="Arial" w:hAnsi="Arial"/>
                <w:sz w:val="26"/>
                <w:szCs w:val="26"/>
                <w:color w:val="auto"/>
                <w:vertAlign w:val="superscript"/>
              </w:rPr>
              <w:t>(30)</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333,333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333,333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D.E. Shaw Oculus Portfolios, L.L.C.</w:t>
            </w:r>
            <w:r>
              <w:rPr>
                <w:rFonts w:ascii="Arial" w:cs="Arial" w:eastAsia="Arial" w:hAnsi="Arial"/>
                <w:sz w:val="26"/>
                <w:szCs w:val="26"/>
                <w:color w:val="auto"/>
                <w:vertAlign w:val="superscript"/>
              </w:rPr>
              <w:t>(31)</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166,667</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166,667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820" w:type="dxa"/>
            <w:vAlign w:val="bottom"/>
          </w:tcPr>
          <w:p>
            <w:pPr>
              <w:spacing w:after="0" w:line="270" w:lineRule="exact"/>
              <w:rPr>
                <w:sz w:val="20"/>
                <w:szCs w:val="20"/>
                <w:color w:val="auto"/>
              </w:rPr>
            </w:pPr>
            <w:r>
              <w:rPr>
                <w:rFonts w:ascii="Arial" w:cs="Arial" w:eastAsia="Arial" w:hAnsi="Arial"/>
                <w:sz w:val="18"/>
                <w:szCs w:val="18"/>
                <w:color w:val="auto"/>
              </w:rPr>
              <w:t>D. E. Shaw Valence Portfolios, L.L.C.</w:t>
            </w:r>
            <w:r>
              <w:rPr>
                <w:rFonts w:ascii="Arial" w:cs="Arial" w:eastAsia="Arial" w:hAnsi="Arial"/>
                <w:sz w:val="26"/>
                <w:szCs w:val="26"/>
                <w:color w:val="auto"/>
                <w:vertAlign w:val="superscript"/>
              </w:rPr>
              <w:t>(32)</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500,000</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820" w:type="dxa"/>
            <w:vAlign w:val="bottom"/>
            <w:shd w:val="clear" w:color="auto" w:fill="CCEEFF"/>
          </w:tcPr>
          <w:p>
            <w:pPr>
              <w:spacing w:after="0" w:line="283" w:lineRule="exact"/>
              <w:rPr>
                <w:sz w:val="20"/>
                <w:szCs w:val="20"/>
                <w:color w:val="auto"/>
              </w:rPr>
            </w:pPr>
            <w:r>
              <w:rPr>
                <w:rFonts w:ascii="Arial" w:cs="Arial" w:eastAsia="Arial" w:hAnsi="Arial"/>
                <w:sz w:val="18"/>
                <w:szCs w:val="18"/>
                <w:color w:val="auto"/>
              </w:rPr>
              <w:t>Diameter Master Fund LP</w:t>
            </w:r>
            <w:r>
              <w:rPr>
                <w:rFonts w:ascii="Arial" w:cs="Arial" w:eastAsia="Arial" w:hAnsi="Arial"/>
                <w:sz w:val="26"/>
                <w:szCs w:val="26"/>
                <w:color w:val="auto"/>
                <w:vertAlign w:val="superscript"/>
              </w:rPr>
              <w:t>(33)</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333,333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333,333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820" w:type="dxa"/>
            <w:vAlign w:val="bottom"/>
          </w:tcPr>
          <w:p>
            <w:pPr>
              <w:spacing w:after="0" w:line="283" w:lineRule="exact"/>
              <w:rPr>
                <w:sz w:val="20"/>
                <w:szCs w:val="20"/>
                <w:color w:val="auto"/>
              </w:rPr>
            </w:pPr>
            <w:r>
              <w:rPr>
                <w:rFonts w:ascii="Arial" w:cs="Arial" w:eastAsia="Arial" w:hAnsi="Arial"/>
                <w:sz w:val="18"/>
                <w:szCs w:val="18"/>
                <w:color w:val="auto"/>
              </w:rPr>
              <w:t>Dragoneer Global Fund II, L.P.</w:t>
            </w:r>
            <w:r>
              <w:rPr>
                <w:rFonts w:ascii="Arial" w:cs="Arial" w:eastAsia="Arial" w:hAnsi="Arial"/>
                <w:sz w:val="26"/>
                <w:szCs w:val="26"/>
                <w:color w:val="auto"/>
                <w:vertAlign w:val="superscript"/>
              </w:rPr>
              <w:t>(34)</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4,333,333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4,333,333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DSAM Partners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3820" w:type="dxa"/>
            <w:vAlign w:val="bottom"/>
            <w:shd w:val="clear" w:color="auto" w:fill="CCEEFF"/>
          </w:tcPr>
          <w:p>
            <w:pPr>
              <w:ind w:left="180"/>
              <w:spacing w:after="0" w:line="281" w:lineRule="exact"/>
              <w:rPr>
                <w:sz w:val="20"/>
                <w:szCs w:val="20"/>
                <w:color w:val="auto"/>
              </w:rPr>
            </w:pPr>
            <w:r>
              <w:rPr>
                <w:rFonts w:ascii="Arial" w:cs="Arial" w:eastAsia="Arial" w:hAnsi="Arial"/>
                <w:sz w:val="18"/>
                <w:szCs w:val="18"/>
                <w:color w:val="auto"/>
              </w:rPr>
              <w:t>(London) Ltd.</w:t>
            </w:r>
            <w:r>
              <w:rPr>
                <w:rFonts w:ascii="Arial" w:cs="Arial" w:eastAsia="Arial" w:hAnsi="Arial"/>
                <w:sz w:val="26"/>
                <w:szCs w:val="26"/>
                <w:color w:val="auto"/>
                <w:vertAlign w:val="superscript"/>
              </w:rPr>
              <w:t>(35)</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839,518</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575,307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264,211</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Empyrean Capital Overseas Master</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3820" w:type="dxa"/>
            <w:vAlign w:val="bottom"/>
          </w:tcPr>
          <w:p>
            <w:pPr>
              <w:ind w:left="180"/>
              <w:spacing w:after="0" w:line="281" w:lineRule="exact"/>
              <w:rPr>
                <w:sz w:val="20"/>
                <w:szCs w:val="20"/>
                <w:color w:val="auto"/>
              </w:rPr>
            </w:pPr>
            <w:r>
              <w:rPr>
                <w:rFonts w:ascii="Arial" w:cs="Arial" w:eastAsia="Arial" w:hAnsi="Arial"/>
                <w:sz w:val="18"/>
                <w:szCs w:val="18"/>
                <w:color w:val="auto"/>
              </w:rPr>
              <w:t>Fund Ltd.</w:t>
            </w:r>
            <w:r>
              <w:rPr>
                <w:rFonts w:ascii="Arial" w:cs="Arial" w:eastAsia="Arial" w:hAnsi="Arial"/>
                <w:sz w:val="26"/>
                <w:szCs w:val="26"/>
                <w:color w:val="auto"/>
                <w:vertAlign w:val="superscript"/>
              </w:rPr>
              <w:t>(36)</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666,667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666,667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820" w:type="dxa"/>
            <w:vAlign w:val="bottom"/>
            <w:shd w:val="clear" w:color="auto" w:fill="CCEEFF"/>
          </w:tcPr>
          <w:p>
            <w:pPr>
              <w:spacing w:after="0" w:line="283" w:lineRule="exact"/>
              <w:rPr>
                <w:sz w:val="20"/>
                <w:szCs w:val="20"/>
                <w:color w:val="auto"/>
              </w:rPr>
            </w:pPr>
            <w:r>
              <w:rPr>
                <w:rFonts w:ascii="Arial" w:cs="Arial" w:eastAsia="Arial" w:hAnsi="Arial"/>
                <w:sz w:val="18"/>
                <w:szCs w:val="18"/>
                <w:color w:val="auto"/>
              </w:rPr>
              <w:t>Fidelity Funds</w:t>
            </w:r>
            <w:r>
              <w:rPr>
                <w:rFonts w:ascii="Arial" w:cs="Arial" w:eastAsia="Arial" w:hAnsi="Arial"/>
                <w:sz w:val="26"/>
                <w:szCs w:val="26"/>
                <w:color w:val="auto"/>
                <w:vertAlign w:val="superscript"/>
              </w:rPr>
              <w:t>(37)</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13,333,334</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13,333,334</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3820" w:type="dxa"/>
            <w:vAlign w:val="bottom"/>
          </w:tcPr>
          <w:p>
            <w:pPr>
              <w:spacing w:after="0" w:line="283" w:lineRule="exact"/>
              <w:rPr>
                <w:sz w:val="20"/>
                <w:szCs w:val="20"/>
                <w:color w:val="auto"/>
              </w:rPr>
            </w:pPr>
            <w:r>
              <w:rPr>
                <w:rFonts w:ascii="Arial" w:cs="Arial" w:eastAsia="Arial" w:hAnsi="Arial"/>
                <w:sz w:val="18"/>
                <w:szCs w:val="18"/>
                <w:color w:val="auto"/>
              </w:rPr>
              <w:t>Franklin Funds</w:t>
            </w:r>
            <w:r>
              <w:rPr>
                <w:rFonts w:ascii="Arial" w:cs="Arial" w:eastAsia="Arial" w:hAnsi="Arial"/>
                <w:sz w:val="26"/>
                <w:szCs w:val="26"/>
                <w:color w:val="auto"/>
                <w:vertAlign w:val="superscript"/>
              </w:rPr>
              <w:t>(38)</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13,415,491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13,333,334</w:t>
            </w:r>
          </w:p>
        </w:tc>
        <w:tc>
          <w:tcPr>
            <w:tcW w:w="760" w:type="dxa"/>
            <w:vAlign w:val="bottom"/>
          </w:tcPr>
          <w:p>
            <w:pPr>
              <w:jc w:val="right"/>
              <w:spacing w:after="0"/>
              <w:rPr>
                <w:sz w:val="20"/>
                <w:szCs w:val="20"/>
                <w:color w:val="auto"/>
              </w:rPr>
            </w:pPr>
            <w:r>
              <w:rPr>
                <w:rFonts w:ascii="Arial" w:cs="Arial" w:eastAsia="Arial" w:hAnsi="Arial"/>
                <w:sz w:val="18"/>
                <w:szCs w:val="18"/>
                <w:color w:val="auto"/>
              </w:rPr>
              <w:t>82,157</w:t>
            </w:r>
          </w:p>
        </w:tc>
        <w:tc>
          <w:tcPr>
            <w:tcW w:w="220" w:type="dxa"/>
            <w:vAlign w:val="bottom"/>
          </w:tcPr>
          <w:p>
            <w:pPr>
              <w:spacing w:after="0"/>
              <w:rPr>
                <w:sz w:val="24"/>
                <w:szCs w:val="24"/>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820" w:type="dxa"/>
            <w:vAlign w:val="bottom"/>
            <w:shd w:val="clear" w:color="auto" w:fill="CCEEFF"/>
          </w:tcPr>
          <w:p>
            <w:pPr>
              <w:spacing w:after="0" w:line="283" w:lineRule="exact"/>
              <w:rPr>
                <w:sz w:val="20"/>
                <w:szCs w:val="20"/>
                <w:color w:val="auto"/>
              </w:rPr>
            </w:pPr>
            <w:r>
              <w:rPr>
                <w:rFonts w:ascii="Arial" w:cs="Arial" w:eastAsia="Arial" w:hAnsi="Arial"/>
                <w:sz w:val="18"/>
                <w:szCs w:val="18"/>
                <w:color w:val="auto"/>
              </w:rPr>
              <w:t>Ghisallo Master Fund LP</w:t>
            </w:r>
            <w:r>
              <w:rPr>
                <w:rFonts w:ascii="Arial" w:cs="Arial" w:eastAsia="Arial" w:hAnsi="Arial"/>
                <w:sz w:val="26"/>
                <w:szCs w:val="26"/>
                <w:color w:val="auto"/>
                <w:vertAlign w:val="superscript"/>
              </w:rPr>
              <w:t>(39)</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60" w:type="dxa"/>
            <w:vAlign w:val="bottom"/>
            <w:gridSpan w:val="2"/>
          </w:tcPr>
          <w:p>
            <w:pPr>
              <w:jc w:val="right"/>
              <w:ind w:right="784"/>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5463540</wp:posOffset>
            </wp:positionH>
            <wp:positionV relativeFrom="paragraph">
              <wp:posOffset>-7448550</wp:posOffset>
            </wp:positionV>
            <wp:extent cx="1371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-7448550</wp:posOffset>
            </wp:positionV>
            <wp:extent cx="137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-7448550</wp:posOffset>
            </wp:positionV>
            <wp:extent cx="1371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-7448550</wp:posOffset>
            </wp:positionV>
            <wp:extent cx="137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6" w:name="page147"/>
    <w:bookmarkEnd w:id="1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Shares of Class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 common</w:t>
            </w: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1"/>
              </w:rPr>
              <w:t>stock</w:t>
            </w: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3"/>
              </w:rPr>
              <w:t>Shares of Class</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Beneficially</w:t>
            </w: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 common</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Owned Prior to</w:t>
            </w: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stock Being</w:t>
            </w:r>
          </w:p>
        </w:tc>
      </w:tr>
      <w:tr>
        <w:trPr>
          <w:trHeight w:val="186"/>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Securityholder</w:t>
            </w:r>
          </w:p>
        </w:tc>
        <w:tc>
          <w:tcPr>
            <w:tcW w:w="200" w:type="dxa"/>
            <w:vAlign w:val="bottom"/>
          </w:tcPr>
          <w:p>
            <w:pPr>
              <w:spacing w:after="0"/>
              <w:rPr>
                <w:sz w:val="16"/>
                <w:szCs w:val="16"/>
                <w:color w:val="auto"/>
              </w:rPr>
            </w:pPr>
          </w:p>
        </w:tc>
        <w:tc>
          <w:tcPr>
            <w:tcW w:w="1220" w:type="dxa"/>
            <w:vAlign w:val="bottom"/>
            <w:gridSpan w:val="3"/>
          </w:tcPr>
          <w:p>
            <w:pPr>
              <w:ind w:left="260"/>
              <w:spacing w:after="0"/>
              <w:rPr>
                <w:sz w:val="20"/>
                <w:szCs w:val="20"/>
                <w:color w:val="auto"/>
              </w:rPr>
            </w:pPr>
            <w:r>
              <w:rPr>
                <w:rFonts w:ascii="Arial" w:cs="Arial" w:eastAsia="Arial" w:hAnsi="Arial"/>
                <w:sz w:val="14"/>
                <w:szCs w:val="14"/>
                <w:b w:val="1"/>
                <w:bCs w:val="1"/>
                <w:color w:val="auto"/>
              </w:rPr>
              <w:t>Offering</w:t>
            </w:r>
          </w:p>
        </w:tc>
        <w:tc>
          <w:tcPr>
            <w:tcW w:w="1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Offered</w:t>
            </w:r>
          </w:p>
        </w:tc>
      </w:tr>
      <w:tr>
        <w:trPr>
          <w:trHeight w:val="26"/>
        </w:trPr>
        <w:tc>
          <w:tcPr>
            <w:tcW w:w="3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3"/>
        </w:trPr>
        <w:tc>
          <w:tcPr>
            <w:tcW w:w="3840" w:type="dxa"/>
            <w:vAlign w:val="bottom"/>
            <w:gridSpan w:val="3"/>
          </w:tcPr>
          <w:p>
            <w:pPr>
              <w:spacing w:after="0" w:line="252" w:lineRule="exact"/>
              <w:rPr>
                <w:sz w:val="20"/>
                <w:szCs w:val="20"/>
                <w:color w:val="auto"/>
              </w:rPr>
            </w:pPr>
            <w:r>
              <w:rPr>
                <w:rFonts w:ascii="Arial" w:cs="Arial" w:eastAsia="Arial" w:hAnsi="Arial"/>
                <w:sz w:val="18"/>
                <w:szCs w:val="18"/>
                <w:color w:val="auto"/>
              </w:rPr>
              <w:t>HBK Master Fund L.P.</w:t>
            </w:r>
            <w:r>
              <w:rPr>
                <w:rFonts w:ascii="Arial" w:cs="Arial" w:eastAsia="Arial" w:hAnsi="Arial"/>
                <w:sz w:val="26"/>
                <w:szCs w:val="26"/>
                <w:color w:val="auto"/>
                <w:vertAlign w:val="superscript"/>
              </w:rPr>
              <w:t>(40)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666,667</w:t>
            </w:r>
          </w:p>
        </w:tc>
        <w:tc>
          <w:tcPr>
            <w:tcW w:w="4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666,667</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José E. Feliciano</w:t>
            </w:r>
            <w:r>
              <w:rPr>
                <w:rFonts w:ascii="Arial" w:cs="Arial" w:eastAsia="Arial" w:hAnsi="Arial"/>
                <w:sz w:val="26"/>
                <w:szCs w:val="26"/>
                <w:color w:val="auto"/>
                <w:vertAlign w:val="superscript"/>
              </w:rPr>
              <w:t>(41)</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833,333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833,333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Linden Capital L.P.</w:t>
            </w:r>
            <w:r>
              <w:rPr>
                <w:rFonts w:ascii="Arial" w:cs="Arial" w:eastAsia="Arial" w:hAnsi="Arial"/>
                <w:sz w:val="26"/>
                <w:szCs w:val="26"/>
                <w:color w:val="auto"/>
                <w:vertAlign w:val="superscript"/>
              </w:rPr>
              <w:t>(42)</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333,333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Longfellow Investment Management Funds</w:t>
            </w:r>
            <w:r>
              <w:rPr>
                <w:rFonts w:ascii="Arial" w:cs="Arial" w:eastAsia="Arial" w:hAnsi="Arial"/>
                <w:sz w:val="26"/>
                <w:szCs w:val="26"/>
                <w:color w:val="auto"/>
                <w:vertAlign w:val="superscript"/>
              </w:rPr>
              <w:t>(43)</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200,000</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200,000</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Magnetar Funds</w:t>
            </w:r>
            <w:r>
              <w:rPr>
                <w:rFonts w:ascii="Arial" w:cs="Arial" w:eastAsia="Arial" w:hAnsi="Arial"/>
                <w:sz w:val="26"/>
                <w:szCs w:val="26"/>
                <w:color w:val="auto"/>
                <w:vertAlign w:val="superscript"/>
              </w:rPr>
              <w:t>(44)</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13,515,598</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10,000,000</w:t>
            </w:r>
          </w:p>
        </w:tc>
      </w:tr>
      <w:tr>
        <w:trPr>
          <w:trHeight w:val="293"/>
        </w:trPr>
        <w:tc>
          <w:tcPr>
            <w:tcW w:w="3840" w:type="dxa"/>
            <w:vAlign w:val="bottom"/>
            <w:gridSpan w:val="3"/>
          </w:tcPr>
          <w:p>
            <w:pPr>
              <w:spacing w:after="0" w:line="293" w:lineRule="exact"/>
              <w:rPr>
                <w:sz w:val="20"/>
                <w:szCs w:val="20"/>
                <w:color w:val="auto"/>
              </w:rPr>
            </w:pPr>
            <w:r>
              <w:rPr>
                <w:rFonts w:ascii="Arial" w:cs="Arial" w:eastAsia="Arial" w:hAnsi="Arial"/>
                <w:sz w:val="18"/>
                <w:szCs w:val="18"/>
                <w:color w:val="auto"/>
              </w:rPr>
              <w:t>Millais Limited</w:t>
            </w:r>
            <w:r>
              <w:rPr>
                <w:rFonts w:ascii="Arial" w:cs="Arial" w:eastAsia="Arial" w:hAnsi="Arial"/>
                <w:sz w:val="26"/>
                <w:szCs w:val="26"/>
                <w:color w:val="auto"/>
                <w:vertAlign w:val="superscript"/>
              </w:rPr>
              <w:t>(45)</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2,000,000</w:t>
            </w:r>
          </w:p>
        </w:tc>
        <w:tc>
          <w:tcPr>
            <w:tcW w:w="40" w:type="dxa"/>
            <w:vAlign w:val="bottom"/>
          </w:tcPr>
          <w:p>
            <w:pPr>
              <w:spacing w:after="0"/>
              <w:rPr>
                <w:sz w:val="24"/>
                <w:szCs w:val="2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2,000,000</w:t>
            </w:r>
          </w:p>
        </w:tc>
      </w:tr>
      <w:tr>
        <w:trPr>
          <w:trHeight w:val="179"/>
        </w:trPr>
        <w:tc>
          <w:tcPr>
            <w:tcW w:w="3840" w:type="dxa"/>
            <w:vAlign w:val="bottom"/>
            <w:gridSpan w:val="3"/>
          </w:tcPr>
          <w:p>
            <w:pPr>
              <w:spacing w:after="0" w:line="179" w:lineRule="exact"/>
              <w:rPr>
                <w:sz w:val="20"/>
                <w:szCs w:val="20"/>
                <w:color w:val="auto"/>
              </w:rPr>
            </w:pPr>
            <w:r>
              <w:rPr>
                <w:rFonts w:ascii="Arial" w:cs="Arial" w:eastAsia="Arial" w:hAnsi="Arial"/>
                <w:sz w:val="18"/>
                <w:szCs w:val="18"/>
                <w:color w:val="auto"/>
              </w:rPr>
              <w:t>Entities Affiliated with Millennium Management</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84"/>
        </w:trPr>
        <w:tc>
          <w:tcPr>
            <w:tcW w:w="3840" w:type="dxa"/>
            <w:vAlign w:val="bottom"/>
            <w:gridSpan w:val="3"/>
          </w:tcPr>
          <w:p>
            <w:pPr>
              <w:ind w:left="180"/>
              <w:spacing w:after="0" w:line="283" w:lineRule="exact"/>
              <w:rPr>
                <w:sz w:val="20"/>
                <w:szCs w:val="20"/>
                <w:color w:val="auto"/>
              </w:rPr>
            </w:pPr>
            <w:r>
              <w:rPr>
                <w:rFonts w:ascii="Arial" w:cs="Arial" w:eastAsia="Arial" w:hAnsi="Arial"/>
                <w:sz w:val="32"/>
                <w:szCs w:val="32"/>
                <w:color w:val="auto"/>
                <w:vertAlign w:val="subscript"/>
              </w:rPr>
              <w:t>LLC</w:t>
            </w:r>
            <w:r>
              <w:rPr>
                <w:rFonts w:ascii="Arial" w:cs="Arial" w:eastAsia="Arial" w:hAnsi="Arial"/>
                <w:sz w:val="13"/>
                <w:szCs w:val="13"/>
                <w:color w:val="auto"/>
              </w:rPr>
              <w:t>(46)</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4,391,666</w:t>
            </w:r>
          </w:p>
        </w:tc>
        <w:tc>
          <w:tcPr>
            <w:tcW w:w="40" w:type="dxa"/>
            <w:vAlign w:val="bottom"/>
          </w:tcPr>
          <w:p>
            <w:pPr>
              <w:spacing w:after="0"/>
              <w:rPr>
                <w:sz w:val="24"/>
                <w:szCs w:val="2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3,424,693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MMF LT, LLC</w:t>
            </w:r>
            <w:r>
              <w:rPr>
                <w:rFonts w:ascii="Arial" w:cs="Arial" w:eastAsia="Arial" w:hAnsi="Arial"/>
                <w:sz w:val="26"/>
                <w:szCs w:val="26"/>
                <w:color w:val="auto"/>
                <w:vertAlign w:val="superscript"/>
              </w:rPr>
              <w:t>(47)</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MSD Funds</w:t>
            </w:r>
            <w:r>
              <w:rPr>
                <w:rFonts w:ascii="Arial" w:cs="Arial" w:eastAsia="Arial" w:hAnsi="Arial"/>
                <w:sz w:val="26"/>
                <w:szCs w:val="26"/>
                <w:color w:val="auto"/>
                <w:vertAlign w:val="superscript"/>
              </w:rPr>
              <w:t>(48)</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1,000,000</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1,000,000</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Naya Investor Holdings Limited</w:t>
            </w:r>
            <w:r>
              <w:rPr>
                <w:rFonts w:ascii="Arial" w:cs="Arial" w:eastAsia="Arial" w:hAnsi="Arial"/>
                <w:sz w:val="26"/>
                <w:szCs w:val="26"/>
                <w:color w:val="auto"/>
                <w:vertAlign w:val="superscript"/>
              </w:rPr>
              <w:t>(49)</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333,333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Neuberger Berman Funds</w:t>
            </w:r>
            <w:r>
              <w:rPr>
                <w:rFonts w:ascii="Arial" w:cs="Arial" w:eastAsia="Arial" w:hAnsi="Arial"/>
                <w:sz w:val="26"/>
                <w:szCs w:val="26"/>
                <w:color w:val="auto"/>
                <w:vertAlign w:val="superscript"/>
              </w:rPr>
              <w:t>(50)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5,666,667</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5,666,667</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NR CM Limited</w:t>
            </w:r>
            <w:r>
              <w:rPr>
                <w:rFonts w:ascii="Arial" w:cs="Arial" w:eastAsia="Arial" w:hAnsi="Arial"/>
                <w:sz w:val="26"/>
                <w:szCs w:val="26"/>
                <w:color w:val="auto"/>
                <w:vertAlign w:val="superscript"/>
              </w:rPr>
              <w:t>(51)</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666,667</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666,667</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Oaktree Value Equity Holdings, L.P.</w:t>
            </w:r>
            <w:r>
              <w:rPr>
                <w:rFonts w:ascii="Arial" w:cs="Arial" w:eastAsia="Arial" w:hAnsi="Arial"/>
                <w:sz w:val="26"/>
                <w:szCs w:val="26"/>
                <w:color w:val="auto"/>
                <w:vertAlign w:val="superscript"/>
              </w:rPr>
              <w:t>(52)</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666,667</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666,667</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PEAK6 Capital Management LLC</w:t>
            </w:r>
            <w:r>
              <w:rPr>
                <w:rFonts w:ascii="Arial" w:cs="Arial" w:eastAsia="Arial" w:hAnsi="Arial"/>
                <w:sz w:val="26"/>
                <w:szCs w:val="26"/>
                <w:color w:val="auto"/>
                <w:vertAlign w:val="superscript"/>
              </w:rPr>
              <w:t>(53)</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PIMCO Funds</w:t>
            </w:r>
            <w:r>
              <w:rPr>
                <w:rFonts w:ascii="Arial" w:cs="Arial" w:eastAsia="Arial" w:hAnsi="Arial"/>
                <w:sz w:val="26"/>
                <w:szCs w:val="26"/>
                <w:color w:val="auto"/>
                <w:vertAlign w:val="superscript"/>
              </w:rPr>
              <w:t>(54)</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4,000,000</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4,000,000</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SB Northstar LP</w:t>
            </w:r>
            <w:r>
              <w:rPr>
                <w:rFonts w:ascii="Arial" w:cs="Arial" w:eastAsia="Arial" w:hAnsi="Arial"/>
                <w:sz w:val="26"/>
                <w:szCs w:val="26"/>
                <w:color w:val="auto"/>
                <w:vertAlign w:val="superscript"/>
              </w:rPr>
              <w:t>(55)</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3,333,333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3,333,333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Schonfeld Strategic 460 Fund LLC</w:t>
            </w:r>
            <w:r>
              <w:rPr>
                <w:rFonts w:ascii="Arial" w:cs="Arial" w:eastAsia="Arial" w:hAnsi="Arial"/>
                <w:sz w:val="26"/>
                <w:szCs w:val="26"/>
                <w:color w:val="auto"/>
                <w:vertAlign w:val="superscript"/>
              </w:rPr>
              <w:t>(56)</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2,333,332</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2,333,332</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Sculptor Capital Funds</w:t>
            </w:r>
            <w:r>
              <w:rPr>
                <w:rFonts w:ascii="Arial" w:cs="Arial" w:eastAsia="Arial" w:hAnsi="Arial"/>
                <w:sz w:val="26"/>
                <w:szCs w:val="26"/>
                <w:color w:val="auto"/>
                <w:vertAlign w:val="superscript"/>
              </w:rPr>
              <w:t>(57)</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1,666,667</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1,666,667</w:t>
            </w:r>
          </w:p>
        </w:tc>
      </w:tr>
      <w:tr>
        <w:trPr>
          <w:trHeight w:val="293"/>
        </w:trPr>
        <w:tc>
          <w:tcPr>
            <w:tcW w:w="3840" w:type="dxa"/>
            <w:vAlign w:val="bottom"/>
            <w:gridSpan w:val="3"/>
          </w:tcPr>
          <w:p>
            <w:pPr>
              <w:spacing w:after="0" w:line="293" w:lineRule="exact"/>
              <w:rPr>
                <w:sz w:val="20"/>
                <w:szCs w:val="20"/>
                <w:color w:val="auto"/>
              </w:rPr>
            </w:pPr>
            <w:r>
              <w:rPr>
                <w:rFonts w:ascii="Arial" w:cs="Arial" w:eastAsia="Arial" w:hAnsi="Arial"/>
                <w:sz w:val="18"/>
                <w:szCs w:val="18"/>
                <w:color w:val="auto"/>
              </w:rPr>
              <w:t>Soroban Opportunities Master Fund LP</w:t>
            </w:r>
            <w:r>
              <w:rPr>
                <w:rFonts w:ascii="Arial" w:cs="Arial" w:eastAsia="Arial" w:hAnsi="Arial"/>
                <w:sz w:val="26"/>
                <w:szCs w:val="26"/>
                <w:color w:val="auto"/>
                <w:vertAlign w:val="superscript"/>
              </w:rPr>
              <w:t>(58)</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4"/>
                <w:szCs w:val="2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w:t>
            </w:r>
          </w:p>
        </w:tc>
      </w:tr>
      <w:tr>
        <w:trPr>
          <w:trHeight w:val="179"/>
        </w:trPr>
        <w:tc>
          <w:tcPr>
            <w:tcW w:w="3840" w:type="dxa"/>
            <w:vAlign w:val="bottom"/>
            <w:gridSpan w:val="3"/>
          </w:tcPr>
          <w:p>
            <w:pPr>
              <w:spacing w:after="0" w:line="179" w:lineRule="exact"/>
              <w:rPr>
                <w:sz w:val="20"/>
                <w:szCs w:val="20"/>
                <w:color w:val="auto"/>
              </w:rPr>
            </w:pPr>
            <w:r>
              <w:rPr>
                <w:rFonts w:ascii="Arial" w:cs="Arial" w:eastAsia="Arial" w:hAnsi="Arial"/>
                <w:sz w:val="18"/>
                <w:szCs w:val="18"/>
                <w:color w:val="auto"/>
              </w:rPr>
              <w:t>Entities Affiliated with Soros Fund Management</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84"/>
        </w:trPr>
        <w:tc>
          <w:tcPr>
            <w:tcW w:w="3840" w:type="dxa"/>
            <w:vAlign w:val="bottom"/>
            <w:gridSpan w:val="3"/>
          </w:tcPr>
          <w:p>
            <w:pPr>
              <w:ind w:left="180"/>
              <w:spacing w:after="0" w:line="283" w:lineRule="exact"/>
              <w:rPr>
                <w:sz w:val="20"/>
                <w:szCs w:val="20"/>
                <w:color w:val="auto"/>
              </w:rPr>
            </w:pPr>
            <w:r>
              <w:rPr>
                <w:rFonts w:ascii="Arial" w:cs="Arial" w:eastAsia="Arial" w:hAnsi="Arial"/>
                <w:sz w:val="32"/>
                <w:szCs w:val="32"/>
                <w:color w:val="auto"/>
                <w:vertAlign w:val="subscript"/>
              </w:rPr>
              <w:t>LLC</w:t>
            </w:r>
            <w:r>
              <w:rPr>
                <w:rFonts w:ascii="Arial" w:cs="Arial" w:eastAsia="Arial" w:hAnsi="Arial"/>
                <w:sz w:val="13"/>
                <w:szCs w:val="13"/>
                <w:color w:val="auto"/>
              </w:rPr>
              <w:t>(59)</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1,666,667</w:t>
            </w:r>
          </w:p>
        </w:tc>
        <w:tc>
          <w:tcPr>
            <w:tcW w:w="40" w:type="dxa"/>
            <w:vAlign w:val="bottom"/>
          </w:tcPr>
          <w:p>
            <w:pPr>
              <w:spacing w:after="0"/>
              <w:rPr>
                <w:sz w:val="24"/>
                <w:szCs w:val="2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1,666,667</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Suvretta Capital Funds</w:t>
            </w:r>
            <w:r>
              <w:rPr>
                <w:rFonts w:ascii="Arial" w:cs="Arial" w:eastAsia="Arial" w:hAnsi="Arial"/>
                <w:sz w:val="26"/>
                <w:szCs w:val="26"/>
                <w:color w:val="auto"/>
                <w:vertAlign w:val="superscript"/>
              </w:rPr>
              <w:t>(60)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w:t>
            </w:r>
          </w:p>
        </w:tc>
      </w:tr>
      <w:tr>
        <w:trPr>
          <w:trHeight w:val="293"/>
        </w:trPr>
        <w:tc>
          <w:tcPr>
            <w:tcW w:w="3840" w:type="dxa"/>
            <w:vAlign w:val="bottom"/>
            <w:gridSpan w:val="3"/>
          </w:tcPr>
          <w:p>
            <w:pPr>
              <w:spacing w:after="0" w:line="293" w:lineRule="exact"/>
              <w:rPr>
                <w:sz w:val="20"/>
                <w:szCs w:val="20"/>
                <w:color w:val="auto"/>
              </w:rPr>
            </w:pPr>
            <w:r>
              <w:rPr>
                <w:rFonts w:ascii="Arial" w:cs="Arial" w:eastAsia="Arial" w:hAnsi="Arial"/>
                <w:sz w:val="18"/>
                <w:szCs w:val="18"/>
                <w:color w:val="auto"/>
              </w:rPr>
              <w:t>Tech Opportunities LLC</w:t>
            </w:r>
            <w:r>
              <w:rPr>
                <w:rFonts w:ascii="Arial" w:cs="Arial" w:eastAsia="Arial" w:hAnsi="Arial"/>
                <w:sz w:val="26"/>
                <w:szCs w:val="26"/>
                <w:color w:val="auto"/>
                <w:vertAlign w:val="superscript"/>
              </w:rPr>
              <w:t>(61)</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4"/>
                <w:szCs w:val="2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w:t>
            </w:r>
          </w:p>
        </w:tc>
      </w:tr>
      <w:tr>
        <w:trPr>
          <w:trHeight w:val="179"/>
        </w:trPr>
        <w:tc>
          <w:tcPr>
            <w:tcW w:w="3840" w:type="dxa"/>
            <w:vAlign w:val="bottom"/>
            <w:gridSpan w:val="3"/>
          </w:tcPr>
          <w:p>
            <w:pPr>
              <w:spacing w:after="0" w:line="179" w:lineRule="exact"/>
              <w:rPr>
                <w:sz w:val="20"/>
                <w:szCs w:val="20"/>
                <w:color w:val="auto"/>
              </w:rPr>
            </w:pPr>
            <w:r>
              <w:rPr>
                <w:rFonts w:ascii="Arial" w:cs="Arial" w:eastAsia="Arial" w:hAnsi="Arial"/>
                <w:sz w:val="18"/>
                <w:szCs w:val="18"/>
                <w:color w:val="auto"/>
              </w:rPr>
              <w:t>Entities managed by TOMS Capital Investment</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83"/>
        </w:trPr>
        <w:tc>
          <w:tcPr>
            <w:tcW w:w="3840" w:type="dxa"/>
            <w:vAlign w:val="bottom"/>
            <w:gridSpan w:val="3"/>
          </w:tcPr>
          <w:p>
            <w:pPr>
              <w:ind w:left="180"/>
              <w:spacing w:after="0" w:line="283" w:lineRule="exact"/>
              <w:rPr>
                <w:sz w:val="20"/>
                <w:szCs w:val="20"/>
                <w:color w:val="auto"/>
              </w:rPr>
            </w:pPr>
            <w:r>
              <w:rPr>
                <w:rFonts w:ascii="Arial" w:cs="Arial" w:eastAsia="Arial" w:hAnsi="Arial"/>
                <w:sz w:val="18"/>
                <w:szCs w:val="18"/>
                <w:color w:val="auto"/>
              </w:rPr>
              <w:t>Management L.P.</w:t>
            </w:r>
            <w:r>
              <w:rPr>
                <w:rFonts w:ascii="Arial" w:cs="Arial" w:eastAsia="Arial" w:hAnsi="Arial"/>
                <w:sz w:val="26"/>
                <w:szCs w:val="26"/>
                <w:color w:val="auto"/>
                <w:vertAlign w:val="superscript"/>
              </w:rPr>
              <w:t>(62)</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1,000,000</w:t>
            </w:r>
          </w:p>
        </w:tc>
        <w:tc>
          <w:tcPr>
            <w:tcW w:w="40" w:type="dxa"/>
            <w:vAlign w:val="bottom"/>
          </w:tcPr>
          <w:p>
            <w:pPr>
              <w:spacing w:after="0"/>
              <w:rPr>
                <w:sz w:val="24"/>
                <w:szCs w:val="2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1,000,000</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UBS O’Connor Funds</w:t>
            </w:r>
            <w:r>
              <w:rPr>
                <w:rFonts w:ascii="Arial" w:cs="Arial" w:eastAsia="Arial" w:hAnsi="Arial"/>
                <w:sz w:val="26"/>
                <w:szCs w:val="26"/>
                <w:color w:val="auto"/>
                <w:vertAlign w:val="superscript"/>
              </w:rPr>
              <w:t>(63)</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333,333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WCH Fund I, LP</w:t>
            </w:r>
            <w:r>
              <w:rPr>
                <w:rFonts w:ascii="Arial" w:cs="Arial" w:eastAsia="Arial" w:hAnsi="Arial"/>
                <w:sz w:val="26"/>
                <w:szCs w:val="26"/>
                <w:color w:val="auto"/>
                <w:vertAlign w:val="superscript"/>
              </w:rPr>
              <w:t>(64)</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1,000,000</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1,000,000</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Weiss Funds</w:t>
            </w:r>
            <w:r>
              <w:rPr>
                <w:rFonts w:ascii="Arial" w:cs="Arial" w:eastAsia="Arial" w:hAnsi="Arial"/>
                <w:sz w:val="26"/>
                <w:szCs w:val="26"/>
                <w:color w:val="auto"/>
                <w:vertAlign w:val="superscript"/>
              </w:rPr>
              <w:t>(65)</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Wellington Capital Funds</w:t>
            </w:r>
            <w:r>
              <w:rPr>
                <w:rFonts w:ascii="Arial" w:cs="Arial" w:eastAsia="Arial" w:hAnsi="Arial"/>
                <w:sz w:val="26"/>
                <w:szCs w:val="26"/>
                <w:color w:val="auto"/>
                <w:vertAlign w:val="superscript"/>
              </w:rPr>
              <w:t>(66)</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5,666,667</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5,666,667</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Winslow Capital Funds</w:t>
            </w:r>
            <w:r>
              <w:rPr>
                <w:rFonts w:ascii="Arial" w:cs="Arial" w:eastAsia="Arial" w:hAnsi="Arial"/>
                <w:sz w:val="26"/>
                <w:szCs w:val="26"/>
                <w:color w:val="auto"/>
                <w:vertAlign w:val="superscript"/>
              </w:rPr>
              <w:t>(67)</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13,333,334</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13,333,334</w:t>
            </w:r>
          </w:p>
        </w:tc>
      </w:tr>
      <w:tr>
        <w:trPr>
          <w:trHeight w:val="270"/>
        </w:trPr>
        <w:tc>
          <w:tcPr>
            <w:tcW w:w="3840" w:type="dxa"/>
            <w:vAlign w:val="bottom"/>
            <w:gridSpan w:val="3"/>
          </w:tcPr>
          <w:p>
            <w:pPr>
              <w:spacing w:after="0" w:line="270" w:lineRule="exact"/>
              <w:rPr>
                <w:sz w:val="20"/>
                <w:szCs w:val="20"/>
                <w:color w:val="auto"/>
              </w:rPr>
            </w:pPr>
            <w:r>
              <w:rPr>
                <w:rFonts w:ascii="Arial" w:cs="Arial" w:eastAsia="Arial" w:hAnsi="Arial"/>
                <w:sz w:val="18"/>
                <w:szCs w:val="18"/>
                <w:color w:val="auto"/>
              </w:rPr>
              <w:t>Whale Rock Funds</w:t>
            </w:r>
            <w:r>
              <w:rPr>
                <w:rFonts w:ascii="Arial" w:cs="Arial" w:eastAsia="Arial" w:hAnsi="Arial"/>
                <w:sz w:val="26"/>
                <w:szCs w:val="26"/>
                <w:color w:val="auto"/>
                <w:vertAlign w:val="superscript"/>
              </w:rPr>
              <w:t>(68)</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w:t>
            </w:r>
          </w:p>
        </w:tc>
      </w:tr>
      <w:tr>
        <w:trPr>
          <w:trHeight w:val="353"/>
        </w:trPr>
        <w:tc>
          <w:tcPr>
            <w:tcW w:w="3840" w:type="dxa"/>
            <w:vAlign w:val="bottom"/>
            <w:gridSpan w:val="3"/>
          </w:tcPr>
          <w:p>
            <w:pPr>
              <w:spacing w:after="0"/>
              <w:rPr>
                <w:sz w:val="20"/>
                <w:szCs w:val="20"/>
                <w:color w:val="auto"/>
              </w:rPr>
            </w:pPr>
            <w:r>
              <w:rPr>
                <w:rFonts w:ascii="Arial" w:cs="Arial" w:eastAsia="Arial" w:hAnsi="Arial"/>
                <w:sz w:val="18"/>
                <w:szCs w:val="18"/>
                <w:color w:val="auto"/>
              </w:rPr>
              <w:t>ZP Master Utility Fund, Ltd.</w:t>
            </w:r>
            <w:r>
              <w:rPr>
                <w:rFonts w:ascii="Arial" w:cs="Arial" w:eastAsia="Arial" w:hAnsi="Arial"/>
                <w:sz w:val="26"/>
                <w:szCs w:val="26"/>
                <w:color w:val="auto"/>
                <w:vertAlign w:val="superscript"/>
              </w:rPr>
              <w:t>(69)</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1,333,333</w:t>
            </w:r>
          </w:p>
        </w:tc>
        <w:tc>
          <w:tcPr>
            <w:tcW w:w="40" w:type="dxa"/>
            <w:vAlign w:val="bottom"/>
          </w:tcPr>
          <w:p>
            <w:pPr>
              <w:spacing w:after="0"/>
              <w:rPr>
                <w:sz w:val="24"/>
                <w:szCs w:val="2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1,333,333</w:t>
            </w:r>
          </w:p>
        </w:tc>
      </w:tr>
      <w:tr>
        <w:trPr>
          <w:trHeight w:val="540"/>
        </w:trPr>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Private</w:t>
            </w:r>
          </w:p>
        </w:tc>
        <w:tc>
          <w:tcPr>
            <w:tcW w:w="16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Number of</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Placement</w:t>
            </w:r>
          </w:p>
        </w:tc>
        <w:tc>
          <w:tcPr>
            <w:tcW w:w="16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Private</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Warrants /</w:t>
            </w:r>
          </w:p>
        </w:tc>
        <w:tc>
          <w:tcPr>
            <w:tcW w:w="16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Placement</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Working Capital</w:t>
            </w:r>
          </w:p>
        </w:tc>
        <w:tc>
          <w:tcPr>
            <w:tcW w:w="16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Warrants /</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Warrants</w:t>
            </w:r>
          </w:p>
        </w:tc>
        <w:tc>
          <w:tcPr>
            <w:tcW w:w="16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Working Capital</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Beneficially Owned Prior to</w:t>
            </w:r>
          </w:p>
        </w:tc>
        <w:tc>
          <w:tcPr>
            <w:tcW w:w="16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Warrants Being</w:t>
            </w:r>
          </w:p>
        </w:tc>
      </w:tr>
      <w:tr>
        <w:trPr>
          <w:trHeight w:val="186"/>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Name of Selling Securityholder</w:t>
            </w:r>
          </w:p>
        </w:tc>
        <w:tc>
          <w:tcPr>
            <w:tcW w:w="200" w:type="dxa"/>
            <w:vAlign w:val="bottom"/>
          </w:tcPr>
          <w:p>
            <w:pPr>
              <w:spacing w:after="0"/>
              <w:rPr>
                <w:sz w:val="16"/>
                <w:szCs w:val="16"/>
                <w:color w:val="auto"/>
              </w:rPr>
            </w:pPr>
          </w:p>
        </w:tc>
        <w:tc>
          <w:tcPr>
            <w:tcW w:w="12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Offered</w:t>
            </w:r>
          </w:p>
        </w:tc>
      </w:tr>
      <w:tr>
        <w:trPr>
          <w:trHeight w:val="25"/>
        </w:trPr>
        <w:tc>
          <w:tcPr>
            <w:tcW w:w="3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r>
      <w:tr>
        <w:trPr>
          <w:trHeight w:val="346"/>
        </w:trPr>
        <w:tc>
          <w:tcPr>
            <w:tcW w:w="3320" w:type="dxa"/>
            <w:vAlign w:val="bottom"/>
          </w:tcPr>
          <w:p>
            <w:pPr>
              <w:spacing w:after="0"/>
              <w:rPr>
                <w:sz w:val="20"/>
                <w:szCs w:val="20"/>
                <w:color w:val="auto"/>
              </w:rPr>
            </w:pPr>
            <w:r>
              <w:rPr>
                <w:rFonts w:ascii="Arial" w:cs="Arial" w:eastAsia="Arial" w:hAnsi="Arial"/>
                <w:sz w:val="18"/>
                <w:szCs w:val="18"/>
                <w:color w:val="auto"/>
              </w:rPr>
              <w:t>Churchill Sponsor IV LLC</w:t>
            </w:r>
            <w:r>
              <w:rPr>
                <w:rFonts w:ascii="Arial" w:cs="Arial" w:eastAsia="Arial" w:hAnsi="Arial"/>
                <w:sz w:val="26"/>
                <w:szCs w:val="26"/>
                <w:color w:val="auto"/>
                <w:vertAlign w:val="superscript"/>
              </w:rPr>
              <w:t>(11)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center"/>
              <w:ind w:right="68"/>
              <w:spacing w:after="0"/>
              <w:rPr>
                <w:sz w:val="20"/>
                <w:szCs w:val="20"/>
                <w:color w:val="auto"/>
              </w:rPr>
            </w:pPr>
            <w:r>
              <w:rPr>
                <w:rFonts w:ascii="Arial" w:cs="Arial" w:eastAsia="Arial" w:hAnsi="Arial"/>
                <w:sz w:val="18"/>
                <w:szCs w:val="18"/>
                <w:color w:val="auto"/>
                <w:w w:val="90"/>
              </w:rPr>
              <w:t>44,350,000</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44,350,000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-6584315</wp:posOffset>
            </wp:positionV>
            <wp:extent cx="5212080" cy="1714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-6241415</wp:posOffset>
            </wp:positionV>
            <wp:extent cx="5212080" cy="1714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-5898515</wp:posOffset>
            </wp:positionV>
            <wp:extent cx="5212080" cy="3086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-5418455</wp:posOffset>
            </wp:positionV>
            <wp:extent cx="5212080" cy="1714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-5075555</wp:posOffset>
            </wp:positionV>
            <wp:extent cx="5212080" cy="1714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-4732655</wp:posOffset>
            </wp:positionV>
            <wp:extent cx="5212080" cy="1714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-4389755</wp:posOffset>
            </wp:positionV>
            <wp:extent cx="5212080" cy="1714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-4046855</wp:posOffset>
            </wp:positionV>
            <wp:extent cx="5212080" cy="1714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-3703955</wp:posOffset>
            </wp:positionV>
            <wp:extent cx="5212080" cy="1714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-3223895</wp:posOffset>
            </wp:positionV>
            <wp:extent cx="5212080" cy="1714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-2880995</wp:posOffset>
            </wp:positionV>
            <wp:extent cx="5212080" cy="3086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-2400935</wp:posOffset>
            </wp:positionV>
            <wp:extent cx="5212080" cy="1714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-2058035</wp:posOffset>
            </wp:positionV>
            <wp:extent cx="5212080" cy="1714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-1715135</wp:posOffset>
            </wp:positionV>
            <wp:extent cx="5212080" cy="1714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-6935470</wp:posOffset>
            </wp:positionV>
            <wp:extent cx="5212080" cy="1797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-231775</wp:posOffset>
            </wp:positionV>
            <wp:extent cx="5212080" cy="1885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60" w:right="439"/>
        <w:spacing w:after="0" w:line="309" w:lineRule="auto"/>
        <w:rPr>
          <w:sz w:val="20"/>
          <w:szCs w:val="20"/>
          <w:color w:val="auto"/>
        </w:rPr>
      </w:pPr>
      <w:r>
        <w:rPr>
          <w:rFonts w:ascii="Arial" w:cs="Arial" w:eastAsia="Arial" w:hAnsi="Arial"/>
          <w:sz w:val="12"/>
          <w:szCs w:val="12"/>
          <w:b w:val="1"/>
          <w:bCs w:val="1"/>
          <w:color w:val="auto"/>
        </w:rPr>
        <w:t>Shares of Class A common stock Beneficially Owned After the Offered Shares of Common Stock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1055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26"/>
        </w:trPr>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3"/>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900" w:type="dxa"/>
            <w:vAlign w:val="bottom"/>
          </w:tcPr>
          <w:p>
            <w:pPr>
              <w:jc w:val="right"/>
              <w:spacing w:after="0"/>
              <w:rPr>
                <w:sz w:val="20"/>
                <w:szCs w:val="20"/>
                <w:color w:val="auto"/>
              </w:rPr>
            </w:pPr>
            <w:r>
              <w:rPr>
                <w:rFonts w:ascii="Arial" w:cs="Arial" w:eastAsia="Arial" w:hAnsi="Arial"/>
                <w:sz w:val="18"/>
                <w:szCs w:val="18"/>
                <w:color w:val="auto"/>
              </w:rPr>
              <w:t>3,515,598</w:t>
            </w:r>
          </w:p>
        </w:tc>
        <w:tc>
          <w:tcPr>
            <w:tcW w:w="220" w:type="dxa"/>
            <w:vAlign w:val="bottom"/>
          </w:tcPr>
          <w:p>
            <w:pPr>
              <w:spacing w:after="0"/>
              <w:rPr>
                <w:sz w:val="23"/>
                <w:szCs w:val="23"/>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73"/>
        </w:trPr>
        <w:tc>
          <w:tcPr>
            <w:tcW w:w="900" w:type="dxa"/>
            <w:vAlign w:val="bottom"/>
          </w:tcPr>
          <w:p>
            <w:pPr>
              <w:jc w:val="right"/>
              <w:spacing w:after="0"/>
              <w:rPr>
                <w:sz w:val="20"/>
                <w:szCs w:val="20"/>
                <w:color w:val="auto"/>
              </w:rPr>
            </w:pPr>
            <w:r>
              <w:rPr>
                <w:rFonts w:ascii="Arial" w:cs="Arial" w:eastAsia="Arial" w:hAnsi="Arial"/>
                <w:sz w:val="18"/>
                <w:szCs w:val="18"/>
                <w:color w:val="auto"/>
              </w:rPr>
              <w:t>966,973</w:t>
            </w:r>
          </w:p>
        </w:tc>
        <w:tc>
          <w:tcPr>
            <w:tcW w:w="220" w:type="dxa"/>
            <w:vAlign w:val="bottom"/>
          </w:tcPr>
          <w:p>
            <w:pPr>
              <w:spacing w:after="0"/>
              <w:rPr>
                <w:sz w:val="24"/>
                <w:szCs w:val="24"/>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83"/>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73"/>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84"/>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73"/>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84"/>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7" w:lineRule="exact"/>
        <w:rPr>
          <w:sz w:val="20"/>
          <w:szCs w:val="20"/>
          <w:color w:val="auto"/>
        </w:rPr>
      </w:pPr>
    </w:p>
    <w:p>
      <w:pPr>
        <w:jc w:val="center"/>
        <w:ind w:left="-179" w:right="40"/>
        <w:spacing w:after="0" w:line="286" w:lineRule="auto"/>
        <w:rPr>
          <w:sz w:val="20"/>
          <w:szCs w:val="20"/>
          <w:color w:val="auto"/>
        </w:rPr>
      </w:pPr>
      <w:r>
        <w:rPr>
          <w:rFonts w:ascii="Arial" w:cs="Arial" w:eastAsia="Arial" w:hAnsi="Arial"/>
          <w:sz w:val="12"/>
          <w:szCs w:val="12"/>
          <w:b w:val="1"/>
          <w:bCs w:val="1"/>
          <w:color w:val="auto"/>
        </w:rPr>
        <w:t>Private Placement Warrants / Working Capital Warrants Beneficially Owned After the Offered Private Placement Warrants /</w:t>
      </w:r>
    </w:p>
    <w:p>
      <w:pPr>
        <w:spacing w:after="0" w:line="1" w:lineRule="exact"/>
        <w:rPr>
          <w:sz w:val="20"/>
          <w:szCs w:val="20"/>
          <w:color w:val="auto"/>
        </w:rPr>
      </w:pPr>
    </w:p>
    <w:p>
      <w:pPr>
        <w:ind w:left="440" w:right="639" w:firstLine="29"/>
        <w:spacing w:after="0" w:line="337" w:lineRule="auto"/>
        <w:rPr>
          <w:sz w:val="20"/>
          <w:szCs w:val="20"/>
          <w:color w:val="auto"/>
        </w:rPr>
      </w:pPr>
      <w:r>
        <w:rPr>
          <w:rFonts w:ascii="Arial" w:cs="Arial" w:eastAsia="Arial" w:hAnsi="Arial"/>
          <w:sz w:val="12"/>
          <w:szCs w:val="12"/>
          <w:b w:val="1"/>
          <w:bCs w:val="1"/>
          <w:color w:val="auto"/>
        </w:rPr>
        <w:t>Working Capital Warrants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-18415</wp:posOffset>
            </wp:positionV>
            <wp:extent cx="97726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ind w:left="300"/>
        <w:spacing w:after="0"/>
        <w:tabs>
          <w:tab w:leader="none" w:pos="11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Percent</w:t>
      </w:r>
    </w:p>
    <w:p>
      <w:pPr>
        <w:spacing w:after="0" w:line="104"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06" w:lineRule="exact"/>
        <w:rPr>
          <w:sz w:val="20"/>
          <w:szCs w:val="20"/>
          <w:color w:val="auto"/>
        </w:rPr>
      </w:pPr>
    </w:p>
    <w:p>
      <w:pPr>
        <w:sectPr>
          <w:pgSz w:w="11900" w:h="16838" w:orient="portrait"/>
          <w:cols w:equalWidth="0" w:num="2">
            <w:col w:w="7720" w:space="0"/>
            <w:col w:w="2159"/>
          </w:cols>
          <w:pgMar w:left="580" w:top="131" w:right="1440" w:bottom="1440" w:gutter="0" w:footer="0" w:header="0"/>
        </w:sectPr>
      </w:pPr>
    </w:p>
    <w:p>
      <w:pPr>
        <w:spacing w:after="0" w:line="10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7" w:name="page148"/>
    <w:bookmarkEnd w:id="1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528320</wp:posOffset>
            </wp:positionV>
            <wp:extent cx="123444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20" w:right="539" w:hanging="360"/>
        <w:spacing w:after="0" w:line="275" w:lineRule="auto"/>
        <w:tabs>
          <w:tab w:leader="none" w:pos="1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Mr. Rawlinson has served as our Chief Executive Officer and Chief Technology Officer and director since April 2019. Shares offered hereby include (i) 537,919 currently issued and outstanding shares of Class A common stock; (ii) 12,589,171 shares of Class A common stock issuable upon exercise of currently outstanding and exercisable Lucid Group Options; and (iii) 29,859,159 shares of Class A common stock subject to currently outstanding Lucid Group RSUs vesting after September 21, 2021.</w:t>
      </w:r>
    </w:p>
    <w:p>
      <w:pPr>
        <w:spacing w:after="0" w:line="27" w:lineRule="exact"/>
        <w:rPr>
          <w:rFonts w:ascii="Arial" w:cs="Arial" w:eastAsia="Arial" w:hAnsi="Arial"/>
          <w:sz w:val="17"/>
          <w:szCs w:val="17"/>
          <w:color w:val="auto"/>
        </w:rPr>
      </w:pPr>
    </w:p>
    <w:p>
      <w:pPr>
        <w:ind w:left="1620" w:right="439" w:hanging="360"/>
        <w:spacing w:after="0" w:line="296" w:lineRule="auto"/>
        <w:tabs>
          <w:tab w:leader="none" w:pos="16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Ms. House has served as our Chief Financial Officer since May 2021. Shares offered hereby include 661,000 shares of Class A common stock subject to currently outstanding Lucid Group RSUs vesting after September 21, 2021. Upon vesting of such RSUs, the shares will be held by The House Revocable Trust, dated March 20, 2021, with Christopher A. House and/or Sherry A. House serving as Trustees. Christopher A. House and Sherry A. House are the beneficial owners of The House Revocable Trust.</w:t>
      </w:r>
    </w:p>
    <w:p>
      <w:pPr>
        <w:spacing w:after="0" w:line="12" w:lineRule="exact"/>
        <w:rPr>
          <w:rFonts w:ascii="Arial" w:cs="Arial" w:eastAsia="Arial" w:hAnsi="Arial"/>
          <w:sz w:val="16"/>
          <w:szCs w:val="16"/>
          <w:color w:val="auto"/>
        </w:rPr>
      </w:pPr>
    </w:p>
    <w:p>
      <w:pPr>
        <w:ind w:left="1620" w:right="479" w:hanging="360"/>
        <w:spacing w:after="0" w:line="269" w:lineRule="auto"/>
        <w:tabs>
          <w:tab w:leader="none" w:pos="1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Mr. Bach has served as our Senior Vice President, Product and Chief Engineer since February 2021. Mr. Bach previously served as our Vice President, Hardware Engineering from September 2018 to February 2021 and as Senior Director, Body Engineering from April 2015 to August 2018. Shares offered hereby include (i) 1,173,177 currently issued and outstanding shares of Class A common stock;</w:t>
      </w:r>
    </w:p>
    <w:p>
      <w:pPr>
        <w:spacing w:after="0" w:line="1" w:lineRule="exact"/>
        <w:rPr>
          <w:rFonts w:ascii="Arial" w:cs="Arial" w:eastAsia="Arial" w:hAnsi="Arial"/>
          <w:sz w:val="17"/>
          <w:szCs w:val="17"/>
          <w:color w:val="auto"/>
        </w:rPr>
      </w:pPr>
    </w:p>
    <w:p>
      <w:pPr>
        <w:ind w:left="1620" w:right="799"/>
        <w:spacing w:after="0" w:line="253" w:lineRule="auto"/>
        <w:tabs>
          <w:tab w:leader="none" w:pos="1903" w:val="left"/>
        </w:tabs>
        <w:numPr>
          <w:ilvl w:val="1"/>
          <w:numId w:val="88"/>
        </w:numPr>
        <w:rPr>
          <w:rFonts w:ascii="Arial" w:cs="Arial" w:eastAsia="Arial" w:hAnsi="Arial"/>
          <w:sz w:val="18"/>
          <w:szCs w:val="18"/>
          <w:color w:val="auto"/>
        </w:rPr>
      </w:pPr>
      <w:r>
        <w:rPr>
          <w:rFonts w:ascii="Arial" w:cs="Arial" w:eastAsia="Arial" w:hAnsi="Arial"/>
          <w:sz w:val="18"/>
          <w:szCs w:val="18"/>
          <w:color w:val="auto"/>
        </w:rPr>
        <w:t>1,496,630 shares of Class A common stock issuable upon exercise of currently outstanding and exercisable Lucid Group Options; and (iii) 1,894,868 shares of Class A common stock subject to currently outstanding Lucid Group Awards vesting or becoming exercisable, as applicable, after September 21, 2021.</w:t>
      </w:r>
    </w:p>
    <w:p>
      <w:pPr>
        <w:spacing w:after="0" w:line="44" w:lineRule="exact"/>
        <w:rPr>
          <w:rFonts w:ascii="Arial" w:cs="Arial" w:eastAsia="Arial" w:hAnsi="Arial"/>
          <w:sz w:val="18"/>
          <w:szCs w:val="18"/>
          <w:color w:val="auto"/>
        </w:rPr>
      </w:pPr>
    </w:p>
    <w:p>
      <w:pPr>
        <w:ind w:left="1620" w:right="579" w:hanging="360"/>
        <w:spacing w:after="0" w:line="279" w:lineRule="auto"/>
        <w:tabs>
          <w:tab w:leader="none" w:pos="1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Mr. Bell has served as our Senior Vice President, Digital since February 2021, and served as our consultant from August 2020 to February 2021. Shares offered hereby include (i) 100,364 currently issued and outstanding shares of Class A common stock and (ii) 1,322,000 shares of Class A common stock subject to currently outstanding Lucid Group RSUs vesting after September 21, 2021.</w:t>
      </w:r>
    </w:p>
    <w:p>
      <w:pPr>
        <w:spacing w:after="0" w:line="22" w:lineRule="exact"/>
        <w:rPr>
          <w:rFonts w:ascii="Arial" w:cs="Arial" w:eastAsia="Arial" w:hAnsi="Arial"/>
          <w:sz w:val="17"/>
          <w:szCs w:val="17"/>
          <w:color w:val="auto"/>
        </w:rPr>
      </w:pPr>
    </w:p>
    <w:p>
      <w:pPr>
        <w:jc w:val="both"/>
        <w:ind w:left="1620" w:right="639" w:hanging="360"/>
        <w:spacing w:after="0" w:line="274" w:lineRule="auto"/>
        <w:tabs>
          <w:tab w:leader="none" w:pos="1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Mr. Liveris has served as Chairman of our board of directors since April 2019. Shares offered hereby include (i) 535,275 shares of Class A common stock currently beneficially owned by Mr. Liveris and</w:t>
      </w:r>
    </w:p>
    <w:p>
      <w:pPr>
        <w:ind w:left="1620" w:right="539"/>
        <w:spacing w:after="0" w:line="281" w:lineRule="auto"/>
        <w:tabs>
          <w:tab w:leader="none" w:pos="1903" w:val="left"/>
        </w:tabs>
        <w:numPr>
          <w:ilvl w:val="1"/>
          <w:numId w:val="88"/>
        </w:numPr>
        <w:rPr>
          <w:rFonts w:ascii="Arial" w:cs="Arial" w:eastAsia="Arial" w:hAnsi="Arial"/>
          <w:sz w:val="16"/>
          <w:szCs w:val="16"/>
          <w:color w:val="auto"/>
        </w:rPr>
      </w:pPr>
      <w:r>
        <w:rPr>
          <w:rFonts w:ascii="Arial" w:cs="Arial" w:eastAsia="Arial" w:hAnsi="Arial"/>
          <w:sz w:val="16"/>
          <w:szCs w:val="16"/>
          <w:color w:val="auto"/>
        </w:rPr>
        <w:t>(a) 400,000 shares of Class A common stock and (b) 363,347 shares of Class A common stock issuable upon exercise of certain Private Placement Warrants. With respect to the securities referenced in (ii)(a) and (b), Mr. Liveris currently has an economic interest in such shares of Class A common stock and Private Placement Warrants through his ownership of membership interests in the Sponsor, but he does not beneficially own any such Class A common stock or Private Placement Warrants.</w:t>
      </w:r>
    </w:p>
    <w:p>
      <w:pPr>
        <w:spacing w:after="0" w:line="2" w:lineRule="exact"/>
        <w:rPr>
          <w:rFonts w:ascii="Arial" w:cs="Arial" w:eastAsia="Arial" w:hAnsi="Arial"/>
          <w:sz w:val="16"/>
          <w:szCs w:val="16"/>
          <w:color w:val="auto"/>
        </w:rPr>
      </w:pPr>
    </w:p>
    <w:p>
      <w:pPr>
        <w:ind w:left="1620" w:right="759"/>
        <w:spacing w:after="0" w:line="260" w:lineRule="auto"/>
        <w:rPr>
          <w:rFonts w:ascii="Arial" w:cs="Arial" w:eastAsia="Arial" w:hAnsi="Arial"/>
          <w:sz w:val="16"/>
          <w:szCs w:val="16"/>
          <w:color w:val="auto"/>
        </w:rPr>
      </w:pPr>
      <w:r>
        <w:rPr>
          <w:rFonts w:ascii="Arial" w:cs="Arial" w:eastAsia="Arial" w:hAnsi="Arial"/>
          <w:sz w:val="18"/>
          <w:szCs w:val="18"/>
          <w:color w:val="auto"/>
        </w:rPr>
        <w:t>Mr. Liveris may beneficially own such Class A common stock or Private Placement Warrants in the future.</w:t>
      </w:r>
    </w:p>
    <w:p>
      <w:pPr>
        <w:spacing w:after="0" w:line="50" w:lineRule="exact"/>
        <w:rPr>
          <w:rFonts w:ascii="Arial" w:cs="Arial" w:eastAsia="Arial" w:hAnsi="Arial"/>
          <w:sz w:val="16"/>
          <w:szCs w:val="16"/>
          <w:color w:val="auto"/>
        </w:rPr>
      </w:pPr>
    </w:p>
    <w:p>
      <w:pPr>
        <w:ind w:left="1620" w:right="439" w:hanging="360"/>
        <w:spacing w:after="0" w:line="254" w:lineRule="auto"/>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August has served as a member of our Board since July 2021 and he previously served as a member of Churchill’s board of directors from August 2020. Shares offered hereby include (i) 7,000,000 shares of Class A common stock and (ii) 6,858,569 shares of Class A common stock issuable upon exercise of certain Private Placement Warrants, which Mr. August does not currently beneficially own. Mr. August has an economic interest in a portion of such shares through his control and partial ownership of an entity, OHA Partner Global Co-Investment III, LLP (“</w:t>
      </w:r>
      <w:r>
        <w:rPr>
          <w:rFonts w:ascii="Arial" w:cs="Arial" w:eastAsia="Arial" w:hAnsi="Arial"/>
          <w:sz w:val="18"/>
          <w:szCs w:val="18"/>
          <w:i w:val="1"/>
          <w:iCs w:val="1"/>
          <w:color w:val="auto"/>
        </w:rPr>
        <w:t>OHA PGCI3</w:t>
      </w:r>
      <w:r>
        <w:rPr>
          <w:rFonts w:ascii="Arial" w:cs="Arial" w:eastAsia="Arial" w:hAnsi="Arial"/>
          <w:sz w:val="18"/>
          <w:szCs w:val="18"/>
          <w:color w:val="auto"/>
        </w:rPr>
        <w:t>”), which owns membership interests in the Sponsor. OHA PGCI3 and Mr. August may beneficially own such Class A common stock or Private Placement Warrants in the future.</w:t>
      </w:r>
    </w:p>
    <w:p>
      <w:pPr>
        <w:spacing w:after="0" w:line="43" w:lineRule="exact"/>
        <w:rPr>
          <w:rFonts w:ascii="Arial" w:cs="Arial" w:eastAsia="Arial" w:hAnsi="Arial"/>
          <w:sz w:val="18"/>
          <w:szCs w:val="18"/>
          <w:color w:val="auto"/>
        </w:rPr>
      </w:pPr>
    </w:p>
    <w:p>
      <w:pPr>
        <w:ind w:left="1620" w:right="439" w:hanging="360"/>
        <w:spacing w:after="0" w:line="257" w:lineRule="auto"/>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Ms. Gioia has served as a member of our Board since July 2021. Shares offered hereby include 125,000 shares of Class A common stock. Ms. Gioia currently has an economic interest in such shares of Class A common stock through her ownership of membership interests in the Sponsor, but she does not beneficially own any such Class A common stock. Ms. Gioia may beneficially own such Class A common stock in the future.</w:t>
      </w:r>
    </w:p>
    <w:p>
      <w:pPr>
        <w:spacing w:after="0" w:line="39" w:lineRule="exact"/>
        <w:rPr>
          <w:rFonts w:ascii="Arial" w:cs="Arial" w:eastAsia="Arial" w:hAnsi="Arial"/>
          <w:sz w:val="18"/>
          <w:szCs w:val="18"/>
          <w:color w:val="auto"/>
        </w:rPr>
      </w:pPr>
    </w:p>
    <w:p>
      <w:pPr>
        <w:ind w:left="1620" w:right="459" w:hanging="360"/>
        <w:spacing w:after="0" w:line="277" w:lineRule="auto"/>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Posawatz has served as a member of our board of directors since April 2019. Shares offered hereby include 52,880 shares of Class A common stock.</w:t>
      </w:r>
    </w:p>
    <w:p>
      <w:pPr>
        <w:spacing w:after="0" w:line="35" w:lineRule="exact"/>
        <w:rPr>
          <w:rFonts w:ascii="Arial" w:cs="Arial" w:eastAsia="Arial" w:hAnsi="Arial"/>
          <w:sz w:val="18"/>
          <w:szCs w:val="18"/>
          <w:color w:val="auto"/>
        </w:rPr>
      </w:pPr>
    </w:p>
    <w:p>
      <w:pPr>
        <w:ind w:left="1620" w:right="1039" w:hanging="360"/>
        <w:spacing w:after="0" w:line="263" w:lineRule="auto"/>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Alnowaiser has served as a member of our board of directors since April 2019. Also see footnote 14. Shares offered hereby include 2,070,138 shares of Class A common stock issued to Mr. Alnowaiser upon the Closing.</w:t>
      </w:r>
    </w:p>
    <w:p>
      <w:pPr>
        <w:spacing w:after="0" w:line="35" w:lineRule="exact"/>
        <w:rPr>
          <w:rFonts w:ascii="Arial" w:cs="Arial" w:eastAsia="Arial" w:hAnsi="Arial"/>
          <w:sz w:val="18"/>
          <w:szCs w:val="18"/>
          <w:color w:val="auto"/>
        </w:rPr>
      </w:pPr>
    </w:p>
    <w:p>
      <w:pPr>
        <w:ind w:left="1620" w:right="539" w:hanging="360"/>
        <w:spacing w:after="0" w:line="277" w:lineRule="auto"/>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Also see footnote 14. Shares offered hereby include 4,604,595 shares of Class A common stock issued to H.E. Al-Rumayyan upon the Closing.</w:t>
      </w:r>
    </w:p>
    <w:p>
      <w:pPr>
        <w:spacing w:after="0" w:line="21" w:lineRule="exact"/>
        <w:rPr>
          <w:rFonts w:ascii="Arial" w:cs="Arial" w:eastAsia="Arial" w:hAnsi="Arial"/>
          <w:sz w:val="18"/>
          <w:szCs w:val="18"/>
          <w:color w:val="auto"/>
        </w:rPr>
      </w:pPr>
    </w:p>
    <w:p>
      <w:pPr>
        <w:ind w:left="1620" w:right="1339" w:hanging="360"/>
        <w:spacing w:after="0" w:line="277" w:lineRule="auto"/>
        <w:tabs>
          <w:tab w:leader="none" w:pos="16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Sponsor acted as sponsor to Churchill Capital Corp IV, a blank check company and our predecessor</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8" w:name="page149"/>
    <w:bookmarkEnd w:id="1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51" w:lineRule="auto"/>
        <w:rPr>
          <w:sz w:val="20"/>
          <w:szCs w:val="20"/>
          <w:color w:val="auto"/>
        </w:rPr>
      </w:pPr>
      <w:r>
        <w:rPr>
          <w:rFonts w:ascii="Arial" w:cs="Arial" w:eastAsia="Arial" w:hAnsi="Arial"/>
          <w:sz w:val="17"/>
          <w:szCs w:val="17"/>
          <w:color w:val="auto"/>
        </w:rPr>
        <w:t>company. Shares beneficially owned and offered hereby include: (i) 51,750,000 currently outstanding shares of Class A common stock; (ii) 42,850,000 shares of Class A common stock issuable upon exercise of the Private Placement Warrants and (iii) 1,500,000 shares of Class A common stock issuable upon exercise of the Working Capital Warrants. Each such warrant entitles the Sponsor to purchase one share of Class A common stock at a price of $ 11.50 per share, subject to adjustment. 17,250,000 of such shares and 14,783,333 of such warrants unvested as of the Closing and such shares and warrants will revest as follows: (a) 1/3 of such shares and warrants will revest at such time as during the Vesting Period, which is the 5-year period starting on the Closing and ending on the 5-year anniversary of the Closing, the closing price of Class A common stock exceeds $20.00 for any 40 trading days in a 60 consecutive day period, (b) an additional 1/3 of such shares and warrants will revest at such time as during the Vesting Period, the closing price of Class A common stock exceeds $25.00 for any 40 trading days in a 60 consecutive day period and (c) an additional 1/3 of such shares and warrants will revest at such time as during the Vesting Period, the closing price of Class A common stock exceeds $30.00 for any 40 trading days in a 60 consecutive day period. Michael Klein is the sole stockholder of M. Klein Associates, Inc., which is the managing member of Churchill Sponsor IV LLC. The shares beneficially owned by Churchill Sponsor IV LLC may also be deemed to be beneficially owned by Mr. Klein. The business address for Mr. Klein is 640 Fifth Avenue, 12th Floor, New York, NY 10019. Also see footnotes 5, 6 and 7 to this table and footnote 8 to the table under the heading “</w:t>
      </w:r>
      <w:r>
        <w:rPr>
          <w:rFonts w:ascii="Arial" w:cs="Arial" w:eastAsia="Arial" w:hAnsi="Arial"/>
          <w:sz w:val="17"/>
          <w:szCs w:val="17"/>
          <w:i w:val="1"/>
          <w:iCs w:val="1"/>
          <w:color w:val="auto"/>
        </w:rPr>
        <w:t>Beneficial Ownership of Securities.</w:t>
      </w:r>
      <w:r>
        <w:rPr>
          <w:rFonts w:ascii="Arial" w:cs="Arial" w:eastAsia="Arial" w:hAnsi="Arial"/>
          <w:sz w:val="17"/>
          <w:szCs w:val="17"/>
          <w:color w:val="auto"/>
        </w:rPr>
        <w:t>”</w:t>
      </w:r>
    </w:p>
    <w:p>
      <w:pPr>
        <w:spacing w:after="0" w:line="31" w:lineRule="exact"/>
        <w:rPr>
          <w:sz w:val="20"/>
          <w:szCs w:val="20"/>
          <w:color w:val="auto"/>
        </w:rPr>
      </w:pPr>
    </w:p>
    <w:p>
      <w:pPr>
        <w:ind w:left="1620" w:right="459" w:hanging="360"/>
        <w:spacing w:after="0" w:line="25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40 North Management LLC has sole voting power over the shares offered hereby. 40 North Latitude Fund LP is the sole shareholder of the Selling Securityholder and 40 North GP III LLC is the general partner of 40 North Latitude Fund LP. David S. Winter and David J. Millstone are the sole Managers of each of 40 North Management LLC and 40 North GP III LLC, and sole Directors of the Selling Securityholder.</w:t>
      </w:r>
    </w:p>
    <w:p>
      <w:pPr>
        <w:spacing w:after="0" w:line="39" w:lineRule="exact"/>
        <w:rPr>
          <w:rFonts w:ascii="Arial" w:cs="Arial" w:eastAsia="Arial" w:hAnsi="Arial"/>
          <w:sz w:val="18"/>
          <w:szCs w:val="18"/>
          <w:color w:val="auto"/>
        </w:rPr>
      </w:pPr>
    </w:p>
    <w:p>
      <w:pPr>
        <w:ind w:left="1620" w:right="739" w:hanging="360"/>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Held of record by Naya Capital Management UK Limited. Nikesh Arora is settlor and trustee of the Aurora Trust. Mr. Arora is the sole beneficial owner.</w:t>
      </w:r>
    </w:p>
    <w:p>
      <w:pPr>
        <w:spacing w:after="0" w:line="21" w:lineRule="exact"/>
        <w:rPr>
          <w:rFonts w:ascii="Arial" w:cs="Arial" w:eastAsia="Arial" w:hAnsi="Arial"/>
          <w:sz w:val="18"/>
          <w:szCs w:val="18"/>
          <w:color w:val="auto"/>
        </w:rPr>
      </w:pPr>
    </w:p>
    <w:p>
      <w:pPr>
        <w:ind w:left="1620" w:right="419" w:hanging="360"/>
        <w:spacing w:after="0" w:line="267" w:lineRule="auto"/>
        <w:tabs>
          <w:tab w:leader="none" w:pos="16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1,015,252,523 shares of Class A common stock issued to Ayar upon the Closing (including in connection with the PIPE Investment). Ayar is a wholly owned subsidiary of the Public Investment Fund, which is the sovereign wealth fund of the Kingdom of Saudi Arabia. The Board of Directors of the Public Investment Fund, consisting of His Royal Highness Mohammad bin Salman Al-Saud (Chairman), H.E. Ibrahim Abdulaziz Al-Assaf, H.E. Mohammad Abdul Malek Al Shaikh, H.E. Khalid Abdulaziz Al-Falih, H.E. Dr. Majid Bin Abdullah Al Qasabi, H.E. Mohammad Abdullah Al-Jadaan, H.E. Mohamed Mazyed Altwaijri, H.E. Ahmed Aqeel Al-Khateeb, and H.E. Yasir Othman Al-Rumayyan, has dispositive power over the shares held by Ayar by a majority of the votes of the Directors, with the Chairman having a casting vote. Each of the Board of Directors of the Public Investment Fund, H.E. Al-Rumayyan and Turqi Alnowaiser has shared voting power over the shares held by Ayar. Neither H.E. Al-Rumayyan, who is the Governor of the Public Investment Fund, nor Mr. Alnowaiser, who is Deputy Governor and Head of the International Investments Division of the Public Investment Fund, has a pecuniary interest in the shares held by Ayar, and each of H.E. Al-Rumayyan and Mr. Alnowaiser disclaims beneficial ownership of the shares held by Ayar. Interests shown do not include 4,604,595 shares of Class A common stock issued to H.E. Al-Rumayyan upon the Closing or 2,070,138 shares of Class A common stock issued to Mr. Alnowaiser upon the Closing. See footnotes 10 and 9, respectively. The business address for The Public Investment Fund, Mr. Alnowaiser and for H.E. Al-Rumayyan is Alr’idah Digital City, Building MU04, Al Nakhil District, P.O. Box 6847, Riyadh 11452, The Kingdom of Saudi Arabia.</w:t>
      </w:r>
    </w:p>
    <w:p>
      <w:pPr>
        <w:spacing w:after="0" w:line="39" w:lineRule="exact"/>
        <w:rPr>
          <w:rFonts w:ascii="Arial" w:cs="Arial" w:eastAsia="Arial" w:hAnsi="Arial"/>
          <w:sz w:val="17"/>
          <w:szCs w:val="17"/>
          <w:color w:val="auto"/>
        </w:rPr>
      </w:pPr>
    </w:p>
    <w:p>
      <w:pPr>
        <w:ind w:left="1620" w:right="519" w:hanging="360"/>
        <w:spacing w:after="0" w:line="263"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Alberta Investment Management Corporation is a body corporate established as an agent of the Crown in right of the Province of Alberta and manages the funds on behalf of a diverse set of Alberta public sector clients for which it serves as its investment manager.</w:t>
      </w:r>
    </w:p>
    <w:p>
      <w:pPr>
        <w:spacing w:after="0" w:line="35" w:lineRule="exact"/>
        <w:rPr>
          <w:rFonts w:ascii="Arial" w:cs="Arial" w:eastAsia="Arial" w:hAnsi="Arial"/>
          <w:sz w:val="18"/>
          <w:szCs w:val="18"/>
          <w:color w:val="auto"/>
        </w:rPr>
      </w:pPr>
    </w:p>
    <w:p>
      <w:pPr>
        <w:ind w:left="1620" w:right="459" w:hanging="360"/>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Amy Tarlowe, Authorized Signor and Chief Operating Officer of the general partner of Alpine Partners (BVI), L.P. may be deemed to be a beneficial owner of the shares offered hereby.</w:t>
      </w:r>
    </w:p>
    <w:p>
      <w:pPr>
        <w:spacing w:after="0" w:line="21" w:lineRule="exact"/>
        <w:rPr>
          <w:rFonts w:ascii="Arial" w:cs="Arial" w:eastAsia="Arial" w:hAnsi="Arial"/>
          <w:sz w:val="18"/>
          <w:szCs w:val="18"/>
          <w:color w:val="auto"/>
        </w:rPr>
      </w:pPr>
    </w:p>
    <w:p>
      <w:pPr>
        <w:ind w:left="1620" w:right="879" w:hanging="360"/>
        <w:spacing w:after="0" w:line="277"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Brad Gerstner, General Partner of Altimeter Partners Fund, L.P. may be deemed to be a beneficial owner of the shares offered hereby.</w:t>
      </w:r>
    </w:p>
    <w:p>
      <w:pPr>
        <w:spacing w:after="0" w:line="21" w:lineRule="exact"/>
        <w:rPr>
          <w:rFonts w:ascii="Arial" w:cs="Arial" w:eastAsia="Arial" w:hAnsi="Arial"/>
          <w:sz w:val="18"/>
          <w:szCs w:val="18"/>
          <w:color w:val="auto"/>
        </w:rPr>
      </w:pPr>
    </w:p>
    <w:p>
      <w:pPr>
        <w:ind w:left="1620" w:right="499" w:hanging="360"/>
        <w:spacing w:after="0" w:line="259"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1,333,333 shares of Class A common stock. Shares beneficially owned also include 82,981 shares of Class A common stock issuable upon exercise of the Public Warrants held by the Selling Securityholder. Alyeska Investment Group, L.P., the investment</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9" w:name="page150"/>
    <w:bookmarkEnd w:id="1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55" w:lineRule="auto"/>
        <w:rPr>
          <w:sz w:val="20"/>
          <w:szCs w:val="20"/>
          <w:color w:val="auto"/>
        </w:rPr>
      </w:pPr>
      <w:r>
        <w:rPr>
          <w:rFonts w:ascii="Arial" w:cs="Arial" w:eastAsia="Arial" w:hAnsi="Arial"/>
          <w:sz w:val="17"/>
          <w:szCs w:val="17"/>
          <w:color w:val="auto"/>
        </w:rPr>
        <w:t>manager of the Selling Securityholder,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Selling Securityholder.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31" w:lineRule="exact"/>
        <w:rPr>
          <w:sz w:val="20"/>
          <w:szCs w:val="20"/>
          <w:color w:val="auto"/>
        </w:rPr>
      </w:pPr>
    </w:p>
    <w:p>
      <w:pPr>
        <w:ind w:left="1620" w:right="439" w:hanging="360"/>
        <w:spacing w:after="0" w:line="253"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133,000 shares of Class A common stock held by Arena Capital Fund, LP — Series 2, 133,000 shares of Class A common stock held by Arena Capital Fund, LP — Series 3, 250,000 shares of Class A common stock held by Arena Capital Fund, LP — Series 4, 383,000 shares of Class A common stock held by Arena Capital Fund, LP — Series 5, 166,000 shares of Class A common stock held by Arena Capital Fund, LP — Series 6, and 268,333 shares of Class A common stock held by Arena Capital Fund, LP — Series 9 (together, the “</w:t>
      </w:r>
      <w:r>
        <w:rPr>
          <w:rFonts w:ascii="Arial" w:cs="Arial" w:eastAsia="Arial" w:hAnsi="Arial"/>
          <w:sz w:val="18"/>
          <w:szCs w:val="18"/>
          <w:i w:val="1"/>
          <w:iCs w:val="1"/>
          <w:color w:val="auto"/>
        </w:rPr>
        <w:t>Arena Funds</w:t>
      </w:r>
      <w:r>
        <w:rPr>
          <w:rFonts w:ascii="Arial" w:cs="Arial" w:eastAsia="Arial" w:hAnsi="Arial"/>
          <w:sz w:val="18"/>
          <w:szCs w:val="18"/>
          <w:color w:val="auto"/>
        </w:rPr>
        <w:t>”). The Arena Funds are partnerships organized under the laws of the State of Delaware. Arena Capital Advisors, LLC acts as General Partner for the Arena Funds. The partners of Arena Capital Advisors are Daniel Elperin, Jeremy Sagi and Sanije Perrett and as such may be deemed beneficial owners of the shares offered hereby. The address of each of the Arena Funds is 12121 Wilshire Blvd, Ste. 1010, Los Angeles, CA 90025.</w:t>
      </w:r>
    </w:p>
    <w:p>
      <w:pPr>
        <w:spacing w:after="0" w:line="43" w:lineRule="exact"/>
        <w:rPr>
          <w:rFonts w:ascii="Arial" w:cs="Arial" w:eastAsia="Arial" w:hAnsi="Arial"/>
          <w:sz w:val="18"/>
          <w:szCs w:val="18"/>
          <w:color w:val="auto"/>
        </w:rPr>
      </w:pPr>
    </w:p>
    <w:p>
      <w:pPr>
        <w:ind w:left="1620" w:right="439" w:hanging="360"/>
        <w:spacing w:after="0" w:line="252"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568,875 shares of Class A common stock held by Aristeia Master, L.P., 42,576 shares of Class A common stock held by ASIG International Limited, 15,885 shares of Class A common stock held by Windermere Ireland Fund PLC and 39,331 shares of Class A common stock held by DS Liquid Div RVA ARST, LLC (together, the “</w:t>
      </w:r>
      <w:r>
        <w:rPr>
          <w:rFonts w:ascii="Arial" w:cs="Arial" w:eastAsia="Arial" w:hAnsi="Arial"/>
          <w:sz w:val="18"/>
          <w:szCs w:val="18"/>
          <w:i w:val="1"/>
          <w:iCs w:val="1"/>
          <w:color w:val="auto"/>
        </w:rPr>
        <w:t>Funds</w:t>
      </w:r>
      <w:r>
        <w:rPr>
          <w:rFonts w:ascii="Arial" w:cs="Arial" w:eastAsia="Arial" w:hAnsi="Arial"/>
          <w:sz w:val="18"/>
          <w:szCs w:val="18"/>
          <w:color w:val="auto"/>
        </w:rPr>
        <w:t>”). Aristeia Capital, L.L.C. and Aristeia Advisors, L.L.C. (collectively, “</w:t>
      </w:r>
      <w:r>
        <w:rPr>
          <w:rFonts w:ascii="Arial" w:cs="Arial" w:eastAsia="Arial" w:hAnsi="Arial"/>
          <w:sz w:val="18"/>
          <w:szCs w:val="18"/>
          <w:i w:val="1"/>
          <w:iCs w:val="1"/>
          <w:color w:val="auto"/>
        </w:rPr>
        <w:t>Aristeia</w:t>
      </w:r>
      <w:r>
        <w:rPr>
          <w:rFonts w:ascii="Arial" w:cs="Arial" w:eastAsia="Arial" w:hAnsi="Arial"/>
          <w:sz w:val="18"/>
          <w:szCs w:val="18"/>
          <w:color w:val="auto"/>
        </w:rPr>
        <w:t>”) may be deemed the beneficial owners of the shares offered hereby in their capacity as the investment manager, trading manager, and/or general partner, as the case may be, of the Funds. As investment manager, trading advisor and/or general partner of each Fund, Aristeia has voting and investment control with respect to the shares offered hereby and held by each Fund. Anthony M. Frascella and William R. Techar are the co-Chief Investment Officers of Aristeia. Each of Aristeia and such individuals disclaims beneficial ownership of the securities referenced herein except to the extent of its or his direct or indirect economic interest in the Funds.</w:t>
      </w:r>
    </w:p>
    <w:p>
      <w:pPr>
        <w:spacing w:after="0" w:line="51" w:lineRule="exact"/>
        <w:rPr>
          <w:rFonts w:ascii="Arial" w:cs="Arial" w:eastAsia="Arial" w:hAnsi="Arial"/>
          <w:sz w:val="18"/>
          <w:szCs w:val="18"/>
          <w:color w:val="auto"/>
        </w:rPr>
      </w:pPr>
    </w:p>
    <w:p>
      <w:pPr>
        <w:ind w:left="1620" w:right="1159" w:hanging="360"/>
        <w:spacing w:after="0" w:line="27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Directors Linburgh Martin, John Sutlic and Scott Schroeder are the beneficial owners of Atlas Diversified Master Fund, Ltd.</w:t>
      </w:r>
    </w:p>
    <w:p>
      <w:pPr>
        <w:spacing w:after="0" w:line="21" w:lineRule="exact"/>
        <w:rPr>
          <w:rFonts w:ascii="Arial" w:cs="Arial" w:eastAsia="Arial" w:hAnsi="Arial"/>
          <w:sz w:val="18"/>
          <w:szCs w:val="18"/>
          <w:color w:val="auto"/>
        </w:rPr>
      </w:pPr>
    </w:p>
    <w:p>
      <w:pPr>
        <w:ind w:left="1620" w:right="439" w:hanging="360"/>
        <w:spacing w:after="0" w:line="259"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133,333 shares of Class A common stock held by BCP Portfolio II LLC. Patrick Kolek, Frank Friedrich and Lawrence lllg have shared voting and investment power with regard to the shares held by BCP Portfolio II LLC whose address is 22551 San Vicente Ave, San Jose, CA 95120.</w:t>
      </w:r>
    </w:p>
    <w:p>
      <w:pPr>
        <w:spacing w:after="0" w:line="38" w:lineRule="exact"/>
        <w:rPr>
          <w:rFonts w:ascii="Arial" w:cs="Arial" w:eastAsia="Arial" w:hAnsi="Arial"/>
          <w:sz w:val="18"/>
          <w:szCs w:val="18"/>
          <w:color w:val="auto"/>
        </w:rPr>
      </w:pPr>
    </w:p>
    <w:p>
      <w:pPr>
        <w:ind w:left="1620" w:hanging="360"/>
        <w:spacing w:after="0"/>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Behdad Eghbali is the beneficiary of Citibank NA as Custodian FBO Behdad Eghbali.</w:t>
      </w:r>
    </w:p>
    <w:p>
      <w:pPr>
        <w:spacing w:after="0" w:line="90" w:lineRule="exact"/>
        <w:rPr>
          <w:rFonts w:ascii="Arial" w:cs="Arial" w:eastAsia="Arial" w:hAnsi="Arial"/>
          <w:sz w:val="18"/>
          <w:szCs w:val="18"/>
          <w:color w:val="auto"/>
        </w:rPr>
      </w:pPr>
    </w:p>
    <w:p>
      <w:pPr>
        <w:ind w:left="1620" w:right="419" w:hanging="360"/>
        <w:spacing w:after="0" w:line="267" w:lineRule="auto"/>
        <w:tabs>
          <w:tab w:leader="none" w:pos="1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registered holders of the referenced shares are the following funds and accounts under management by subsidiaries of BlackRock, Inc.: 1,599,853 shares of Class A common stock held by BlackRock Global Allocation Fund, Inc., 996,300 shares of Class A common stock held by BlackRock Global Funds — Global Allocation Fund, 529,280 shares of Class A common stock held by BlackRock Global Allocation V.I. Fund of BlackRock Variable Series Funds, Inc., 12,400 shares of Class A common stock held by BlackRock Global Allocation Portfolio of BlackRock Series Fund, Inc., 158,470 shares of Class A common stock held by BlackRock Global Allocation Collective Fund, 40,750 shares of Class A common stock held by BlackRock Global Funds — Global Dynamic Equity Fund, 217,280 shares of Class A common stock held by BlackRock Capital Allocation Trust, 2,240,840 shares of Class A common stock held by BlackRock Strategic Income Opportunities Portfolio of BlackRock Funds V, 44,140 shares of Class A common stock held by Strategic Income Opportunities Bond Fund, 69,090 shares of Class A common stock held by BGF ESG Fixed Income Global Opportunities Fund, 640,420 shares of Class A common stock held by BGF Fixed Income Global Opportunities Fund, 1,259,080 shares of Class A common stock held by Master Total Return Portfolio of Master Bond LLC, 366,650 shares of Class A common stock held by BlackRock Total Return Bond Fund, 94,780 shares of Class A common stock held by BlackRock Global Long/Short Credit Fund of BlackRock Funds IV, 55,390 shares of Class A common stock held by BlackRock Strategic Global Bond Fund, Inc.,</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0" w:name="page151"/>
    <w:bookmarkEnd w:id="1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spacing w:after="0" w:line="268" w:lineRule="auto"/>
        <w:rPr>
          <w:sz w:val="20"/>
          <w:szCs w:val="20"/>
          <w:color w:val="auto"/>
        </w:rPr>
      </w:pPr>
      <w:r>
        <w:rPr>
          <w:rFonts w:ascii="Arial" w:cs="Arial" w:eastAsia="Arial" w:hAnsi="Arial"/>
          <w:sz w:val="17"/>
          <w:szCs w:val="17"/>
          <w:color w:val="auto"/>
        </w:rPr>
        <w:t>8,610 shares of Class A common stock held by BlackRock Global Funds — Global Bond Income Fund, 3,386,372 shares of Class A common stock held by BlackRock Technology Opportunities Fund, a series of BlackRock Funds and 4,946,962 shares of Class A common stock held by BlackRock Global Funds — World Technology Fund.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55 East 52nd Street, New York, NY 10055. Shares shown include only the securities being registered for resale and may not incorporate all shares deemed to be beneficially held by the registered holders or BlackRock, Inc.</w:t>
      </w:r>
    </w:p>
    <w:p>
      <w:pPr>
        <w:spacing w:after="0" w:line="38" w:lineRule="exact"/>
        <w:rPr>
          <w:sz w:val="20"/>
          <w:szCs w:val="20"/>
          <w:color w:val="auto"/>
        </w:rPr>
      </w:pPr>
    </w:p>
    <w:p>
      <w:pPr>
        <w:ind w:left="1620" w:right="499" w:hanging="360"/>
        <w:spacing w:after="0" w:line="269" w:lineRule="auto"/>
        <w:tabs>
          <w:tab w:leader="none" w:pos="1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2,365,379 shares of Class A common stock held of record by BSOF Master Fund L.P. (“</w:t>
      </w:r>
      <w:r>
        <w:rPr>
          <w:rFonts w:ascii="Arial" w:cs="Arial" w:eastAsia="Arial" w:hAnsi="Arial"/>
          <w:sz w:val="17"/>
          <w:szCs w:val="17"/>
          <w:i w:val="1"/>
          <w:iCs w:val="1"/>
          <w:color w:val="auto"/>
        </w:rPr>
        <w:t>BSOF</w:t>
      </w:r>
      <w:r>
        <w:rPr>
          <w:rFonts w:ascii="Arial" w:cs="Arial" w:eastAsia="Arial" w:hAnsi="Arial"/>
          <w:sz w:val="17"/>
          <w:szCs w:val="17"/>
          <w:color w:val="auto"/>
        </w:rPr>
        <w:t>”), 967,955 shares of Class A common stock held of record by BSOF Master Fund II L.P. (“</w:t>
      </w:r>
      <w:r>
        <w:rPr>
          <w:rFonts w:ascii="Arial" w:cs="Arial" w:eastAsia="Arial" w:hAnsi="Arial"/>
          <w:sz w:val="17"/>
          <w:szCs w:val="17"/>
          <w:i w:val="1"/>
          <w:iCs w:val="1"/>
          <w:color w:val="auto"/>
        </w:rPr>
        <w:t>BSOF II</w:t>
      </w:r>
      <w:r>
        <w:rPr>
          <w:rFonts w:ascii="Arial" w:cs="Arial" w:eastAsia="Arial" w:hAnsi="Arial"/>
          <w:sz w:val="17"/>
          <w:szCs w:val="17"/>
          <w:color w:val="auto"/>
        </w:rPr>
        <w:t>”), and 5,000,000 shares of Class A common stock held of record by Blackstone Aqua Master Sub-Fund, a sub-fund of the Blackstone Global Master</w:t>
      </w:r>
    </w:p>
    <w:p>
      <w:pPr>
        <w:spacing w:after="0" w:line="1" w:lineRule="exact"/>
        <w:rPr>
          <w:rFonts w:ascii="Arial" w:cs="Arial" w:eastAsia="Arial" w:hAnsi="Arial"/>
          <w:sz w:val="17"/>
          <w:szCs w:val="17"/>
          <w:color w:val="auto"/>
        </w:rPr>
      </w:pPr>
    </w:p>
    <w:p>
      <w:pPr>
        <w:ind w:left="1620" w:right="439"/>
        <w:spacing w:after="0" w:line="266" w:lineRule="auto"/>
        <w:rPr>
          <w:rFonts w:ascii="Arial" w:cs="Arial" w:eastAsia="Arial" w:hAnsi="Arial"/>
          <w:sz w:val="17"/>
          <w:szCs w:val="17"/>
          <w:color w:val="auto"/>
        </w:rPr>
      </w:pPr>
      <w:r>
        <w:rPr>
          <w:rFonts w:ascii="Arial" w:cs="Arial" w:eastAsia="Arial" w:hAnsi="Arial"/>
          <w:sz w:val="17"/>
          <w:szCs w:val="17"/>
          <w:color w:val="auto"/>
        </w:rPr>
        <w:t>Fund ICAV (the “</w:t>
      </w:r>
      <w:r>
        <w:rPr>
          <w:rFonts w:ascii="Arial" w:cs="Arial" w:eastAsia="Arial" w:hAnsi="Arial"/>
          <w:sz w:val="17"/>
          <w:szCs w:val="17"/>
          <w:i w:val="1"/>
          <w:iCs w:val="1"/>
          <w:color w:val="auto"/>
        </w:rPr>
        <w:t>Aqua Fund</w:t>
      </w:r>
      <w:r>
        <w:rPr>
          <w:rFonts w:ascii="Arial" w:cs="Arial" w:eastAsia="Arial" w:hAnsi="Arial"/>
          <w:sz w:val="17"/>
          <w:szCs w:val="17"/>
          <w:color w:val="auto"/>
        </w:rPr>
        <w:t>”). Additional shares beneficially owned include 400,000 shares of Class A common stock issuable upon exercise of the Public Warrants held by the Aqua Fund. Blackstone Alternative Solutions L.L.C. is the investment manager of each of BSOF, BSOF II and the Aqua Fund. Blackstone Holdings I L.P. is the sole member of Blackstone Alternative Solutions L.L.C. Blackstone Holdings I/II GP L.L.C. is the general partner of Blackstone Holdings I L.P. Blackstone Strategic Opportunity Associates L.L.C. is the general partner of BSOF and BSOF II. Blackstone Holdings II L.P. is the sole member of Blackstone Strategic Opportunity Associates L.L.C. Blackstone Holdings I/II GP L.L.C. is the general partner of Blackstone Holdings II L.P. The Blackstone Group Inc. is the sole member of Blackstone Holdings I/II GP L.L.C. Blackstone Group Management L.L.C. is the sole holder of the Series II preferred stock of The Blackstone Group Inc. Blackstone Group Management L.L.C. is wholly owned by its senior managing directors and controlled by its founder, Stephen A. Schwarzman. Each of such Blackstone entities and Mr. Schwarzman may be deemed to beneficially own the shares beneficially owned by BSOF, BSOF II and/or the Aqua Fund directly or indirectly controlled by it or him, but each (other than each of BSOF, BSOF II and the Aqua Fund, severally and not jointly, to the extent of its respective direct holdings) disclaims beneficial ownership of such shares. Each of BSOF, BSOF II and the Aqua Fund has represented to us that it is an affiliate of a broker-dealer but that its shares were purchased in the ordinary course of business and that at the time of its purchase it had no agreements or understandings, directly or indirectly, with any person to distribute such shares. The principal business address of each of the entities listed in this footnote is c/o The Blackstone Group Inc., 345 Park Avenue, New York, New York 10154.</w:t>
      </w:r>
    </w:p>
    <w:p>
      <w:pPr>
        <w:spacing w:after="0" w:line="40" w:lineRule="exact"/>
        <w:rPr>
          <w:rFonts w:ascii="Arial" w:cs="Arial" w:eastAsia="Arial" w:hAnsi="Arial"/>
          <w:sz w:val="17"/>
          <w:szCs w:val="17"/>
          <w:color w:val="auto"/>
        </w:rPr>
      </w:pPr>
    </w:p>
    <w:p>
      <w:pPr>
        <w:ind w:left="1620" w:right="1099" w:hanging="360"/>
        <w:spacing w:after="0" w:line="334" w:lineRule="auto"/>
        <w:tabs>
          <w:tab w:leader="none" w:pos="16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Matthew MacIsaac, Secretary MM Asset Management Inc., Investment Advisor to MMCAP International Inc. SPC. may be deemed to be the beneficial owner of the shares offered hereby.</w:t>
      </w:r>
    </w:p>
    <w:p>
      <w:pPr>
        <w:ind w:left="1620" w:hanging="360"/>
        <w:spacing w:after="0"/>
        <w:tabs>
          <w:tab w:leader="none" w:pos="1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business address of the Selling Securityholder is 40 West 57th Street, New York, New York 10019.</w:t>
      </w:r>
    </w:p>
    <w:p>
      <w:pPr>
        <w:spacing w:after="0" w:line="88" w:lineRule="exact"/>
        <w:rPr>
          <w:rFonts w:ascii="Arial" w:cs="Arial" w:eastAsia="Arial" w:hAnsi="Arial"/>
          <w:sz w:val="17"/>
          <w:szCs w:val="17"/>
          <w:color w:val="auto"/>
        </w:rPr>
      </w:pPr>
    </w:p>
    <w:p>
      <w:pPr>
        <w:ind w:left="1620" w:right="479" w:hanging="360"/>
        <w:spacing w:after="0" w:line="269" w:lineRule="auto"/>
        <w:tabs>
          <w:tab w:leader="none" w:pos="1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Shares offered hereby consist of 5,333,333 shares of Class A common stock. As of July 29, 2021, shares beneficially owned also included (i) 25,000 shares of Class A common stock issuable upon exercise of the Public Warrants held by the Selling Securityholder, Citadel Multi-Strategy Equities Master Fund Ltd. (“</w:t>
      </w:r>
      <w:r>
        <w:rPr>
          <w:rFonts w:ascii="Arial" w:cs="Arial" w:eastAsia="Arial" w:hAnsi="Arial"/>
          <w:sz w:val="17"/>
          <w:szCs w:val="17"/>
          <w:i w:val="1"/>
          <w:iCs w:val="1"/>
          <w:color w:val="auto"/>
        </w:rPr>
        <w:t>CEMF</w:t>
      </w:r>
      <w:r>
        <w:rPr>
          <w:rFonts w:ascii="Arial" w:cs="Arial" w:eastAsia="Arial" w:hAnsi="Arial"/>
          <w:sz w:val="17"/>
          <w:szCs w:val="17"/>
          <w:color w:val="auto"/>
        </w:rPr>
        <w:t>”) and (ii) 92,178 shares of Class A common stock. Citadel Advisors LLC (“</w:t>
      </w:r>
      <w:r>
        <w:rPr>
          <w:rFonts w:ascii="Arial" w:cs="Arial" w:eastAsia="Arial" w:hAnsi="Arial"/>
          <w:sz w:val="17"/>
          <w:szCs w:val="17"/>
          <w:i w:val="1"/>
          <w:iCs w:val="1"/>
          <w:color w:val="auto"/>
        </w:rPr>
        <w:t>Citadel Advisors</w:t>
      </w:r>
      <w:r>
        <w:rPr>
          <w:rFonts w:ascii="Arial" w:cs="Arial" w:eastAsia="Arial" w:hAnsi="Arial"/>
          <w:sz w:val="17"/>
          <w:szCs w:val="17"/>
          <w:color w:val="auto"/>
        </w:rPr>
        <w:t>”) is the portfolio manager of CEMF. Citadel Advisors Holdings LP (“</w:t>
      </w:r>
      <w:r>
        <w:rPr>
          <w:rFonts w:ascii="Arial" w:cs="Arial" w:eastAsia="Arial" w:hAnsi="Arial"/>
          <w:sz w:val="17"/>
          <w:szCs w:val="17"/>
          <w:i w:val="1"/>
          <w:iCs w:val="1"/>
          <w:color w:val="auto"/>
        </w:rPr>
        <w:t>CAH</w:t>
      </w:r>
      <w:r>
        <w:rPr>
          <w:rFonts w:ascii="Arial" w:cs="Arial" w:eastAsia="Arial" w:hAnsi="Arial"/>
          <w:sz w:val="17"/>
          <w:szCs w:val="17"/>
          <w:color w:val="auto"/>
        </w:rPr>
        <w:t>”) is the sole member of Citadel Advisors. Citadel GP LLC (“</w:t>
      </w:r>
      <w:r>
        <w:rPr>
          <w:rFonts w:ascii="Arial" w:cs="Arial" w:eastAsia="Arial" w:hAnsi="Arial"/>
          <w:sz w:val="17"/>
          <w:szCs w:val="17"/>
          <w:i w:val="1"/>
          <w:iCs w:val="1"/>
          <w:color w:val="auto"/>
        </w:rPr>
        <w:t>CGP</w:t>
      </w:r>
      <w:r>
        <w:rPr>
          <w:rFonts w:ascii="Arial" w:cs="Arial" w:eastAsia="Arial" w:hAnsi="Arial"/>
          <w:sz w:val="17"/>
          <w:szCs w:val="17"/>
          <w:color w:val="auto"/>
        </w:rPr>
        <w:t>”) is the general partner of CAH. Kenneth Griffin owns a controlling interest in CGP. Mr. Griffin, as the owner of a controlling interest in CGP, may be deemed to have shared power to vote or direct the vote of, and/or shared power to dispose or to direct the disposition over, the shares held by CEMF. The foregoing shall not be construed as an admission that Mr. Griffin or any of the Citadel related entities listed above is the beneficial owner of any securities of the Company other than the securities actually owned by such person (if any). The address of CEMF is 601 Lexington Ave., New York, NY 10022.</w:t>
      </w: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439" w:hanging="360"/>
        <w:spacing w:after="0" w:line="259" w:lineRule="auto"/>
        <w:tabs>
          <w:tab w:leader="none" w:pos="1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546,667 shares of Class A common stock held by Corsair Capital Partners, L.P. and 786,666 shares of Class A common stock held by Corsair Select, L.P. Jay Petschek and Steven Major are managing members of the general partner and may be deemed to be beneficial owners.</w:t>
      </w:r>
    </w:p>
    <w:p>
      <w:pPr>
        <w:spacing w:after="0" w:line="38" w:lineRule="exact"/>
        <w:rPr>
          <w:rFonts w:ascii="Arial" w:cs="Arial" w:eastAsia="Arial" w:hAnsi="Arial"/>
          <w:sz w:val="18"/>
          <w:szCs w:val="18"/>
          <w:color w:val="auto"/>
        </w:rPr>
      </w:pPr>
    </w:p>
    <w:p>
      <w:pPr>
        <w:ind w:left="1620" w:right="439" w:hanging="360"/>
        <w:spacing w:after="0" w:line="257" w:lineRule="auto"/>
        <w:tabs>
          <w:tab w:leader="none" w:pos="16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136,368 shares of Class A common stock held by CRM Long/Short Opportunities Mutual Fund, 28,471 shares of Class A common stock held by CRM Long/Short Opportunities Master Fund LP and 168,494 shares of Class A common stock held by CRM Long/Short Opportunities UCITS. The portfolio managers who exercise investment discretion over the shares are Madeline “Mimi” Morris and Jason Yellin.</w:t>
      </w:r>
    </w:p>
    <w:p>
      <w:pPr>
        <w:spacing w:after="0" w:line="39" w:lineRule="exact"/>
        <w:rPr>
          <w:rFonts w:ascii="Arial" w:cs="Arial" w:eastAsia="Arial" w:hAnsi="Arial"/>
          <w:sz w:val="18"/>
          <w:szCs w:val="18"/>
          <w:color w:val="auto"/>
        </w:rPr>
      </w:pPr>
    </w:p>
    <w:p>
      <w:pPr>
        <w:ind w:left="1620" w:right="499" w:hanging="360"/>
        <w:spacing w:after="0" w:line="267" w:lineRule="auto"/>
        <w:tabs>
          <w:tab w:leader="none" w:pos="16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 E. Shaw Oculus Portfolios, L.L.C. may be deemed an affiliate of D. E. Shaw Securities, L.L.C., a registered broker-dealer, which will not be involved in the offering or distribution of the Class A common stock to be registered pursuant to the registration statement of which this prospectus forms a part. Based on information provided by the Selling Securityholder, the Selling Securityholder acquired the shares for investment purposes, and at the time of the acquisition of such shares, the Selling Securityholder did not have any agreements or understandings with any person to distribute such shares. D. E. Shaw Oculus Portfolios, L.L.C. holds the shares offered hereby (the “</w:t>
      </w:r>
      <w:r>
        <w:rPr>
          <w:rFonts w:ascii="Arial" w:cs="Arial" w:eastAsia="Arial" w:hAnsi="Arial"/>
          <w:sz w:val="17"/>
          <w:szCs w:val="17"/>
          <w:i w:val="1"/>
          <w:iCs w:val="1"/>
          <w:color w:val="auto"/>
        </w:rPr>
        <w:t>Subject Shares</w:t>
      </w:r>
      <w:r>
        <w:rPr>
          <w:rFonts w:ascii="Arial" w:cs="Arial" w:eastAsia="Arial" w:hAnsi="Arial"/>
          <w:sz w:val="17"/>
          <w:szCs w:val="17"/>
          <w:color w:val="auto"/>
        </w:rPr>
        <w:t>”).</w:t>
      </w:r>
    </w:p>
    <w:p>
      <w:pPr>
        <w:spacing w:after="0" w:line="4" w:lineRule="exact"/>
        <w:rPr>
          <w:rFonts w:ascii="Arial" w:cs="Arial" w:eastAsia="Arial" w:hAnsi="Arial"/>
          <w:sz w:val="17"/>
          <w:szCs w:val="17"/>
          <w:color w:val="auto"/>
        </w:rPr>
      </w:pPr>
    </w:p>
    <w:p>
      <w:pPr>
        <w:ind w:left="1620" w:right="419"/>
        <w:spacing w:after="0" w:line="265" w:lineRule="auto"/>
        <w:tabs>
          <w:tab w:leader="none" w:pos="1851" w:val="left"/>
        </w:tabs>
        <w:numPr>
          <w:ilvl w:val="1"/>
          <w:numId w:val="92"/>
        </w:numPr>
        <w:rPr>
          <w:rFonts w:ascii="Arial" w:cs="Arial" w:eastAsia="Arial" w:hAnsi="Arial"/>
          <w:sz w:val="17"/>
          <w:szCs w:val="17"/>
          <w:color w:val="auto"/>
        </w:rPr>
      </w:pPr>
      <w:r>
        <w:rPr>
          <w:rFonts w:ascii="Arial" w:cs="Arial" w:eastAsia="Arial" w:hAnsi="Arial"/>
          <w:sz w:val="17"/>
          <w:szCs w:val="17"/>
          <w:color w:val="auto"/>
        </w:rPr>
        <w:t>E. Shaw Oculus Portfolios, L.L.C. has the power to vote or to direct the vote of (and the power to dispose or direct the disposition of) the Subject Shares directly owned by it. D. E. Shaw &amp; Co., L.P. (“</w:t>
      </w:r>
      <w:r>
        <w:rPr>
          <w:rFonts w:ascii="Arial" w:cs="Arial" w:eastAsia="Arial" w:hAnsi="Arial"/>
          <w:sz w:val="17"/>
          <w:szCs w:val="17"/>
          <w:i w:val="1"/>
          <w:iCs w:val="1"/>
          <w:color w:val="auto"/>
        </w:rPr>
        <w:t>DESCO LP</w:t>
      </w:r>
      <w:r>
        <w:rPr>
          <w:rFonts w:ascii="Arial" w:cs="Arial" w:eastAsia="Arial" w:hAnsi="Arial"/>
          <w:sz w:val="17"/>
          <w:szCs w:val="17"/>
          <w:color w:val="auto"/>
        </w:rPr>
        <w:t>”), as the investment adviser of D. E. Shaw Oculus Portfolios, L.L.C., may be deemed to have the shared power to vote or direct the vote of (and the shared power to dispose or direct the disposition of) the Subject Shares. D. E. Shaw &amp; Co., L.L.C. (“</w:t>
      </w:r>
      <w:r>
        <w:rPr>
          <w:rFonts w:ascii="Arial" w:cs="Arial" w:eastAsia="Arial" w:hAnsi="Arial"/>
          <w:sz w:val="17"/>
          <w:szCs w:val="17"/>
          <w:i w:val="1"/>
          <w:iCs w:val="1"/>
          <w:color w:val="auto"/>
        </w:rPr>
        <w:t>DESCO LLC</w:t>
      </w:r>
      <w:r>
        <w:rPr>
          <w:rFonts w:ascii="Arial" w:cs="Arial" w:eastAsia="Arial" w:hAnsi="Arial"/>
          <w:sz w:val="17"/>
          <w:szCs w:val="17"/>
          <w:color w:val="auto"/>
        </w:rPr>
        <w:t>”), as the manager of D. E. Shaw Oculus Portfolios, L.L.C., may be deemed to have the shared power to vote or direct the vote of (and the shared power to dispose or direct the disposition of) the Subject Shares. Julius Gaudio, Maximilian Stone, and Eric Wepsic, or their designees, exercise voting and investment control over the Subject Shares on DESCO LP’s and DESCO LLC’s behalf. D. E. Shaw &amp; Co., Inc. (“</w:t>
      </w:r>
      <w:r>
        <w:rPr>
          <w:rFonts w:ascii="Arial" w:cs="Arial" w:eastAsia="Arial" w:hAnsi="Arial"/>
          <w:sz w:val="17"/>
          <w:szCs w:val="17"/>
          <w:i w:val="1"/>
          <w:iCs w:val="1"/>
          <w:color w:val="auto"/>
        </w:rPr>
        <w:t>DESCO Inc.</w:t>
      </w:r>
      <w:r>
        <w:rPr>
          <w:rFonts w:ascii="Arial" w:cs="Arial" w:eastAsia="Arial" w:hAnsi="Arial"/>
          <w:sz w:val="17"/>
          <w:szCs w:val="17"/>
          <w:color w:val="auto"/>
        </w:rPr>
        <w:t>”), as general partner of DESCO LP, may be deemed to have the shared power to vote or direct the vote of (and the shared power to dispose or direct the disposition of) the Subject Shares. D. E. Shaw &amp; Co. II, Inc. (“</w:t>
      </w:r>
      <w:r>
        <w:rPr>
          <w:rFonts w:ascii="Arial" w:cs="Arial" w:eastAsia="Arial" w:hAnsi="Arial"/>
          <w:sz w:val="17"/>
          <w:szCs w:val="17"/>
          <w:i w:val="1"/>
          <w:iCs w:val="1"/>
          <w:color w:val="auto"/>
        </w:rPr>
        <w:t>DESCO II Inc.</w:t>
      </w:r>
      <w:r>
        <w:rPr>
          <w:rFonts w:ascii="Arial" w:cs="Arial" w:eastAsia="Arial" w:hAnsi="Arial"/>
          <w:sz w:val="17"/>
          <w:szCs w:val="17"/>
          <w:color w:val="auto"/>
        </w:rPr>
        <w:t>”), as managing member of DESCO LLC, may be deemed to have the shared power to vote or direct the vote of (and the shared power to dispose or direct the disposition of) the Subject Shares. None of DESCO LP, DESCO LLC, DESCO Inc., or DESCO II Inc. owns any shares of the Company directly, and each such entity disclaims beneficial ownership of the Subject Shares. David</w:t>
      </w:r>
    </w:p>
    <w:p>
      <w:pPr>
        <w:spacing w:after="0" w:line="2" w:lineRule="exact"/>
        <w:rPr>
          <w:rFonts w:ascii="Arial" w:cs="Arial" w:eastAsia="Arial" w:hAnsi="Arial"/>
          <w:sz w:val="17"/>
          <w:szCs w:val="17"/>
          <w:color w:val="auto"/>
        </w:rPr>
      </w:pPr>
    </w:p>
    <w:p>
      <w:pPr>
        <w:ind w:left="1620" w:right="439"/>
        <w:spacing w:after="0" w:line="269" w:lineRule="auto"/>
        <w:tabs>
          <w:tab w:leader="none" w:pos="1831" w:val="left"/>
        </w:tabs>
        <w:numPr>
          <w:ilvl w:val="1"/>
          <w:numId w:val="92"/>
        </w:numPr>
        <w:rPr>
          <w:rFonts w:ascii="Arial" w:cs="Arial" w:eastAsia="Arial" w:hAnsi="Arial"/>
          <w:sz w:val="17"/>
          <w:szCs w:val="17"/>
          <w:color w:val="auto"/>
        </w:rPr>
      </w:pPr>
      <w:r>
        <w:rPr>
          <w:rFonts w:ascii="Arial" w:cs="Arial" w:eastAsia="Arial" w:hAnsi="Arial"/>
          <w:sz w:val="17"/>
          <w:szCs w:val="17"/>
          <w:color w:val="auto"/>
        </w:rPr>
        <w:t>Shaw does not own any shares of the Company directly. By virtue of David E. Shaw’s position as President and sole shareholder of DESCO Inc., which is the general partner of DESCO LP, and by virtue of David E. Shaw’s position as President and sole shareholder of DESCO II Inc., which is the managing member of DESCO LLC, David E. Shaw may be deemed to have the shared power to vote or direct the vote of (and the shared power to dispose or direct the disposition of) the Subject Shares and, therefore, David E. Shaw may be deemed to be the beneficial owner of the Subject Shares. David E. Shaw disclaims beneficial ownership of the Subject Shares.</w:t>
      </w:r>
    </w:p>
    <w:p>
      <w:pPr>
        <w:spacing w:after="0" w:line="31" w:lineRule="exact"/>
        <w:rPr>
          <w:rFonts w:ascii="Arial" w:cs="Arial" w:eastAsia="Arial" w:hAnsi="Arial"/>
          <w:sz w:val="17"/>
          <w:szCs w:val="17"/>
          <w:color w:val="auto"/>
        </w:rPr>
      </w:pPr>
    </w:p>
    <w:p>
      <w:pPr>
        <w:ind w:left="1620" w:right="499" w:hanging="360"/>
        <w:spacing w:after="0" w:line="267" w:lineRule="auto"/>
        <w:tabs>
          <w:tab w:leader="none" w:pos="16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 E. Shaw Oculus Portfolios, L.L.C. may be deemed an affiliate of D. E. Shaw Securities, L.L.C., a registered broker-dealer, which will not be involved in the offering or distribution of the Class A common stock to be registered pursuant to the registration statement of which this prospectus forms a part. Based on information provided by the Selling Securityholder, the Selling Securityholder acquired the shares for investment purposes and, at the time of the acquisition of such shares, the Selling Securityholder did not have any agreements or understandings with any person to distribute such shares. D. E. Shaw Valence Portfolios, L.L.C. holds the shares offered hereby (the “</w:t>
      </w:r>
      <w:r>
        <w:rPr>
          <w:rFonts w:ascii="Arial" w:cs="Arial" w:eastAsia="Arial" w:hAnsi="Arial"/>
          <w:sz w:val="17"/>
          <w:szCs w:val="17"/>
          <w:i w:val="1"/>
          <w:iCs w:val="1"/>
          <w:color w:val="auto"/>
        </w:rPr>
        <w:t>Subject Shares</w:t>
      </w:r>
      <w:r>
        <w:rPr>
          <w:rFonts w:ascii="Arial" w:cs="Arial" w:eastAsia="Arial" w:hAnsi="Arial"/>
          <w:sz w:val="17"/>
          <w:szCs w:val="17"/>
          <w:color w:val="auto"/>
        </w:rPr>
        <w:t>”).</w:t>
      </w:r>
    </w:p>
    <w:p>
      <w:pPr>
        <w:spacing w:after="0" w:line="4" w:lineRule="exact"/>
        <w:rPr>
          <w:rFonts w:ascii="Arial" w:cs="Arial" w:eastAsia="Arial" w:hAnsi="Arial"/>
          <w:sz w:val="17"/>
          <w:szCs w:val="17"/>
          <w:color w:val="auto"/>
        </w:rPr>
      </w:pPr>
    </w:p>
    <w:p>
      <w:pPr>
        <w:ind w:left="1620" w:right="499"/>
        <w:spacing w:after="0" w:line="265" w:lineRule="auto"/>
        <w:tabs>
          <w:tab w:leader="none" w:pos="1851" w:val="left"/>
        </w:tabs>
        <w:numPr>
          <w:ilvl w:val="1"/>
          <w:numId w:val="92"/>
        </w:numPr>
        <w:rPr>
          <w:rFonts w:ascii="Arial" w:cs="Arial" w:eastAsia="Arial" w:hAnsi="Arial"/>
          <w:sz w:val="17"/>
          <w:szCs w:val="17"/>
          <w:color w:val="auto"/>
        </w:rPr>
      </w:pPr>
      <w:r>
        <w:rPr>
          <w:rFonts w:ascii="Arial" w:cs="Arial" w:eastAsia="Arial" w:hAnsi="Arial"/>
          <w:sz w:val="17"/>
          <w:szCs w:val="17"/>
          <w:color w:val="auto"/>
        </w:rPr>
        <w:t>E. Shaw Valence Portfolios, L.L.C. has the power to vote or to direct the vote of (and the power to dispose or direct the disposition of) the Subject Shares directly owned by it. D. E. Shaw &amp; Co., L.P. (“</w:t>
      </w:r>
      <w:r>
        <w:rPr>
          <w:rFonts w:ascii="Arial" w:cs="Arial" w:eastAsia="Arial" w:hAnsi="Arial"/>
          <w:sz w:val="17"/>
          <w:szCs w:val="17"/>
          <w:i w:val="1"/>
          <w:iCs w:val="1"/>
          <w:color w:val="auto"/>
        </w:rPr>
        <w:t>DESCO LP</w:t>
      </w:r>
      <w:r>
        <w:rPr>
          <w:rFonts w:ascii="Arial" w:cs="Arial" w:eastAsia="Arial" w:hAnsi="Arial"/>
          <w:sz w:val="17"/>
          <w:szCs w:val="17"/>
          <w:color w:val="auto"/>
        </w:rPr>
        <w:t>”), as the investment adviser of D. E. Shaw Valence Portfolios, L.L.C., may be deemed to have the shared power to vote or direct the vote of (and the shared power to dispose or direct the disposition of) the Subject Shares. D. E. Shaw &amp; Co., L.L.C. (“</w:t>
      </w:r>
      <w:r>
        <w:rPr>
          <w:rFonts w:ascii="Arial" w:cs="Arial" w:eastAsia="Arial" w:hAnsi="Arial"/>
          <w:sz w:val="17"/>
          <w:szCs w:val="17"/>
          <w:i w:val="1"/>
          <w:iCs w:val="1"/>
          <w:color w:val="auto"/>
        </w:rPr>
        <w:t>DESCO LLC</w:t>
      </w:r>
      <w:r>
        <w:rPr>
          <w:rFonts w:ascii="Arial" w:cs="Arial" w:eastAsia="Arial" w:hAnsi="Arial"/>
          <w:sz w:val="17"/>
          <w:szCs w:val="17"/>
          <w:color w:val="auto"/>
        </w:rPr>
        <w:t>”), as the manager of</w:t>
      </w:r>
    </w:p>
    <w:p>
      <w:pPr>
        <w:ind w:left="1620" w:right="459"/>
        <w:spacing w:after="0" w:line="271" w:lineRule="auto"/>
        <w:tabs>
          <w:tab w:leader="none" w:pos="1851" w:val="left"/>
        </w:tabs>
        <w:numPr>
          <w:ilvl w:val="1"/>
          <w:numId w:val="93"/>
        </w:numPr>
        <w:rPr>
          <w:rFonts w:ascii="Arial" w:cs="Arial" w:eastAsia="Arial" w:hAnsi="Arial"/>
          <w:sz w:val="17"/>
          <w:szCs w:val="17"/>
          <w:color w:val="auto"/>
        </w:rPr>
      </w:pPr>
      <w:r>
        <w:rPr>
          <w:rFonts w:ascii="Arial" w:cs="Arial" w:eastAsia="Arial" w:hAnsi="Arial"/>
          <w:sz w:val="17"/>
          <w:szCs w:val="17"/>
          <w:color w:val="auto"/>
        </w:rPr>
        <w:t>E. Shaw Valence Portfolios, L.L.C., may be deemed to have the shared power to vote or direct the vote of (and the shared power to dispose or direct the disposition of) the Subject Shares. Julius Gaudio, Maximilian Stone, and Eric Wepsic, or their designees, exercise voting and investment control over the Subject Shares on DESCO LP’s and DESCO LLC’s behalf. D. E. Shaw &amp; Co., Inc. (“</w:t>
      </w:r>
      <w:r>
        <w:rPr>
          <w:rFonts w:ascii="Arial" w:cs="Arial" w:eastAsia="Arial" w:hAnsi="Arial"/>
          <w:sz w:val="17"/>
          <w:szCs w:val="17"/>
          <w:i w:val="1"/>
          <w:iCs w:val="1"/>
          <w:color w:val="auto"/>
        </w:rPr>
        <w:t>DESCO Inc.</w:t>
      </w:r>
      <w:r>
        <w:rPr>
          <w:rFonts w:ascii="Arial" w:cs="Arial" w:eastAsia="Arial" w:hAnsi="Arial"/>
          <w:sz w:val="17"/>
          <w:szCs w:val="17"/>
          <w:color w:val="auto"/>
        </w:rPr>
        <w:t>”), as general partner of DESCO LP, may be deemed to have the shared power to vote or direct the vote</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2" w:name="page153"/>
    <w:bookmarkEnd w:id="1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spacing w:after="0" w:line="252" w:lineRule="auto"/>
        <w:rPr>
          <w:sz w:val="20"/>
          <w:szCs w:val="20"/>
          <w:color w:val="auto"/>
        </w:rPr>
      </w:pPr>
      <w:r>
        <w:rPr>
          <w:rFonts w:ascii="Arial" w:cs="Arial" w:eastAsia="Arial" w:hAnsi="Arial"/>
          <w:sz w:val="17"/>
          <w:szCs w:val="17"/>
          <w:color w:val="auto"/>
        </w:rPr>
        <w:t xml:space="preserve">of (and the shared power to dispose or direct the disposition of) the Subject Shares. D. E. Shaw &amp; Co. II, Inc. (“ </w:t>
      </w:r>
      <w:r>
        <w:rPr>
          <w:rFonts w:ascii="Arial" w:cs="Arial" w:eastAsia="Arial" w:hAnsi="Arial"/>
          <w:sz w:val="17"/>
          <w:szCs w:val="17"/>
          <w:i w:val="1"/>
          <w:iCs w:val="1"/>
          <w:color w:val="auto"/>
        </w:rPr>
        <w:t>DESCO II Inc.</w:t>
      </w:r>
      <w:r>
        <w:rPr>
          <w:rFonts w:ascii="Arial" w:cs="Arial" w:eastAsia="Arial" w:hAnsi="Arial"/>
          <w:sz w:val="17"/>
          <w:szCs w:val="17"/>
          <w:color w:val="auto"/>
        </w:rPr>
        <w:t>”), as managing member of DESCO LLC, may be deemed to have the shared power to vote or direct the vote of (and the shared power to dispose or direct the disposition of) the Subject Shares. None of DESCO LP, DESCO LLC, DESCO Inc., or DESCO II Inc. owns any shares of the Company directly, and each such entity disclaims beneficial ownership of the Subject Shares. David E. Shaw does not own any shares of the Company directly. By virtue of David E. Shaw’s position as President and sole shareholder of DESCO Inc., which is the general partner of DESCO LP, and by virtue of David E. Shaw’s position as President and sole shareholder of DESCO II Inc., which is the managing member of DESCO LLC, David E. Shaw may be deemed to have the shared power to vote or direct the vote of (and the shared power to dispose or direct the disposition of) the Subject Shares and, therefore, David E. Shaw may be deemed to be the beneficial owner of the Subject Shares. David E. Shaw disclaims beneficial ownership of the Subject Shares.</w:t>
      </w:r>
    </w:p>
    <w:p>
      <w:pPr>
        <w:spacing w:after="0" w:line="35" w:lineRule="exact"/>
        <w:rPr>
          <w:sz w:val="20"/>
          <w:szCs w:val="20"/>
          <w:color w:val="auto"/>
        </w:rPr>
      </w:pPr>
    </w:p>
    <w:p>
      <w:pPr>
        <w:ind w:left="1620" w:right="419" w:hanging="360"/>
        <w:spacing w:after="0" w:line="254"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Diameter Capital Partners LP is the investment manager of Diameter Master Fund LP and, therefore, has investment and voting power over these Class A common stock. Scott Goodwin and Jonathan Lewinsohn, as the sole managing members of the general partner of the investment manager, make voting and investment decisions on behalf of the investment manager. As a result, the investment manager, Mr. Goodwin and Mr. Lewinsohn may be deemed to be the beneficial owners of these Class A common stock. Notwithstanding the foregoing, each of Mr. Goodwin and Mr. Lewinsohn disclaim any such beneficial ownership. The business address of Diameter Master Fund LP is 55 Hudson Yards, 29th Floor, New York, NY 10001.</w:t>
      </w:r>
    </w:p>
    <w:p>
      <w:pPr>
        <w:spacing w:after="0" w:line="43" w:lineRule="exact"/>
        <w:rPr>
          <w:rFonts w:ascii="Arial" w:cs="Arial" w:eastAsia="Arial" w:hAnsi="Arial"/>
          <w:sz w:val="18"/>
          <w:szCs w:val="18"/>
          <w:color w:val="auto"/>
        </w:rPr>
      </w:pPr>
    </w:p>
    <w:p>
      <w:pPr>
        <w:ind w:left="1620" w:right="419" w:hanging="360"/>
        <w:spacing w:after="0" w:line="254"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4,333,333 shares of Class A common stock held by Dragoneer Global Fund II, L.P. (the “</w:t>
      </w:r>
      <w:r>
        <w:rPr>
          <w:rFonts w:ascii="Arial" w:cs="Arial" w:eastAsia="Arial" w:hAnsi="Arial"/>
          <w:sz w:val="18"/>
          <w:szCs w:val="18"/>
          <w:i w:val="1"/>
          <w:iCs w:val="1"/>
          <w:color w:val="auto"/>
        </w:rPr>
        <w:t>Fund</w:t>
      </w:r>
      <w:r>
        <w:rPr>
          <w:rFonts w:ascii="Arial" w:cs="Arial" w:eastAsia="Arial" w:hAnsi="Arial"/>
          <w:sz w:val="18"/>
          <w:szCs w:val="18"/>
          <w:color w:val="auto"/>
        </w:rPr>
        <w:t>”). The Fund’s registered investment adviser is Dragoneer Investment Group, LLC (“</w:t>
      </w:r>
      <w:r>
        <w:rPr>
          <w:rFonts w:ascii="Arial" w:cs="Arial" w:eastAsia="Arial" w:hAnsi="Arial"/>
          <w:sz w:val="18"/>
          <w:szCs w:val="18"/>
          <w:i w:val="1"/>
          <w:iCs w:val="1"/>
          <w:color w:val="auto"/>
        </w:rPr>
        <w:t>Dragoneer Adviser</w:t>
      </w:r>
      <w:r>
        <w:rPr>
          <w:rFonts w:ascii="Arial" w:cs="Arial" w:eastAsia="Arial" w:hAnsi="Arial"/>
          <w:sz w:val="18"/>
          <w:szCs w:val="18"/>
          <w:color w:val="auto"/>
        </w:rPr>
        <w:t>”). Cardinal DIG CC, LLC (“</w:t>
      </w:r>
      <w:r>
        <w:rPr>
          <w:rFonts w:ascii="Arial" w:cs="Arial" w:eastAsia="Arial" w:hAnsi="Arial"/>
          <w:sz w:val="18"/>
          <w:szCs w:val="18"/>
          <w:i w:val="1"/>
          <w:iCs w:val="1"/>
          <w:color w:val="auto"/>
        </w:rPr>
        <w:t>Cardinal</w:t>
      </w:r>
      <w:r>
        <w:rPr>
          <w:rFonts w:ascii="Arial" w:cs="Arial" w:eastAsia="Arial" w:hAnsi="Arial"/>
          <w:sz w:val="18"/>
          <w:szCs w:val="18"/>
          <w:color w:val="auto"/>
        </w:rPr>
        <w:t>” and together with the Fund and Dragoneer Adviser, the “</w:t>
      </w:r>
      <w:r>
        <w:rPr>
          <w:rFonts w:ascii="Arial" w:cs="Arial" w:eastAsia="Arial" w:hAnsi="Arial"/>
          <w:sz w:val="18"/>
          <w:szCs w:val="18"/>
          <w:i w:val="1"/>
          <w:iCs w:val="1"/>
          <w:color w:val="auto"/>
        </w:rPr>
        <w:t>Dragoneer Entities</w:t>
      </w:r>
      <w:r>
        <w:rPr>
          <w:rFonts w:ascii="Arial" w:cs="Arial" w:eastAsia="Arial" w:hAnsi="Arial"/>
          <w:sz w:val="18"/>
          <w:szCs w:val="18"/>
          <w:color w:val="auto"/>
        </w:rPr>
        <w:t>”) is the managing member of Dragoneer Adviser. Marc Stad is the sole member of Cardinal. By virtue of these relationships, Marc Stad and each of the Dragoneer Entities may be deemed to share voting and dispositive power with respect to the shares offered hereby. The business address for Mr. Stad and each of the Dragoneer Entities is 1 Letterman Drive, Building D M-500, San Francisco, CA 94129.</w:t>
      </w:r>
    </w:p>
    <w:p>
      <w:pPr>
        <w:spacing w:after="0" w:line="43" w:lineRule="exact"/>
        <w:rPr>
          <w:rFonts w:ascii="Arial" w:cs="Arial" w:eastAsia="Arial" w:hAnsi="Arial"/>
          <w:sz w:val="18"/>
          <w:szCs w:val="18"/>
          <w:color w:val="auto"/>
        </w:rPr>
      </w:pPr>
    </w:p>
    <w:p>
      <w:pPr>
        <w:ind w:left="1620" w:right="419" w:hanging="360"/>
        <w:spacing w:after="0" w:line="269" w:lineRule="auto"/>
        <w:tabs>
          <w:tab w:leader="none" w:pos="16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Shares beneficially owned include 110,332 shares of Class A common stock held by LMA SPC-MAP 112 Segregated Portfolio, 260,797 shares of Class A common stock held by DSAM Alpha+ Master Fund, 133,333 shares of Class A common stock held by DSAM Co-Invest Ltd, and 335,056 shares of Class A common stock held by DSAM+ Master Fund. Shares offered hereby consist of 63,733 shares of Class A common stock held by LMA SPC-MAP 112 Segregated Portfolio, 172,374 shares of Class A common stock held by DSAM Alpha+ Master fund, 133,333 shares of Class A common stock held by DSAM Co-Invest Ltd, and 205,867 shares of Class A common stock held by DSAM+ Master Fund. DSAM Partners (London) Ltd. (the “</w:t>
      </w:r>
      <w:r>
        <w:rPr>
          <w:rFonts w:ascii="Arial" w:cs="Arial" w:eastAsia="Arial" w:hAnsi="Arial"/>
          <w:sz w:val="17"/>
          <w:szCs w:val="17"/>
          <w:i w:val="1"/>
          <w:iCs w:val="1"/>
          <w:color w:val="auto"/>
        </w:rPr>
        <w:t>Investment Advisor</w:t>
      </w:r>
      <w:r>
        <w:rPr>
          <w:rFonts w:ascii="Arial" w:cs="Arial" w:eastAsia="Arial" w:hAnsi="Arial"/>
          <w:sz w:val="17"/>
          <w:szCs w:val="17"/>
          <w:color w:val="auto"/>
        </w:rPr>
        <w:t>”) is the investment advisor to such funds and as such may be deemed to have voting and investment power over the shares held by the funds. The Investment Advisor is ultimately controlled by Mr. Guy Shahar. The funds and Mr. Shahar disclaim beneficial ownership of the shares listed above.</w:t>
      </w:r>
    </w:p>
    <w:p>
      <w:pPr>
        <w:spacing w:after="0" w:line="46" w:lineRule="exact"/>
        <w:rPr>
          <w:rFonts w:ascii="Arial" w:cs="Arial" w:eastAsia="Arial" w:hAnsi="Arial"/>
          <w:sz w:val="17"/>
          <w:szCs w:val="17"/>
          <w:color w:val="auto"/>
        </w:rPr>
      </w:pPr>
    </w:p>
    <w:p>
      <w:pPr>
        <w:ind w:left="1620" w:right="499" w:hanging="360"/>
        <w:spacing w:after="0" w:line="254"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Shares offered hereby consist of 666,667 shares of Class A common stock held by Empyrean Capital Overseas Master Fund, Ltd. (“</w:t>
      </w:r>
      <w:r>
        <w:rPr>
          <w:rFonts w:ascii="Arial" w:cs="Arial" w:eastAsia="Arial" w:hAnsi="Arial"/>
          <w:sz w:val="18"/>
          <w:szCs w:val="18"/>
          <w:i w:val="1"/>
          <w:iCs w:val="1"/>
          <w:color w:val="auto"/>
        </w:rPr>
        <w:t>ECOMF</w:t>
      </w:r>
      <w:r>
        <w:rPr>
          <w:rFonts w:ascii="Arial" w:cs="Arial" w:eastAsia="Arial" w:hAnsi="Arial"/>
          <w:sz w:val="18"/>
          <w:szCs w:val="18"/>
          <w:color w:val="auto"/>
        </w:rPr>
        <w:t>”). Empyrean Capital Partners, LP (“</w:t>
      </w:r>
      <w:r>
        <w:rPr>
          <w:rFonts w:ascii="Arial" w:cs="Arial" w:eastAsia="Arial" w:hAnsi="Arial"/>
          <w:sz w:val="18"/>
          <w:szCs w:val="18"/>
          <w:i w:val="1"/>
          <w:iCs w:val="1"/>
          <w:color w:val="auto"/>
        </w:rPr>
        <w:t>Empyrean</w:t>
      </w:r>
      <w:r>
        <w:rPr>
          <w:rFonts w:ascii="Arial" w:cs="Arial" w:eastAsia="Arial" w:hAnsi="Arial"/>
          <w:sz w:val="18"/>
          <w:szCs w:val="18"/>
          <w:color w:val="auto"/>
        </w:rPr>
        <w:t>”) serves as investment manager to ECOMF, and has voting and investment control of the shares held by ECOMF. Empyrean Capital, LLC serves as the general partner to Empyrean. Amos Meron is the managing member of Empyrean Capital, LLC, and as such may be deemed to have voting and dispositive control of the shares held by ECOMF. The address of each of ECOMF, Empyrean, Empyrean Capital, LLC, and Amos Meron is c/o Empyrean Capital Partners, LP, 10250 Constellation Boulevard, Suite 2950, Los Angeles, CA 90067.</w:t>
      </w:r>
    </w:p>
    <w:p>
      <w:pPr>
        <w:spacing w:after="0" w:line="43" w:lineRule="exact"/>
        <w:rPr>
          <w:rFonts w:ascii="Arial" w:cs="Arial" w:eastAsia="Arial" w:hAnsi="Arial"/>
          <w:sz w:val="18"/>
          <w:szCs w:val="18"/>
          <w:color w:val="auto"/>
        </w:rPr>
      </w:pPr>
    </w:p>
    <w:p>
      <w:pPr>
        <w:ind w:left="1620" w:right="559" w:hanging="360"/>
        <w:spacing w:after="0" w:line="254"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9,900 shares of Class A common stock held by Fidelity Select Portfolios: Select Automotive Portfolio, 534,050 shares of Class A common stock held by Fidelity Select Portfolios: Technology Portfolio, 359,755 shares of Class A common stock held by Fidelity Puritan Trust: Fidelity Balanced Fund — Information Technology Sub, 48,422 shares of Class A common stock held by Fidelity Advisor Series I: Fidelity Advisor Balanced Fund — Information Technology Sub, 52,477 shares of Class A common stock held by Variable Insurance Products Fund III: VIP Balanced Portfolio — Information Technology Sub, 5,296 shares of Class A common</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3" w:name="page154"/>
    <w:bookmarkEnd w:id="1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49" w:lineRule="auto"/>
        <w:rPr>
          <w:sz w:val="20"/>
          <w:szCs w:val="20"/>
          <w:color w:val="auto"/>
        </w:rPr>
      </w:pPr>
      <w:r>
        <w:rPr>
          <w:rFonts w:ascii="Arial" w:cs="Arial" w:eastAsia="Arial" w:hAnsi="Arial"/>
          <w:sz w:val="17"/>
          <w:szCs w:val="17"/>
          <w:color w:val="auto"/>
        </w:rPr>
        <w:t>stock held by Fidelity Puritan Trust: Fidelity Balanced K6 Fund — Information Technology Sub-portfolio, 211,400 shares of Class A common stock held by Fidelity Advisor Series VII: Fidelity Advisor Technology Fund, 79,100 shares of Class A common stock held by Variable Insurance Products Fund IV: VIP Technology Portfolio, 156,100 shares of Class A common stock held by Variable Insurance Products Fund III: VIP Growth Opportunities Portfolio, 1,056,300 shares of Class A common stock held by Fidelity Advisor Series I: Fidelity Advisor Growth Opportunities Fund, 36,400 shares of Class A common stock held by Fidelity Advisor Series I: Fidelity Advisor Series Growth Opportunities Fund, 14,126 shares of Class A common stock held by Fidelity U.S. Growth Opportunities Investment Trust by its manager Fidelity Investments Canada ULC, 62,208 shares of Class A common stock held by Fidelity NorthStar Fund by its manager Fidelity Investments Canada ULC, 656,000 shares of Class A common stock held by Fidelity Mt. Vernon Street Trust: Fidelity Series Growth Company Fund, 3,081,200 shares of Class A common stock held by Fidelity Mt. Vernon Street Trust: Fidelity Growth Company Fund, 3,131,100 shares of Class A common stock held by Fidelity Growth Company Commingled Pool by: Fidelity Management Trust Company, as Trustee, 478,300 shares of Class A common stock held by Fidelity Mt. Vernon Street Trust: Fidelity Growth Company K6 Fund, 2,496,600 shares of Class A common stock held by Fidelity Securities Fund: Fidelity Blue Chip Growth Fund, 88,700 shares of Class A common stock held by Fidelity Blue Chip Growth Commingled Pool by: Fidelity Management Trust Company, as Trustee, 5,700 shares of Class A common stock held by Fidelity Securities Fund: Fidelity Flex Large Cap Growth Fund, 274,400 shares of Class A common stock held by Fidelity Securities Fund: Fidelity Blue Chip Growth K6 Fund, 6,700 shares of Class A common stock held by Fidelity Blue Chip Growth Institutional Trust by its manager Fidelity Investments Canada ULC, 293,500 shares of Class A common stock held by Fidelity Securities Fund: Fidelity Series Blue Chip Growth Fund, and 195,600 shares of Class A common stock held by FIAM Target Date Blue Chip Growth Commingled Pool by: Fidelity Institutional Asset Management Trust Company, as Trustee.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w:t>
      </w:r>
      <w:r>
        <w:rPr>
          <w:rFonts w:ascii="Arial" w:cs="Arial" w:eastAsia="Arial" w:hAnsi="Arial"/>
          <w:sz w:val="17"/>
          <w:szCs w:val="17"/>
          <w:i w:val="1"/>
          <w:iCs w:val="1"/>
          <w:color w:val="auto"/>
        </w:rPr>
        <w:t>Fidelity Funds</w:t>
      </w:r>
      <w:r>
        <w:rPr>
          <w:rFonts w:ascii="Arial" w:cs="Arial" w:eastAsia="Arial" w:hAnsi="Arial"/>
          <w:sz w:val="17"/>
          <w:szCs w:val="17"/>
          <w:color w:val="auto"/>
        </w:rPr>
        <w:t>”) advised by Fidelity Management &amp; Research Company (“</w:t>
      </w:r>
      <w:r>
        <w:rPr>
          <w:rFonts w:ascii="Arial" w:cs="Arial" w:eastAsia="Arial" w:hAnsi="Arial"/>
          <w:sz w:val="17"/>
          <w:szCs w:val="17"/>
          <w:i w:val="1"/>
          <w:iCs w:val="1"/>
          <w:color w:val="auto"/>
        </w:rPr>
        <w:t>FMR Co</w:t>
      </w:r>
      <w:r>
        <w:rPr>
          <w:rFonts w:ascii="Arial" w:cs="Arial" w:eastAsia="Arial" w:hAnsi="Arial"/>
          <w:sz w:val="17"/>
          <w:szCs w:val="17"/>
          <w:color w:val="auto"/>
        </w:rPr>
        <w:t>”), a wholly owned subsidiary of FMR LLC, which power resides with the Fidelity Funds’ Boards of Trustees. Fidelity Management &amp; Research Company carries out the voting of the shares under written guidelines established by the Fidelity Funds’ Boards of Trustees. None of the Securityholders are registered broker-dealers. The Securityholders are affiliates of registered broker-dealers. The Securityholders acquired the shares in the ordinary course of business. The Securityholders, at the time of purchase of the shares, had no agreements, plans or understandings, directly or indirectly, with any person to distribute the shares.</w:t>
      </w:r>
    </w:p>
    <w:p>
      <w:pPr>
        <w:spacing w:after="0" w:line="257" w:lineRule="exact"/>
        <w:rPr>
          <w:sz w:val="20"/>
          <w:szCs w:val="20"/>
          <w:color w:val="auto"/>
        </w:rPr>
      </w:pPr>
    </w:p>
    <w:p>
      <w:pPr>
        <w:ind w:left="1620" w:right="519" w:hanging="360"/>
        <w:spacing w:after="0" w:line="268" w:lineRule="auto"/>
        <w:tabs>
          <w:tab w:leader="none" w:pos="16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shares beneficially owned and offered hereby include 141,414 shares of Class A common stock held by Franklin Strategic Series — Franklin Natural Resources Fund, 2,167,003 shares of Class A common stock held by Franklin Strategic Series — Franklin Growth Opportunities Fund, 728,215 shares of Class A common stock held by Franklin Strategic Series — Franklin Small-Mid Cap Growth Fund, 4,040,405 shares of Class A common stock held by Franklin Custodian Funds — Franklin Growth Fund, 262,626 shares of Class A common stock held by Franklin Templeton Investment Funds</w:t>
      </w:r>
    </w:p>
    <w:p>
      <w:pPr>
        <w:ind w:left="1620" w:right="479"/>
        <w:spacing w:after="0" w:line="269" w:lineRule="auto"/>
        <w:rPr>
          <w:rFonts w:ascii="Arial" w:cs="Arial" w:eastAsia="Arial" w:hAnsi="Arial"/>
          <w:sz w:val="17"/>
          <w:szCs w:val="17"/>
          <w:color w:val="auto"/>
        </w:rPr>
      </w:pPr>
      <w:r>
        <w:rPr>
          <w:rFonts w:ascii="Arial" w:cs="Arial" w:eastAsia="Arial" w:hAnsi="Arial"/>
          <w:sz w:val="17"/>
          <w:szCs w:val="17"/>
          <w:color w:val="auto"/>
        </w:rPr>
        <w:t>— Franklin Natural Resources Fund, 79,866 shares of Class A common stock held by Franklin Templeton Variable Insurance Products Trust — Franklin Small-Mid Cap Growth VIP Fund, 1,200,000 shares of Class A common stock held by Franklin Templeton Investment Funds — Franklin US Opportunities Fund and 4,713,805 shares of Class A common stock held by Franklin Templeton Investment Funds — Franklin Technology Fund. Additional shares beneficially owned but not offered hereby include 11,802 shares of Class A common stock held by Franklin Templeton Variable Insurance Products Trust — Franklin Large Cap Growth VIP Fund, 14,448 shares of Class A common stock held</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spacing w:after="0" w:line="250" w:lineRule="auto"/>
        <w:rPr>
          <w:sz w:val="20"/>
          <w:szCs w:val="20"/>
          <w:color w:val="auto"/>
        </w:rPr>
      </w:pPr>
      <w:r>
        <w:rPr>
          <w:rFonts w:ascii="Arial" w:cs="Arial" w:eastAsia="Arial" w:hAnsi="Arial"/>
          <w:sz w:val="17"/>
          <w:szCs w:val="17"/>
          <w:color w:val="auto"/>
        </w:rPr>
        <w:t>by Franklin Templeton Funds — Franklin US Opportunities Fund, 26,092 shares of Class A common stock held by Franklin U.S. Opportunities Fund and 29,815 shares of Class A common stock held by Franklin MPF US Opportunities Fund. Franklin Advisers, Inc. (“</w:t>
      </w:r>
      <w:r>
        <w:rPr>
          <w:rFonts w:ascii="Arial" w:cs="Arial" w:eastAsia="Arial" w:hAnsi="Arial"/>
          <w:sz w:val="17"/>
          <w:szCs w:val="17"/>
          <w:i w:val="1"/>
          <w:iCs w:val="1"/>
          <w:color w:val="auto"/>
        </w:rPr>
        <w:t>FAV</w:t>
      </w:r>
      <w:r>
        <w:rPr>
          <w:rFonts w:ascii="Arial" w:cs="Arial" w:eastAsia="Arial" w:hAnsi="Arial"/>
          <w:sz w:val="17"/>
          <w:szCs w:val="17"/>
          <w:color w:val="auto"/>
        </w:rPr>
        <w:t>”) is the investment manager for the funds listed above. FAV is affiliated with several FINRA members — Franklin/Templeton Distributors, Inc., Templeton/Franklin Investment Services, Inc., Franklin Templeton Financial Services Corp., Royce Fund Services, LLC, Quest Distributors, Inc., Quest Securities, Inc. and Royce Fund Services, Inc. All of these entities are indirect wholly owned subsidiaries of Franklin Resources, Inc. (“</w:t>
      </w:r>
      <w:r>
        <w:rPr>
          <w:rFonts w:ascii="Arial" w:cs="Arial" w:eastAsia="Arial" w:hAnsi="Arial"/>
          <w:sz w:val="17"/>
          <w:szCs w:val="17"/>
          <w:i w:val="1"/>
          <w:iCs w:val="1"/>
          <w:color w:val="auto"/>
        </w:rPr>
        <w:t>FRI</w:t>
      </w:r>
      <w:r>
        <w:rPr>
          <w:rFonts w:ascii="Arial" w:cs="Arial" w:eastAsia="Arial" w:hAnsi="Arial"/>
          <w:sz w:val="17"/>
          <w:szCs w:val="17"/>
          <w:color w:val="auto"/>
        </w:rPr>
        <w:t>”), the parent of FAV and only distribute funds for subsidiaries of FRI. Based on information provided by the Selling Securityholders, the Selling Securityholders acquired the shares for investment purposes, and at the time of the acquisition of the shares, the Selling Securityholders did not have any agreements or understandings with any person to distribute such shares. FAV is an indirect wholly owned subsidiary of a publicly traded company, FRI, and may be deemed to be the beneficial owner of these shares for purposes of Rule 13d-3 under the Exchange Act in its capacity as the investment adviser to such funds and accounts pursuant to investment management contracts that grant investment and/or voting power to FAV. When an investment management contract (including a sub-advisory agreement) delegates to FAV investment discretion or voting power over the securities held in the investment advisory accounts that are subject to that agreement, FRI treats FAV as having sole investment discretion or voting authority, as the case may be, unless the agreement specifies otherwise. Accordingly, FAV reports for purposes of Section 13(d) of the Exchange Act that it has sole investment discretion and voting authority over the securities covered by any such investment management agreement, unless otherwise specifically noted. The address of the Franklin Funds is c/o Franklin Advisers, Inc., One Franklin Parkway, San Mateo, California 94403.</w:t>
      </w:r>
    </w:p>
    <w:p>
      <w:pPr>
        <w:spacing w:after="0" w:line="43" w:lineRule="exact"/>
        <w:rPr>
          <w:sz w:val="20"/>
          <w:szCs w:val="20"/>
          <w:color w:val="auto"/>
        </w:rPr>
      </w:pPr>
    </w:p>
    <w:p>
      <w:pPr>
        <w:ind w:left="1620" w:right="639" w:hanging="360"/>
        <w:spacing w:after="0" w:line="277" w:lineRule="auto"/>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Ghisallo Capital Management LLC (“</w:t>
      </w:r>
      <w:r>
        <w:rPr>
          <w:rFonts w:ascii="Arial" w:cs="Arial" w:eastAsia="Arial" w:hAnsi="Arial"/>
          <w:sz w:val="18"/>
          <w:szCs w:val="18"/>
          <w:i w:val="1"/>
          <w:iCs w:val="1"/>
          <w:color w:val="auto"/>
        </w:rPr>
        <w:t>GCM</w:t>
      </w:r>
      <w:r>
        <w:rPr>
          <w:rFonts w:ascii="Arial" w:cs="Arial" w:eastAsia="Arial" w:hAnsi="Arial"/>
          <w:sz w:val="18"/>
          <w:szCs w:val="18"/>
          <w:color w:val="auto"/>
        </w:rPr>
        <w:t>”) is the investment manager of Ghisallo Master Fund LP. Michael Germino is the managing member of GCM.</w:t>
      </w:r>
    </w:p>
    <w:p>
      <w:pPr>
        <w:spacing w:after="0" w:line="21" w:lineRule="exact"/>
        <w:rPr>
          <w:rFonts w:ascii="Arial" w:cs="Arial" w:eastAsia="Arial" w:hAnsi="Arial"/>
          <w:sz w:val="18"/>
          <w:szCs w:val="18"/>
          <w:color w:val="auto"/>
        </w:rPr>
      </w:pPr>
    </w:p>
    <w:p>
      <w:pPr>
        <w:ind w:left="1620" w:right="439" w:hanging="360"/>
        <w:spacing w:after="0" w:line="254" w:lineRule="auto"/>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HBK Investments L.P., a Delaware limited partnership, has shared voting and dispositive power over the shares offered hereby pursuant to an Investment Management Agreement between HBK Investments L.P. and the Selling Securityholder. HBK Investments L.P. has delegated discretion to vote and dispose of the shares offered hereby to HBK Services LLC. The following individuals may be deemed to have control over HBK Investments LP and HBK Services LLC: Jamiel A. Akhtar, David C. Haley, Jon L. Mosle III and Matthew F. Luth. Each of HBK Services LLC and the individuals listed above disclaim beneficial ownership of any of the shares reported.</w:t>
      </w:r>
    </w:p>
    <w:p>
      <w:pPr>
        <w:spacing w:after="0" w:line="46" w:lineRule="exact"/>
        <w:rPr>
          <w:rFonts w:ascii="Arial" w:cs="Arial" w:eastAsia="Arial" w:hAnsi="Arial"/>
          <w:sz w:val="18"/>
          <w:szCs w:val="18"/>
          <w:color w:val="auto"/>
        </w:rPr>
      </w:pPr>
    </w:p>
    <w:p>
      <w:pPr>
        <w:ind w:left="1620" w:hanging="360"/>
        <w:spacing w:after="0"/>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José E. Feliciano is the beneficiary of Citibank NA as Custodian FBO José E. Feliciano.</w:t>
      </w:r>
    </w:p>
    <w:p>
      <w:pPr>
        <w:spacing w:after="0" w:line="76" w:lineRule="exact"/>
        <w:rPr>
          <w:rFonts w:ascii="Arial" w:cs="Arial" w:eastAsia="Arial" w:hAnsi="Arial"/>
          <w:sz w:val="18"/>
          <w:szCs w:val="18"/>
          <w:color w:val="auto"/>
        </w:rPr>
      </w:pPr>
    </w:p>
    <w:p>
      <w:pPr>
        <w:ind w:left="1620" w:right="479" w:hanging="360"/>
        <w:spacing w:after="0" w:line="257" w:lineRule="auto"/>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shares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 Mr. Wong share voting and dispositive power with respect to the shares held by Linden Capital L.P.</w:t>
      </w:r>
    </w:p>
    <w:p>
      <w:pPr>
        <w:spacing w:after="0" w:line="52" w:lineRule="exact"/>
        <w:rPr>
          <w:rFonts w:ascii="Arial" w:cs="Arial" w:eastAsia="Arial" w:hAnsi="Arial"/>
          <w:sz w:val="18"/>
          <w:szCs w:val="18"/>
          <w:color w:val="auto"/>
        </w:rPr>
      </w:pPr>
    </w:p>
    <w:p>
      <w:pPr>
        <w:ind w:left="1620" w:right="439" w:hanging="360"/>
        <w:spacing w:after="0" w:line="269" w:lineRule="auto"/>
        <w:tabs>
          <w:tab w:leader="none" w:pos="16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10,000 shares of Class A common stock held by Boothbay Absolute Return Strategies, LP, 15,000 shares of Class A common stock held by Boothbay Diversified Alpha Master, LP, 1,500 shares of Class A common stock held by Starr Commonwealth, 150,000 shares of Class A common stock held by HR Fund LP, 10,000 shares of Class A common stock held by BBR Fixed Income Opportunities Fund LP, 3,750 shares of Class A common stock held by BBR Absolute Return (QP), LP, 500 shares of Class A common stock held by BBR Absolute Return, LP, 600 shares of Class A common stock held by BBR Absolute Return Ltd. and 8,650 shares of Class A common stock held by LIM BCOF Special Account, Ltd. Acting as their investment advisor, Longfellow Investment Management Co., LLC is deemed to have investment discretion and shared voting control over the shares beneficially owned by their clients. David Stueher, portfolio manager, may be deemed to be the beneficial owner of the shares. The business address for Longfellow Investment Management Co., LLC is 125 High Street, Suite 832, Boston, MA 02110.</w:t>
      </w:r>
    </w:p>
    <w:p>
      <w:pPr>
        <w:spacing w:after="0" w:line="30" w:lineRule="exact"/>
        <w:rPr>
          <w:rFonts w:ascii="Arial" w:cs="Arial" w:eastAsia="Arial" w:hAnsi="Arial"/>
          <w:sz w:val="17"/>
          <w:szCs w:val="17"/>
          <w:color w:val="auto"/>
        </w:rPr>
      </w:pPr>
    </w:p>
    <w:p>
      <w:pPr>
        <w:ind w:left="1620" w:right="459" w:hanging="360"/>
        <w:spacing w:after="0" w:line="255" w:lineRule="auto"/>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shares beneficially owned and offered hereby include: (i) 6,240,000 shares of Class A common stock held by Astrum, Series 8 Holdings LLC and 1,493,334 shares of Class A common stock held by LNGH Holdings LLC, which are pledged to Citibank, N.A. and other lenders and held through Citigroup Global Markets Inc., as securities intermediary; (ii) 400,000 shares of Class A common stock held by Magnetar Capital Master Fund, Ltd, (iii) 533,333 shares of Class A common stock held by Magnetar</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5" w:name="page156"/>
    <w:bookmarkEnd w:id="1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Discovery Master Fund Ltd and (iv) 1,333,333 shares of Class A common stock held by 405 MTSV I</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LP. Additional shares beneficially owned but not offered hereby include 1,408,727 shares of Class A</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common stock issuable upon exercise of the Public Warrants held by Magnetar Constellation Master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Fund, Ltd, 398,497 shares of Class A common stock issuable upon exercise of the Public Warrants held</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Magnetar Constellation Fund II, Ltd, 524,340 shares of Class A common stock issuable upon</w:t>
      </w:r>
    </w:p>
    <w:p>
      <w:pPr>
        <w:ind w:left="1620"/>
        <w:spacing w:after="0" w:line="234" w:lineRule="auto"/>
        <w:rPr>
          <w:sz w:val="20"/>
          <w:szCs w:val="20"/>
          <w:color w:val="auto"/>
        </w:rPr>
      </w:pPr>
      <w:r>
        <w:rPr>
          <w:rFonts w:ascii="Arial" w:cs="Arial" w:eastAsia="Arial" w:hAnsi="Arial"/>
          <w:sz w:val="18"/>
          <w:szCs w:val="18"/>
          <w:color w:val="auto"/>
        </w:rPr>
        <w:t>exercise of the Public Warrants held by Magnetar Structured Credit Fund, LP, 489,384 shares of</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Class A common stock issuable upon exercise of the Public Warrants held by Magnetar Xing He Master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Fund Ltd, 374,030 shares of Class A common stock issuable upon exercise of the Public Warrants held</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by Magnetar SC Fund Ltd, 300,620 shares of Class A common stock issuable upon exercise of the</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Public Warrants held by Magnetar Lake Credit Fund LLC, and 20,000 shares of Class A common stock</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issuable upon exercise of the Public Warrants held by Magnetar Systematic Multi-Strategy Master</w:t>
      </w:r>
    </w:p>
    <w:p>
      <w:pPr>
        <w:ind w:left="1620"/>
        <w:spacing w:after="0" w:line="234" w:lineRule="auto"/>
        <w:rPr>
          <w:sz w:val="20"/>
          <w:szCs w:val="20"/>
          <w:color w:val="auto"/>
        </w:rPr>
      </w:pPr>
      <w:r>
        <w:rPr>
          <w:rFonts w:ascii="Arial" w:cs="Arial" w:eastAsia="Arial" w:hAnsi="Arial"/>
          <w:sz w:val="18"/>
          <w:szCs w:val="18"/>
          <w:color w:val="auto"/>
        </w:rPr>
        <w:t>Fund Ltd. Such entities and funds and accounts (together, the “</w:t>
      </w:r>
      <w:r>
        <w:rPr>
          <w:rFonts w:ascii="Arial" w:cs="Arial" w:eastAsia="Arial" w:hAnsi="Arial"/>
          <w:sz w:val="18"/>
          <w:szCs w:val="18"/>
          <w:i w:val="1"/>
          <w:iCs w:val="1"/>
          <w:color w:val="auto"/>
        </w:rPr>
        <w:t>Magnetar Funds</w:t>
      </w:r>
      <w:r>
        <w:rPr>
          <w:rFonts w:ascii="Arial" w:cs="Arial" w:eastAsia="Arial" w:hAnsi="Arial"/>
          <w:sz w:val="18"/>
          <w:szCs w:val="18"/>
          <w:color w:val="auto"/>
        </w:rPr>
        <w:t>”) are managed by</w:t>
      </w:r>
    </w:p>
    <w:p>
      <w:pPr>
        <w:ind w:left="1620"/>
        <w:spacing w:after="0" w:line="235" w:lineRule="auto"/>
        <w:rPr>
          <w:sz w:val="20"/>
          <w:szCs w:val="20"/>
          <w:color w:val="auto"/>
        </w:rPr>
      </w:pPr>
      <w:r>
        <w:rPr>
          <w:rFonts w:ascii="Arial" w:cs="Arial" w:eastAsia="Arial" w:hAnsi="Arial"/>
          <w:sz w:val="18"/>
          <w:szCs w:val="18"/>
          <w:color w:val="auto"/>
        </w:rPr>
        <w:t>Magnetar Financial LLC (“</w:t>
      </w:r>
      <w:r>
        <w:rPr>
          <w:rFonts w:ascii="Arial" w:cs="Arial" w:eastAsia="Arial" w:hAnsi="Arial"/>
          <w:sz w:val="18"/>
          <w:szCs w:val="18"/>
          <w:i w:val="1"/>
          <w:iCs w:val="1"/>
          <w:color w:val="auto"/>
        </w:rPr>
        <w:t>MFL</w:t>
      </w:r>
      <w:r>
        <w:rPr>
          <w:rFonts w:ascii="Arial" w:cs="Arial" w:eastAsia="Arial" w:hAnsi="Arial"/>
          <w:sz w:val="18"/>
          <w:szCs w:val="18"/>
          <w:color w:val="auto"/>
        </w:rPr>
        <w:t>”). MFL serves as investment manager of each Magnetar Capital</w:t>
      </w:r>
    </w:p>
    <w:p>
      <w:pPr>
        <w:ind w:left="1620"/>
        <w:spacing w:after="0" w:line="235" w:lineRule="auto"/>
        <w:rPr>
          <w:sz w:val="20"/>
          <w:szCs w:val="20"/>
          <w:color w:val="auto"/>
        </w:rPr>
      </w:pPr>
      <w:r>
        <w:rPr>
          <w:rFonts w:ascii="Arial" w:cs="Arial" w:eastAsia="Arial" w:hAnsi="Arial"/>
          <w:sz w:val="18"/>
          <w:szCs w:val="18"/>
          <w:color w:val="auto"/>
        </w:rPr>
        <w:t>Master Fund, Ltd, Magnetar Discovery Master Fund Ltd, Magnetar Constellation Master Fund, Ltd,</w:t>
      </w:r>
    </w:p>
    <w:p>
      <w:pPr>
        <w:ind w:left="1620"/>
        <w:spacing w:after="0"/>
        <w:rPr>
          <w:sz w:val="20"/>
          <w:szCs w:val="20"/>
          <w:color w:val="auto"/>
        </w:rPr>
      </w:pPr>
      <w:r>
        <w:rPr>
          <w:rFonts w:ascii="Arial" w:cs="Arial" w:eastAsia="Arial" w:hAnsi="Arial"/>
          <w:sz w:val="17"/>
          <w:szCs w:val="17"/>
          <w:color w:val="auto"/>
        </w:rPr>
        <w:t>Magnetar Constellation Fund II, Ltd, Magnetar Xing He Master Fund Ltd, Magnetar SC Fund Ltd and</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Magnetar Systematic Multi-Strategy Master Fund Ltd. MFL is the manager of each of LNGH Holdings</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LLC, Astrum, Series 8 Holdings LLC and Magnetar Lake Credit Fund LLC. MFL is the general partner</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of Magnetar Structured Credit Fund, LP. MFL is the trading advisor of 405 MSTV I LP. In such</w:t>
      </w:r>
    </w:p>
    <w:p>
      <w:pPr>
        <w:ind w:left="1620"/>
        <w:spacing w:after="0"/>
        <w:rPr>
          <w:sz w:val="20"/>
          <w:szCs w:val="20"/>
          <w:color w:val="auto"/>
        </w:rPr>
      </w:pPr>
      <w:r>
        <w:rPr>
          <w:rFonts w:ascii="Arial" w:cs="Arial" w:eastAsia="Arial" w:hAnsi="Arial"/>
          <w:sz w:val="17"/>
          <w:szCs w:val="17"/>
          <w:color w:val="auto"/>
        </w:rPr>
        <w:t>capacities, MFL exercises voting and investment power over the securities listed above held for the</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accounts of the Magnetar Funds. MFL is a registered investment adviser under Section 203 of the</w:t>
      </w:r>
    </w:p>
    <w:p>
      <w:pPr>
        <w:ind w:left="1620"/>
        <w:spacing w:after="0" w:line="234" w:lineRule="auto"/>
        <w:rPr>
          <w:sz w:val="20"/>
          <w:szCs w:val="20"/>
          <w:color w:val="auto"/>
        </w:rPr>
      </w:pPr>
      <w:r>
        <w:rPr>
          <w:rFonts w:ascii="Arial" w:cs="Arial" w:eastAsia="Arial" w:hAnsi="Arial"/>
          <w:sz w:val="18"/>
          <w:szCs w:val="18"/>
          <w:color w:val="auto"/>
        </w:rPr>
        <w:t>Investment Advisers Act of 1940, as amended. Magnetar Capital Partners LP (“</w:t>
      </w:r>
      <w:r>
        <w:rPr>
          <w:rFonts w:ascii="Arial" w:cs="Arial" w:eastAsia="Arial" w:hAnsi="Arial"/>
          <w:sz w:val="18"/>
          <w:szCs w:val="18"/>
          <w:i w:val="1"/>
          <w:iCs w:val="1"/>
          <w:color w:val="auto"/>
        </w:rPr>
        <w:t>MCP</w:t>
      </w:r>
      <w:r>
        <w:rPr>
          <w:rFonts w:ascii="Arial" w:cs="Arial" w:eastAsia="Arial" w:hAnsi="Arial"/>
          <w:sz w:val="18"/>
          <w:szCs w:val="18"/>
          <w:color w:val="auto"/>
        </w:rPr>
        <w:t>”) is the sole</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member and parent holding company of MFL. Supernova Management LLC (“</w:t>
      </w:r>
      <w:r>
        <w:rPr>
          <w:rFonts w:ascii="Arial" w:cs="Arial" w:eastAsia="Arial" w:hAnsi="Arial"/>
          <w:sz w:val="17"/>
          <w:szCs w:val="17"/>
          <w:i w:val="1"/>
          <w:iCs w:val="1"/>
          <w:color w:val="auto"/>
        </w:rPr>
        <w:t>Supernova</w:t>
      </w:r>
      <w:r>
        <w:rPr>
          <w:rFonts w:ascii="Arial" w:cs="Arial" w:eastAsia="Arial" w:hAnsi="Arial"/>
          <w:sz w:val="17"/>
          <w:szCs w:val="17"/>
          <w:color w:val="auto"/>
        </w:rPr>
        <w:t>”) is the sole</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general partner of MCP. The manager of Supernova is Alec N. Litowitz, a citizen of the United States</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of America. Each of the Magnetar Funds, MFL, MCP, Supernova and Alec N. Litowitz disclaims</w:t>
      </w:r>
    </w:p>
    <w:p>
      <w:pPr>
        <w:ind w:left="1620"/>
        <w:spacing w:after="0"/>
        <w:rPr>
          <w:sz w:val="20"/>
          <w:szCs w:val="20"/>
          <w:color w:val="auto"/>
        </w:rPr>
      </w:pPr>
      <w:r>
        <w:rPr>
          <w:rFonts w:ascii="Arial" w:cs="Arial" w:eastAsia="Arial" w:hAnsi="Arial"/>
          <w:sz w:val="17"/>
          <w:szCs w:val="17"/>
          <w:color w:val="auto"/>
        </w:rPr>
        <w:t>beneficial ownership of these securities except to the extent of their pecuniary interest in the securities.</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business address of each of MFL, MCP, Supernova and Alec N. Litowitz is 1603 Orrington</w:t>
      </w:r>
    </w:p>
    <w:p>
      <w:pPr>
        <w:ind w:left="1620"/>
        <w:spacing w:after="0"/>
        <w:rPr>
          <w:sz w:val="20"/>
          <w:szCs w:val="20"/>
          <w:color w:val="auto"/>
        </w:rPr>
      </w:pPr>
      <w:r>
        <w:rPr>
          <w:rFonts w:ascii="Arial" w:cs="Arial" w:eastAsia="Arial" w:hAnsi="Arial"/>
          <w:sz w:val="17"/>
          <w:szCs w:val="17"/>
          <w:color w:val="auto"/>
        </w:rPr>
        <w:t>Avenue, 13th Floor, Evanston, Illinois 60201. In addition, certain Magnetar Funds have an economic</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interest in shares of Class A common stock and Private Placement Warrants through their ownership of</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membership interests in the Sponsor, but do not beneficially own any such Class A common stock or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Private Placement Warrants. Such economic interest (or deemed economic interest) of such Magnetar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Funds relates to 6,500,000 shares of Class A common stock and 5,904,385 Private Placement Warrants.</w:t>
      </w:r>
    </w:p>
    <w:p>
      <w:pPr>
        <w:spacing w:after="0" w:line="70" w:lineRule="exact"/>
        <w:rPr>
          <w:sz w:val="20"/>
          <w:szCs w:val="20"/>
          <w:color w:val="auto"/>
        </w:rPr>
      </w:pPr>
    </w:p>
    <w:p>
      <w:pPr>
        <w:ind w:left="1620" w:right="639" w:hanging="360"/>
        <w:spacing w:after="0" w:line="263" w:lineRule="auto"/>
        <w:tabs>
          <w:tab w:leader="none" w:pos="1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Directors Andrew Dodd and Michael Bell have voting power over the shares offered hereby and they both disclaim beneficial ownership of such shares. Millias Limited’s address is 767 5th Ave., 9th Fl. New York, NY 10153.</w:t>
      </w:r>
    </w:p>
    <w:p>
      <w:pPr>
        <w:spacing w:after="0" w:line="35" w:lineRule="exact"/>
        <w:rPr>
          <w:rFonts w:ascii="Arial" w:cs="Arial" w:eastAsia="Arial" w:hAnsi="Arial"/>
          <w:sz w:val="18"/>
          <w:szCs w:val="18"/>
          <w:color w:val="auto"/>
        </w:rPr>
      </w:pPr>
    </w:p>
    <w:p>
      <w:pPr>
        <w:ind w:left="1620" w:right="439" w:hanging="360"/>
        <w:spacing w:after="0" w:line="267" w:lineRule="auto"/>
        <w:tabs>
          <w:tab w:leader="none" w:pos="16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3,024,693 shares of Class A common stock held by Integrated Core Strategies (US) LLC (“</w:t>
      </w:r>
      <w:r>
        <w:rPr>
          <w:rFonts w:ascii="Arial" w:cs="Arial" w:eastAsia="Arial" w:hAnsi="Arial"/>
          <w:sz w:val="17"/>
          <w:szCs w:val="17"/>
          <w:i w:val="1"/>
          <w:iCs w:val="1"/>
          <w:color w:val="auto"/>
        </w:rPr>
        <w:t>Integrated Core Strategies</w:t>
      </w:r>
      <w:r>
        <w:rPr>
          <w:rFonts w:ascii="Arial" w:cs="Arial" w:eastAsia="Arial" w:hAnsi="Arial"/>
          <w:sz w:val="17"/>
          <w:szCs w:val="17"/>
          <w:color w:val="auto"/>
        </w:rPr>
        <w:t>”) and 400,000 shares of Class A common stock held by ICS Opportunities, Ltd (“</w:t>
      </w:r>
      <w:r>
        <w:rPr>
          <w:rFonts w:ascii="Arial" w:cs="Arial" w:eastAsia="Arial" w:hAnsi="Arial"/>
          <w:sz w:val="17"/>
          <w:szCs w:val="17"/>
          <w:i w:val="1"/>
          <w:iCs w:val="1"/>
          <w:color w:val="auto"/>
        </w:rPr>
        <w:t>ICS Opportunities</w:t>
      </w:r>
      <w:r>
        <w:rPr>
          <w:rFonts w:ascii="Arial" w:cs="Arial" w:eastAsia="Arial" w:hAnsi="Arial"/>
          <w:sz w:val="17"/>
          <w:szCs w:val="17"/>
          <w:color w:val="auto"/>
        </w:rPr>
        <w:t>”). Additional shares beneficially owned include 67,925 shares of Class A common stock held by Integrated Core Strategies, 426,759 shares of Class A common stock and 447,264 shares of Class A common stock issuable upon exercise of the Public Warrants held by ICS Opportunities and 25,025 shares of Class A common stock held by ICS Opportunities II LLC (“</w:t>
      </w:r>
      <w:r>
        <w:rPr>
          <w:rFonts w:ascii="Arial" w:cs="Arial" w:eastAsia="Arial" w:hAnsi="Arial"/>
          <w:sz w:val="17"/>
          <w:szCs w:val="17"/>
          <w:i w:val="1"/>
          <w:iCs w:val="1"/>
          <w:color w:val="auto"/>
        </w:rPr>
        <w:t>ICS Opportunities II</w:t>
      </w:r>
      <w:r>
        <w:rPr>
          <w:rFonts w:ascii="Arial" w:cs="Arial" w:eastAsia="Arial" w:hAnsi="Arial"/>
          <w:sz w:val="17"/>
          <w:szCs w:val="17"/>
          <w:color w:val="auto"/>
        </w:rPr>
        <w:t>”). Millennium International Management LP, a Delaware limited partnership (“</w:t>
      </w:r>
      <w:r>
        <w:rPr>
          <w:rFonts w:ascii="Arial" w:cs="Arial" w:eastAsia="Arial" w:hAnsi="Arial"/>
          <w:sz w:val="17"/>
          <w:szCs w:val="17"/>
          <w:i w:val="1"/>
          <w:iCs w:val="1"/>
          <w:color w:val="auto"/>
        </w:rPr>
        <w:t>Millennium International Management</w:t>
      </w:r>
      <w:r>
        <w:rPr>
          <w:rFonts w:ascii="Arial" w:cs="Arial" w:eastAsia="Arial" w:hAnsi="Arial"/>
          <w:sz w:val="17"/>
          <w:szCs w:val="17"/>
          <w:color w:val="auto"/>
        </w:rPr>
        <w:t>”), is the investment manager to ICS Opportunities and ICS Opportunities II and may be deemed to have shared voting control and investment discretion over securities owned by ICS Opportunities and ICS Opportunities II. Millennium Management LLC, a Delaware limited liability company (“</w:t>
      </w:r>
      <w:r>
        <w:rPr>
          <w:rFonts w:ascii="Arial" w:cs="Arial" w:eastAsia="Arial" w:hAnsi="Arial"/>
          <w:sz w:val="17"/>
          <w:szCs w:val="17"/>
          <w:i w:val="1"/>
          <w:iCs w:val="1"/>
          <w:color w:val="auto"/>
        </w:rPr>
        <w:t>Millennium Management</w:t>
      </w:r>
      <w:r>
        <w:rPr>
          <w:rFonts w:ascii="Arial" w:cs="Arial" w:eastAsia="Arial" w:hAnsi="Arial"/>
          <w:sz w:val="17"/>
          <w:szCs w:val="17"/>
          <w:color w:val="auto"/>
        </w:rPr>
        <w:t>”), is the general partner of the managing member of Integrated Core Strategies and may be deemed to have shared voting control and investment discretion over securities owned by Integrated Core Strategies. Millennium Management is also the general partner of the 100% owner of ICS Opportunities and ICS Opportunities II and may also be deemed to have shared voting control and investment discretion over securities owned by ICS Opportunities and ICS Opportunities II. Millennium Group Management LLC, a Delaware limited liability company (“</w:t>
      </w:r>
      <w:r>
        <w:rPr>
          <w:rFonts w:ascii="Arial" w:cs="Arial" w:eastAsia="Arial" w:hAnsi="Arial"/>
          <w:sz w:val="17"/>
          <w:szCs w:val="17"/>
          <w:i w:val="1"/>
          <w:iCs w:val="1"/>
          <w:color w:val="auto"/>
        </w:rPr>
        <w:t>Millennium Group Management</w:t>
      </w:r>
      <w:r>
        <w:rPr>
          <w:rFonts w:ascii="Arial" w:cs="Arial" w:eastAsia="Arial" w:hAnsi="Arial"/>
          <w:sz w:val="17"/>
          <w:szCs w:val="17"/>
          <w:color w:val="auto"/>
        </w:rPr>
        <w: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ICS</w:t>
      </w: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spacing w:after="0" w:line="268" w:lineRule="auto"/>
        <w:rPr>
          <w:sz w:val="20"/>
          <w:szCs w:val="20"/>
          <w:color w:val="auto"/>
        </w:rPr>
      </w:pPr>
      <w:r>
        <w:rPr>
          <w:rFonts w:ascii="Arial" w:cs="Arial" w:eastAsia="Arial" w:hAnsi="Arial"/>
          <w:sz w:val="17"/>
          <w:szCs w:val="17"/>
          <w:color w:val="auto"/>
        </w:rPr>
        <w:t>Opportunities and ICS Opportunities II. The managing member of Millennium Group Management is a trust of which Israel A. Englander, a United States citizen (“</w:t>
      </w:r>
      <w:r>
        <w:rPr>
          <w:rFonts w:ascii="Arial" w:cs="Arial" w:eastAsia="Arial" w:hAnsi="Arial"/>
          <w:sz w:val="17"/>
          <w:szCs w:val="17"/>
          <w:i w:val="1"/>
          <w:iCs w:val="1"/>
          <w:color w:val="auto"/>
        </w:rPr>
        <w:t>Mr. Englander</w:t>
      </w:r>
      <w:r>
        <w:rPr>
          <w:rFonts w:ascii="Arial" w:cs="Arial" w:eastAsia="Arial" w:hAnsi="Arial"/>
          <w:sz w:val="17"/>
          <w:szCs w:val="17"/>
          <w:color w:val="auto"/>
        </w:rPr>
        <w:t>”), currently serves as the sole voting trustee. Therefore, Mr. Englander may also be deemed to have shared voting control and investment discretion over securities owned by Integrated Core Strategies, ICS Opportunities and ICS Opportunities II. The foregoing should not be construed in and of itself as an admission by Millennium International Management, Millennium Management, Millennium Group Management or</w:t>
      </w:r>
    </w:p>
    <w:p>
      <w:pPr>
        <w:spacing w:after="0" w:line="1" w:lineRule="exact"/>
        <w:rPr>
          <w:sz w:val="20"/>
          <w:szCs w:val="20"/>
          <w:color w:val="auto"/>
        </w:rPr>
      </w:pPr>
    </w:p>
    <w:p>
      <w:pPr>
        <w:ind w:left="1620" w:right="719"/>
        <w:spacing w:after="0" w:line="260" w:lineRule="auto"/>
        <w:rPr>
          <w:sz w:val="20"/>
          <w:szCs w:val="20"/>
          <w:color w:val="auto"/>
        </w:rPr>
      </w:pPr>
      <w:r>
        <w:rPr>
          <w:rFonts w:ascii="Arial" w:cs="Arial" w:eastAsia="Arial" w:hAnsi="Arial"/>
          <w:sz w:val="18"/>
          <w:szCs w:val="18"/>
          <w:color w:val="auto"/>
        </w:rPr>
        <w:t>Mr. Englander as to beneficial ownership of the securities owned by Integrated Core Strategies, ICS Opportunities or ICS Opportunities II, as the case may be.</w:t>
      </w:r>
    </w:p>
    <w:p>
      <w:pPr>
        <w:spacing w:after="0" w:line="37" w:lineRule="exact"/>
        <w:rPr>
          <w:sz w:val="20"/>
          <w:szCs w:val="20"/>
          <w:color w:val="auto"/>
        </w:rPr>
      </w:pPr>
    </w:p>
    <w:p>
      <w:pPr>
        <w:ind w:left="1620" w:right="439" w:hanging="360"/>
        <w:spacing w:after="0" w:line="255" w:lineRule="auto"/>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MMF LT, LLC, Moore Capital Management, LP and Mr. Bacon is 11 Times Square, New York, New York 10036.</w:t>
      </w:r>
    </w:p>
    <w:p>
      <w:pPr>
        <w:spacing w:after="0" w:line="43" w:lineRule="exact"/>
        <w:rPr>
          <w:rFonts w:ascii="Arial" w:cs="Arial" w:eastAsia="Arial" w:hAnsi="Arial"/>
          <w:sz w:val="18"/>
          <w:szCs w:val="18"/>
          <w:color w:val="auto"/>
        </w:rPr>
      </w:pPr>
    </w:p>
    <w:p>
      <w:pPr>
        <w:ind w:left="1620" w:right="419" w:hanging="360"/>
        <w:spacing w:after="0" w:line="266" w:lineRule="auto"/>
        <w:tabs>
          <w:tab w:leader="none" w:pos="16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544,525 shares of Class A common stock held by MSD Special Investments Fund, L.P., a Delaware limited partnership (“</w:t>
      </w:r>
      <w:r>
        <w:rPr>
          <w:rFonts w:ascii="Arial" w:cs="Arial" w:eastAsia="Arial" w:hAnsi="Arial"/>
          <w:sz w:val="17"/>
          <w:szCs w:val="17"/>
          <w:i w:val="1"/>
          <w:iCs w:val="1"/>
          <w:color w:val="auto"/>
        </w:rPr>
        <w:t>MSDS</w:t>
      </w:r>
      <w:r>
        <w:rPr>
          <w:rFonts w:ascii="Arial" w:cs="Arial" w:eastAsia="Arial" w:hAnsi="Arial"/>
          <w:sz w:val="17"/>
          <w:szCs w:val="17"/>
          <w:color w:val="auto"/>
        </w:rPr>
        <w:t>”), 257,085 shares of Class A common stock held by MSD SIF Holdings, L.P., a Delaware limited partnership (“</w:t>
      </w:r>
      <w:r>
        <w:rPr>
          <w:rFonts w:ascii="Arial" w:cs="Arial" w:eastAsia="Arial" w:hAnsi="Arial"/>
          <w:sz w:val="17"/>
          <w:szCs w:val="17"/>
          <w:i w:val="1"/>
          <w:iCs w:val="1"/>
          <w:color w:val="auto"/>
        </w:rPr>
        <w:t>MSDSIF</w:t>
      </w:r>
      <w:r>
        <w:rPr>
          <w:rFonts w:ascii="Arial" w:cs="Arial" w:eastAsia="Arial" w:hAnsi="Arial"/>
          <w:sz w:val="17"/>
          <w:szCs w:val="17"/>
          <w:color w:val="auto"/>
        </w:rPr>
        <w:t>”), and 198,390 shares of Class A common stock held by MSD Credit Opportunity Master Fund, L.P., a Cayman Islands exempted limited partnership (“</w:t>
      </w:r>
      <w:r>
        <w:rPr>
          <w:rFonts w:ascii="Arial" w:cs="Arial" w:eastAsia="Arial" w:hAnsi="Arial"/>
          <w:sz w:val="17"/>
          <w:szCs w:val="17"/>
          <w:i w:val="1"/>
          <w:iCs w:val="1"/>
          <w:color w:val="auto"/>
        </w:rPr>
        <w:t>MSDC</w:t>
      </w:r>
      <w:r>
        <w:rPr>
          <w:rFonts w:ascii="Arial" w:cs="Arial" w:eastAsia="Arial" w:hAnsi="Arial"/>
          <w:sz w:val="17"/>
          <w:szCs w:val="17"/>
          <w:color w:val="auto"/>
        </w:rPr>
        <w:t>”). MSD Partners, L.P. (“</w:t>
      </w:r>
      <w:r>
        <w:rPr>
          <w:rFonts w:ascii="Arial" w:cs="Arial" w:eastAsia="Arial" w:hAnsi="Arial"/>
          <w:sz w:val="17"/>
          <w:szCs w:val="17"/>
          <w:i w:val="1"/>
          <w:iCs w:val="1"/>
          <w:color w:val="auto"/>
        </w:rPr>
        <w:t>MSD Partners</w:t>
      </w:r>
      <w:r>
        <w:rPr>
          <w:rFonts w:ascii="Arial" w:cs="Arial" w:eastAsia="Arial" w:hAnsi="Arial"/>
          <w:sz w:val="17"/>
          <w:szCs w:val="17"/>
          <w:color w:val="auto"/>
        </w:rPr>
        <w:t>”) is the investment manager of MSDS, MSDSIF, and MSDC and may be deemed to beneficially own securities beneficially owned by each of them. MSD Partners (GP), LLC (“</w:t>
      </w:r>
      <w:r>
        <w:rPr>
          <w:rFonts w:ascii="Arial" w:cs="Arial" w:eastAsia="Arial" w:hAnsi="Arial"/>
          <w:sz w:val="17"/>
          <w:szCs w:val="17"/>
          <w:i w:val="1"/>
          <w:iCs w:val="1"/>
          <w:color w:val="auto"/>
        </w:rPr>
        <w:t>MSD GP</w:t>
      </w:r>
      <w:r>
        <w:rPr>
          <w:rFonts w:ascii="Arial" w:cs="Arial" w:eastAsia="Arial" w:hAnsi="Arial"/>
          <w:sz w:val="17"/>
          <w:szCs w:val="17"/>
          <w:color w:val="auto"/>
        </w:rPr>
        <w:t>”), a Delaware limited liability company, is the general partner of MSD Partners, and may be deemed to beneficially own securities beneficially owned by MSD Partners. Each of John C. Phelan, Marc R. Lisker and Brendan P. Rogers is a manager of and may be deemed to beneficially own securities beneficially owned by MSD GP. The address of the principal business office of the MSD Affiliates is c/o MSD Partners, L.P.,</w:t>
      </w:r>
    </w:p>
    <w:p>
      <w:pPr>
        <w:spacing w:after="0" w:line="7"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645 Fifth Avenue, 21st Floor, New York, NY 10022.</w:t>
      </w:r>
    </w:p>
    <w:p>
      <w:pPr>
        <w:spacing w:after="0" w:line="75" w:lineRule="exact"/>
        <w:rPr>
          <w:rFonts w:ascii="Arial" w:cs="Arial" w:eastAsia="Arial" w:hAnsi="Arial"/>
          <w:sz w:val="17"/>
          <w:szCs w:val="17"/>
          <w:color w:val="auto"/>
        </w:rPr>
      </w:pPr>
    </w:p>
    <w:p>
      <w:pPr>
        <w:ind w:left="1620" w:hanging="360"/>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Surayya Siddiqui is the beneficial owner of Naya Investor Holdings Limited.</w:t>
      </w:r>
    </w:p>
    <w:p>
      <w:pPr>
        <w:spacing w:after="0" w:line="76" w:lineRule="exact"/>
        <w:rPr>
          <w:rFonts w:ascii="Arial" w:cs="Arial" w:eastAsia="Arial" w:hAnsi="Arial"/>
          <w:sz w:val="18"/>
          <w:szCs w:val="18"/>
          <w:color w:val="auto"/>
        </w:rPr>
      </w:pPr>
    </w:p>
    <w:p>
      <w:pPr>
        <w:ind w:left="1620" w:right="439" w:hanging="360"/>
        <w:spacing w:after="0" w:line="266" w:lineRule="auto"/>
        <w:tabs>
          <w:tab w:leader="none" w:pos="16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366,667 shares of Class A common stock held by Neuberger Berman Principal Strategies Master Fund L.P., 500,000 shares of Class A common stock held by MAP 204 Segregated Portfolio, a segregated portfolio of LMA SPC, 1,733,333 shares of Class A common stock held by Neuberger Berman Alternative Funds, Neuberger Berman Long Short Fund, 466,667 shares of Class A common stock held by Neuberger Berman Equity Funds, Neuberger Berman Guardian Fund, 25,000 shares of Class A common stock held by NB All Cap Alpha Master Fund Ltd., 366,667 shares of Class A common stock held by Neuberger Berman Investment Funds Plc, Neuberger Berman US Long Short Equity Fund, 8,333 shares of Class A common stock held by Neuberger Berman Investment Funds Plc, Neuberger Berman U.S. Equity Fund, 2,200,000 shares of Class A common stock held by Kantor Private Opportunities IV LP. Neuberger Berman BD LLC (“</w:t>
      </w:r>
      <w:r>
        <w:rPr>
          <w:rFonts w:ascii="Arial" w:cs="Arial" w:eastAsia="Arial" w:hAnsi="Arial"/>
          <w:sz w:val="17"/>
          <w:szCs w:val="17"/>
          <w:i w:val="1"/>
          <w:iCs w:val="1"/>
          <w:color w:val="auto"/>
        </w:rPr>
        <w:t>NBBD</w:t>
      </w:r>
      <w:r>
        <w:rPr>
          <w:rFonts w:ascii="Arial" w:cs="Arial" w:eastAsia="Arial" w:hAnsi="Arial"/>
          <w:sz w:val="17"/>
          <w:szCs w:val="17"/>
          <w:color w:val="auto"/>
        </w:rPr>
        <w:t>”) is a registered broker-dealer and member FINRA. NBBD is an affiliate of each Selling Securityholder listed above based on being under common control of Neuberger Berman Investment Advisers LLC, the investment adviser to each Selling Securityholder and the direct parent company of NBBD. Additionally, NBBD serves as the distributor and principal underwriter for each of:</w:t>
      </w:r>
    </w:p>
    <w:p>
      <w:pPr>
        <w:spacing w:after="0" w:line="5" w:lineRule="exact"/>
        <w:rPr>
          <w:rFonts w:ascii="Arial" w:cs="Arial" w:eastAsia="Arial" w:hAnsi="Arial"/>
          <w:sz w:val="17"/>
          <w:szCs w:val="17"/>
          <w:color w:val="auto"/>
        </w:rPr>
      </w:pPr>
    </w:p>
    <w:p>
      <w:pPr>
        <w:ind w:left="1620" w:right="459"/>
        <w:spacing w:after="0" w:line="268" w:lineRule="auto"/>
        <w:rPr>
          <w:rFonts w:ascii="Arial" w:cs="Arial" w:eastAsia="Arial" w:hAnsi="Arial"/>
          <w:sz w:val="17"/>
          <w:szCs w:val="17"/>
          <w:color w:val="auto"/>
        </w:rPr>
      </w:pPr>
      <w:r>
        <w:rPr>
          <w:rFonts w:ascii="Arial" w:cs="Arial" w:eastAsia="Arial" w:hAnsi="Arial"/>
          <w:sz w:val="17"/>
          <w:szCs w:val="17"/>
          <w:color w:val="auto"/>
        </w:rPr>
        <w:t>(i) Neuberger Berman Alternative Funds, Neuberger Berman Long Short Fund; and (ii) Neuberger Berman Equity Funds, Neuberger Berman Guardian Fund, as such funds are both mutual funds. Based on information provided by the Selling Securityholders, the Selling Securityholders acquired the shares for investment purposes, and at the time of the acquisition of such shares, the Selling Securityholders did not have any agreements or understandings with any person to distribute such shares. Neuberger Berman Group LLC (“</w:t>
      </w:r>
      <w:r>
        <w:rPr>
          <w:rFonts w:ascii="Arial" w:cs="Arial" w:eastAsia="Arial" w:hAnsi="Arial"/>
          <w:sz w:val="17"/>
          <w:szCs w:val="17"/>
          <w:i w:val="1"/>
          <w:iCs w:val="1"/>
          <w:color w:val="auto"/>
        </w:rPr>
        <w:t>NBG</w:t>
      </w:r>
      <w:r>
        <w:rPr>
          <w:rFonts w:ascii="Arial" w:cs="Arial" w:eastAsia="Arial" w:hAnsi="Arial"/>
          <w:sz w:val="17"/>
          <w:szCs w:val="17"/>
          <w:color w:val="auto"/>
        </w:rPr>
        <w:t>”) and certain of its affiliates, including Neuberger Berman Investment Advisers LLC, as investment adviser of certain Selling Securityholders that are not registered investment companies, have voting power and investment power over the shares. NBG and its affiliates do not, however, have any economic interest in the shares.</w:t>
      </w:r>
    </w:p>
    <w:p>
      <w:pPr>
        <w:spacing w:after="0" w:line="200" w:lineRule="exact"/>
        <w:rPr>
          <w:sz w:val="20"/>
          <w:szCs w:val="20"/>
          <w:color w:val="auto"/>
        </w:rPr>
      </w:pPr>
    </w:p>
    <w:p>
      <w:pPr>
        <w:spacing w:after="0" w:line="2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hanging="360"/>
        <w:spacing w:after="0" w:line="257"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shares are held by NR CM Limited. LH Capital Markets LLC, as its investment adviser, has voting and dispositive power over such shares. Aaron Nieman, as the managing member and chief investment officer of LH Capital Markets, LLC, has sole voting and dispositive power over the shares held and may be deemed to beneficially own such shares. Mr. Nieman disclaims beneficial ownership of the shares, except to the extent of his pecuniary interest therein.</w:t>
      </w:r>
    </w:p>
    <w:p>
      <w:pPr>
        <w:spacing w:after="0" w:line="39" w:lineRule="exact"/>
        <w:rPr>
          <w:rFonts w:ascii="Arial" w:cs="Arial" w:eastAsia="Arial" w:hAnsi="Arial"/>
          <w:sz w:val="18"/>
          <w:szCs w:val="18"/>
          <w:color w:val="auto"/>
        </w:rPr>
      </w:pPr>
    </w:p>
    <w:p>
      <w:pPr>
        <w:ind w:left="1620" w:right="499" w:hanging="360"/>
        <w:spacing w:after="0" w:line="267" w:lineRule="auto"/>
        <w:tabs>
          <w:tab w:leader="none" w:pos="16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Oaktree Value Equity Holdings, L.P. (“</w:t>
      </w:r>
      <w:r>
        <w:rPr>
          <w:rFonts w:ascii="Arial" w:cs="Arial" w:eastAsia="Arial" w:hAnsi="Arial"/>
          <w:sz w:val="17"/>
          <w:szCs w:val="17"/>
          <w:i w:val="1"/>
          <w:iCs w:val="1"/>
          <w:color w:val="auto"/>
        </w:rPr>
        <w:t>VEF Holdings</w:t>
      </w:r>
      <w:r>
        <w:rPr>
          <w:rFonts w:ascii="Arial" w:cs="Arial" w:eastAsia="Arial" w:hAnsi="Arial"/>
          <w:sz w:val="17"/>
          <w:szCs w:val="17"/>
          <w:color w:val="auto"/>
        </w:rPr>
        <w:t>”) is beneficially owned by Oaktree Value Equity Fund, L.P. (“</w:t>
      </w:r>
      <w:r>
        <w:rPr>
          <w:rFonts w:ascii="Arial" w:cs="Arial" w:eastAsia="Arial" w:hAnsi="Arial"/>
          <w:sz w:val="17"/>
          <w:szCs w:val="17"/>
          <w:i w:val="1"/>
          <w:iCs w:val="1"/>
          <w:color w:val="auto"/>
        </w:rPr>
        <w:t>VEF Fund</w:t>
      </w:r>
      <w:r>
        <w:rPr>
          <w:rFonts w:ascii="Arial" w:cs="Arial" w:eastAsia="Arial" w:hAnsi="Arial"/>
          <w:sz w:val="17"/>
          <w:szCs w:val="17"/>
          <w:color w:val="auto"/>
        </w:rPr>
        <w:t>”). VEF Holdings is controlled by its general partner, Oaktree Value Equity Fund GP, L.P. (“</w:t>
      </w:r>
      <w:r>
        <w:rPr>
          <w:rFonts w:ascii="Arial" w:cs="Arial" w:eastAsia="Arial" w:hAnsi="Arial"/>
          <w:sz w:val="17"/>
          <w:szCs w:val="17"/>
          <w:i w:val="1"/>
          <w:iCs w:val="1"/>
          <w:color w:val="auto"/>
        </w:rPr>
        <w:t>VEF GP</w:t>
      </w:r>
      <w:r>
        <w:rPr>
          <w:rFonts w:ascii="Arial" w:cs="Arial" w:eastAsia="Arial" w:hAnsi="Arial"/>
          <w:sz w:val="17"/>
          <w:szCs w:val="17"/>
          <w:color w:val="auto"/>
        </w:rPr>
        <w:t>”), and VEF GP’s general partner, which is Oaktree Value Equity Fund GP Ltd. (“</w:t>
      </w:r>
      <w:r>
        <w:rPr>
          <w:rFonts w:ascii="Arial" w:cs="Arial" w:eastAsia="Arial" w:hAnsi="Arial"/>
          <w:sz w:val="17"/>
          <w:szCs w:val="17"/>
          <w:i w:val="1"/>
          <w:iCs w:val="1"/>
          <w:color w:val="auto"/>
        </w:rPr>
        <w:t>VEF Ultimate GP</w:t>
      </w:r>
      <w:r>
        <w:rPr>
          <w:rFonts w:ascii="Arial" w:cs="Arial" w:eastAsia="Arial" w:hAnsi="Arial"/>
          <w:sz w:val="17"/>
          <w:szCs w:val="17"/>
          <w:color w:val="auto"/>
        </w:rPr>
        <w:t>”). VEF GP and VEF Ultimate GP are each in turn an affiliate of Oaktree Capital Management, L.P. (“</w:t>
      </w:r>
      <w:r>
        <w:rPr>
          <w:rFonts w:ascii="Arial" w:cs="Arial" w:eastAsia="Arial" w:hAnsi="Arial"/>
          <w:sz w:val="17"/>
          <w:szCs w:val="17"/>
          <w:i w:val="1"/>
          <w:iCs w:val="1"/>
          <w:color w:val="auto"/>
        </w:rPr>
        <w:t>OCM</w:t>
      </w:r>
      <w:r>
        <w:rPr>
          <w:rFonts w:ascii="Arial" w:cs="Arial" w:eastAsia="Arial" w:hAnsi="Arial"/>
          <w:sz w:val="17"/>
          <w:szCs w:val="17"/>
          <w:color w:val="auto"/>
        </w:rPr>
        <w:t>”), which is the investment manager of VEF Fund and is the director of VEF Ultimate GP. As a result, VEF Fund and OCM may be deemed to have beneficial ownership of the shares owned by VEF Holdings. OCM’s asset management business is indirectly controlled by Oaktree Capital Group, LLC (“</w:t>
      </w:r>
      <w:r>
        <w:rPr>
          <w:rFonts w:ascii="Arial" w:cs="Arial" w:eastAsia="Arial" w:hAnsi="Arial"/>
          <w:sz w:val="17"/>
          <w:szCs w:val="17"/>
          <w:i w:val="1"/>
          <w:iCs w:val="1"/>
          <w:color w:val="auto"/>
        </w:rPr>
        <w:t>OCG</w:t>
      </w:r>
      <w:r>
        <w:rPr>
          <w:rFonts w:ascii="Arial" w:cs="Arial" w:eastAsia="Arial" w:hAnsi="Arial"/>
          <w:sz w:val="17"/>
          <w:szCs w:val="17"/>
          <w:color w:val="auto"/>
        </w:rPr>
        <w:t>”) and Atlas OCM Holdings LLC (“</w:t>
      </w:r>
      <w:r>
        <w:rPr>
          <w:rFonts w:ascii="Arial" w:cs="Arial" w:eastAsia="Arial" w:hAnsi="Arial"/>
          <w:sz w:val="17"/>
          <w:szCs w:val="17"/>
          <w:i w:val="1"/>
          <w:iCs w:val="1"/>
          <w:color w:val="auto"/>
        </w:rPr>
        <w:t>Atlas OCM</w:t>
      </w:r>
      <w:r>
        <w:rPr>
          <w:rFonts w:ascii="Arial" w:cs="Arial" w:eastAsia="Arial" w:hAnsi="Arial"/>
          <w:sz w:val="17"/>
          <w:szCs w:val="17"/>
          <w:color w:val="auto"/>
        </w:rPr>
        <w:t>”). As of June 30, 2021, approximately 62% of OCM’s business is indirectly owned by Brookfield Asset Management, Inc. (“</w:t>
      </w:r>
      <w:r>
        <w:rPr>
          <w:rFonts w:ascii="Arial" w:cs="Arial" w:eastAsia="Arial" w:hAnsi="Arial"/>
          <w:sz w:val="17"/>
          <w:szCs w:val="17"/>
          <w:i w:val="1"/>
          <w:iCs w:val="1"/>
          <w:color w:val="auto"/>
        </w:rPr>
        <w:t>Brookfield</w:t>
      </w:r>
      <w:r>
        <w:rPr>
          <w:rFonts w:ascii="Arial" w:cs="Arial" w:eastAsia="Arial" w:hAnsi="Arial"/>
          <w:sz w:val="17"/>
          <w:szCs w:val="17"/>
          <w:color w:val="auto"/>
        </w:rPr>
        <w:t>”) and the remaining approximately 38% is ultimately owned by current and former OCM executives and employees. Brookfield’s ownership interest in OCM’s business is held through OCG, Atlas OCM and other holding entities. BAM Partners Trust is the sole owner of Class B Limited Voting Shares of Brookfield. The current and former OCM executives and employees hold their interests through a separate entity, Oaktree Capital Group Holdings, L.P. (“</w:t>
      </w:r>
      <w:r>
        <w:rPr>
          <w:rFonts w:ascii="Arial" w:cs="Arial" w:eastAsia="Arial" w:hAnsi="Arial"/>
          <w:sz w:val="17"/>
          <w:szCs w:val="17"/>
          <w:i w:val="1"/>
          <w:iCs w:val="1"/>
          <w:color w:val="auto"/>
        </w:rPr>
        <w:t>OCGH LP</w:t>
      </w:r>
      <w:r>
        <w:rPr>
          <w:rFonts w:ascii="Arial" w:cs="Arial" w:eastAsia="Arial" w:hAnsi="Arial"/>
          <w:sz w:val="17"/>
          <w:szCs w:val="17"/>
          <w:color w:val="auto"/>
        </w:rPr>
        <w:t>”). The board of directors of OCG and of Atlas OCM is currently comprised of: (i) five Oaktree senior executives, Howard S. Marks, Bruce A. Karsh, Jay S. Wintrob, John B. Frank, and Sheldon M. Stone; (ii) three independent directors, Stephen J. Gilbert, D. Richard Masson, and Marna C. Whittington; and (iii) two Brookfield senior executives, Justin B. Beber and J. Bruce Flatt.</w:t>
      </w:r>
    </w:p>
    <w:p>
      <w:pPr>
        <w:spacing w:after="0" w:line="41" w:lineRule="exact"/>
        <w:rPr>
          <w:rFonts w:ascii="Arial" w:cs="Arial" w:eastAsia="Arial" w:hAnsi="Arial"/>
          <w:sz w:val="17"/>
          <w:szCs w:val="17"/>
          <w:color w:val="auto"/>
        </w:rPr>
      </w:pPr>
    </w:p>
    <w:p>
      <w:pPr>
        <w:ind w:left="1620" w:right="459" w:hanging="360"/>
        <w:spacing w:after="0" w:line="254"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shares offered hereby are held by PEAK6 Capital Management LLC (“</w:t>
      </w:r>
      <w:r>
        <w:rPr>
          <w:rFonts w:ascii="Arial" w:cs="Arial" w:eastAsia="Arial" w:hAnsi="Arial"/>
          <w:sz w:val="18"/>
          <w:szCs w:val="18"/>
          <w:i w:val="1"/>
          <w:iCs w:val="1"/>
          <w:color w:val="auto"/>
        </w:rPr>
        <w:t>PEAK6</w:t>
      </w:r>
      <w:r>
        <w:rPr>
          <w:rFonts w:ascii="Arial" w:cs="Arial" w:eastAsia="Arial" w:hAnsi="Arial"/>
          <w:sz w:val="18"/>
          <w:szCs w:val="18"/>
          <w:color w:val="auto"/>
        </w:rPr>
        <w:t>”) in which Matthew Hulsizer and Jennifer Just are the only beneficial controlling owners and share voting and investment power equally. PEAK6 is a registered-broker dealer. PEAK6 is also affiliated with Apex Clearing Corporation, Electronic Transaction Clearing, Inc. and Hardcastle Trading USA, LLC, which are all broker-dealers. Based on information provided by the Selling Securityholder, the Selling Securityholder acquired the shares for investment purposes, and at the time of the acquisition of the shares, the Selling Securityholder did not have any agreements or understandings with any person to distribute such shares.</w:t>
      </w:r>
    </w:p>
    <w:p>
      <w:pPr>
        <w:spacing w:after="0" w:line="43" w:lineRule="exact"/>
        <w:rPr>
          <w:rFonts w:ascii="Arial" w:cs="Arial" w:eastAsia="Arial" w:hAnsi="Arial"/>
          <w:sz w:val="18"/>
          <w:szCs w:val="18"/>
          <w:color w:val="auto"/>
        </w:rPr>
      </w:pPr>
    </w:p>
    <w:p>
      <w:pPr>
        <w:ind w:left="1620" w:right="439" w:hanging="360"/>
        <w:spacing w:after="0" w:line="270" w:lineRule="auto"/>
        <w:tabs>
          <w:tab w:leader="none" w:pos="16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333,333 shares of Class A common stock held by PIMCO Red Stick Fund, L.P., 666,667 shares of Class A common stock held by PIMCO Global Credit Opportunity Master Fund LDC, 2,333,333 shares of Class A common stock held by PIMCO Tactical Opportunities Master Fund Ltd. and 666,667 shares of Class A common stock held by OC III LVS V LP. PIMCO Investments LLC is a broker-dealer subsidiary of Pacific Investment Management Company LLC, the Investment Manager of the Selling Securityholders. Based on information provided by the Selling Securityholders, the Selling Securityholders acquired the shares for investment purposes, and at the time of the acquisition of such shares, the Selling Securityholders did not have any agreements or understandings with any person to distribute such shares.</w:t>
      </w:r>
    </w:p>
    <w:p>
      <w:pPr>
        <w:spacing w:after="0" w:line="32" w:lineRule="exact"/>
        <w:rPr>
          <w:rFonts w:ascii="Arial" w:cs="Arial" w:eastAsia="Arial" w:hAnsi="Arial"/>
          <w:sz w:val="17"/>
          <w:szCs w:val="17"/>
          <w:color w:val="auto"/>
        </w:rPr>
      </w:pPr>
    </w:p>
    <w:p>
      <w:pPr>
        <w:ind w:left="1620" w:right="499" w:hanging="360"/>
        <w:spacing w:after="0" w:line="259"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SB Management Limited is the investment manager of SB Northstar LP and as such may be deemed to have voting and investment power of the securities held by SB Northstar LP. SB Management Limited is owned by Softbank Group Corp. The principal business address of SB Northstar LP is 190 Elgin Avenye, George Town, Grand Cayman Ky 1-9008, Cayman Islands.</w:t>
      </w:r>
    </w:p>
    <w:p>
      <w:pPr>
        <w:spacing w:after="0" w:line="38" w:lineRule="exact"/>
        <w:rPr>
          <w:rFonts w:ascii="Arial" w:cs="Arial" w:eastAsia="Arial" w:hAnsi="Arial"/>
          <w:sz w:val="18"/>
          <w:szCs w:val="18"/>
          <w:color w:val="auto"/>
        </w:rPr>
      </w:pPr>
    </w:p>
    <w:p>
      <w:pPr>
        <w:ind w:left="1620" w:right="439" w:hanging="360"/>
        <w:spacing w:after="0" w:line="254"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Schonfeld Strategic Advisors LLC is a registered investment advisor and has been delegated the legal power to vote and/or direct the disposition of the shares offered hereby on behalf of Schonfeld Strategic 460 Fund LLC as a general partner or investment manager and would be considered the beneficial owner of such shares. The above shall not be deemed to be an admission by the record owner or Schonfeld Strategic 460 Fund LLC that they are themselves beneficial owners of these shares for purposes of Section 13(d) of the Exchange Act or any other purpose. The address of the foregoing entities is 460 Park Ave., Fl. 19, New York, NY 10022.</w:t>
      </w:r>
    </w:p>
    <w:p>
      <w:pPr>
        <w:spacing w:after="0" w:line="59" w:lineRule="exact"/>
        <w:rPr>
          <w:rFonts w:ascii="Arial" w:cs="Arial" w:eastAsia="Arial" w:hAnsi="Arial"/>
          <w:sz w:val="18"/>
          <w:szCs w:val="18"/>
          <w:color w:val="auto"/>
        </w:rPr>
      </w:pPr>
    </w:p>
    <w:p>
      <w:pPr>
        <w:ind w:left="1620" w:right="519" w:hanging="360"/>
        <w:spacing w:after="0" w:line="286" w:lineRule="auto"/>
        <w:tabs>
          <w:tab w:leader="none" w:pos="16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1,416,667 shares of Class A common stock held by Sculptor Special Funding, LP and 250,000 shares of Class A common stock held by Sculptor Enhanced Master Fund, Ltd. Sculptor Special Funding, LP (“</w:t>
      </w:r>
      <w:r>
        <w:rPr>
          <w:rFonts w:ascii="Arial" w:cs="Arial" w:eastAsia="Arial" w:hAnsi="Arial"/>
          <w:sz w:val="17"/>
          <w:szCs w:val="17"/>
          <w:i w:val="1"/>
          <w:iCs w:val="1"/>
          <w:color w:val="auto"/>
        </w:rPr>
        <w:t>NRMD</w:t>
      </w:r>
      <w:r>
        <w:rPr>
          <w:rFonts w:ascii="Arial" w:cs="Arial" w:eastAsia="Arial" w:hAnsi="Arial"/>
          <w:sz w:val="17"/>
          <w:szCs w:val="17"/>
          <w:color w:val="auto"/>
        </w:rPr>
        <w:t>”), a Cayman Islands exempted</w:t>
      </w:r>
    </w:p>
    <w:p>
      <w:pPr>
        <w:sectPr>
          <w:pgSz w:w="11900" w:h="16838" w:orient="portrait"/>
          <w:cols w:equalWidth="0" w:num="1">
            <w:col w:w="9879"/>
          </w:cols>
          <w:pgMar w:left="580" w:top="132" w:right="1440" w:bottom="1440" w:gutter="0" w:footer="0" w:header="0"/>
        </w:sectPr>
      </w:pP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8" w:name="page159"/>
    <w:bookmarkEnd w:id="15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limited partnership, is the beneficial owner of 1,416,667 shares. NRMD is wholly owned by Sculptor</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Master Fund, Ltd. (“</w:t>
      </w:r>
      <w:r>
        <w:rPr>
          <w:rFonts w:ascii="Arial" w:cs="Arial" w:eastAsia="Arial" w:hAnsi="Arial"/>
          <w:sz w:val="17"/>
          <w:szCs w:val="17"/>
          <w:i w:val="1"/>
          <w:iCs w:val="1"/>
          <w:color w:val="auto"/>
        </w:rPr>
        <w:t>SCMF</w:t>
      </w:r>
      <w:r>
        <w:rPr>
          <w:rFonts w:ascii="Arial" w:cs="Arial" w:eastAsia="Arial" w:hAnsi="Arial"/>
          <w:sz w:val="17"/>
          <w:szCs w:val="17"/>
          <w:color w:val="auto"/>
        </w:rPr>
        <w:t>”), a Cayman Islands exempted limited partnership, and thus SCMF may be</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deemed a beneficial owner of the shares held by NRMD. Sculptor Enhanced Master Fund, Ltd.</w:t>
      </w: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SCEN</w:t>
      </w:r>
      <w:r>
        <w:rPr>
          <w:rFonts w:ascii="Arial" w:cs="Arial" w:eastAsia="Arial" w:hAnsi="Arial"/>
          <w:sz w:val="17"/>
          <w:szCs w:val="17"/>
          <w:color w:val="auto"/>
        </w:rPr>
        <w:t>”), a Cayman Islands company, is the beneficial owner of 250,000 shares. Sculptor Capital LP</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Sculptor</w:t>
      </w:r>
      <w:r>
        <w:rPr>
          <w:rFonts w:ascii="Arial" w:cs="Arial" w:eastAsia="Arial" w:hAnsi="Arial"/>
          <w:sz w:val="17"/>
          <w:szCs w:val="17"/>
          <w:color w:val="auto"/>
        </w:rPr>
        <w:t>”), a Delaware limited partnership, is the investment adviser to NRMD, SCMF and SCEN,</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and thus may be deemed a beneficial owner of the shares in the accounts managed by Sculptor.</w:t>
      </w:r>
    </w:p>
    <w:p>
      <w:pPr>
        <w:ind w:left="1620"/>
        <w:spacing w:after="0"/>
        <w:rPr>
          <w:sz w:val="20"/>
          <w:szCs w:val="20"/>
          <w:color w:val="auto"/>
        </w:rPr>
      </w:pPr>
      <w:r>
        <w:rPr>
          <w:rFonts w:ascii="Arial" w:cs="Arial" w:eastAsia="Arial" w:hAnsi="Arial"/>
          <w:sz w:val="17"/>
          <w:szCs w:val="17"/>
          <w:color w:val="auto"/>
        </w:rPr>
        <w:t>Sculptor Capital Holding Corporation, a Delaware corporation (“</w:t>
      </w:r>
      <w:r>
        <w:rPr>
          <w:rFonts w:ascii="Arial" w:cs="Arial" w:eastAsia="Arial" w:hAnsi="Arial"/>
          <w:sz w:val="17"/>
          <w:szCs w:val="17"/>
          <w:i w:val="1"/>
          <w:iCs w:val="1"/>
          <w:color w:val="auto"/>
        </w:rPr>
        <w:t>SCHC</w:t>
      </w:r>
      <w:r>
        <w:rPr>
          <w:rFonts w:ascii="Arial" w:cs="Arial" w:eastAsia="Arial" w:hAnsi="Arial"/>
          <w:sz w:val="17"/>
          <w:szCs w:val="17"/>
          <w:color w:val="auto"/>
        </w:rPr>
        <w:t>”), serves as the sole general</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partner of Sculptor. As such, SCHC may be deemed to control Sculptor and, therefore, may be deemed</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 beneficial owner of the shares in the accounts managed by Sculptor. Sculptor Capital Management,</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Inc. (“</w:t>
      </w:r>
      <w:r>
        <w:rPr>
          <w:rFonts w:ascii="Arial" w:cs="Arial" w:eastAsia="Arial" w:hAnsi="Arial"/>
          <w:sz w:val="18"/>
          <w:szCs w:val="18"/>
          <w:i w:val="1"/>
          <w:iCs w:val="1"/>
          <w:color w:val="auto"/>
        </w:rPr>
        <w:t>SCU</w:t>
      </w:r>
      <w:r>
        <w:rPr>
          <w:rFonts w:ascii="Arial" w:cs="Arial" w:eastAsia="Arial" w:hAnsi="Arial"/>
          <w:sz w:val="18"/>
          <w:szCs w:val="18"/>
          <w:color w:val="auto"/>
        </w:rPr>
        <w:t>”), a Delaware corporation, is the sole shareholder of SCHC, and may be deemed a</w:t>
      </w:r>
    </w:p>
    <w:p>
      <w:pPr>
        <w:ind w:left="1620"/>
        <w:spacing w:after="0"/>
        <w:rPr>
          <w:sz w:val="20"/>
          <w:szCs w:val="20"/>
          <w:color w:val="auto"/>
        </w:rPr>
      </w:pPr>
      <w:r>
        <w:rPr>
          <w:rFonts w:ascii="Arial" w:cs="Arial" w:eastAsia="Arial" w:hAnsi="Arial"/>
          <w:sz w:val="17"/>
          <w:szCs w:val="17"/>
          <w:color w:val="auto"/>
        </w:rPr>
        <w:t>beneficial owner of the shares in the accounts managed by Sculptor. The business address of Sculptor,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SCHC and SCU is 9 West 57 Street, 39 Floor, New York, NY 10019. The business address of NRMD,</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SCMF, and SCEN is c/o State Street (Cayman) Trust, Limited, 1 Nexus Way — Suite #5203, PO Box</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896, Helicona Courtyard, Camana Bay, Grand Cayman, KY1-1103, Cayman Islands.</w:t>
      </w:r>
    </w:p>
    <w:p>
      <w:pPr>
        <w:spacing w:after="0" w:line="47" w:lineRule="exact"/>
        <w:rPr>
          <w:sz w:val="20"/>
          <w:szCs w:val="20"/>
          <w:color w:val="auto"/>
        </w:rPr>
      </w:pPr>
    </w:p>
    <w:p>
      <w:pPr>
        <w:ind w:left="1620" w:right="459" w:hanging="360"/>
        <w:spacing w:after="0" w:line="253" w:lineRule="auto"/>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shares are held in the account of Soroban Opportunities Master Fund LP. Soroban Capital GP LLC may be deemed to beneficially own the shares by virtue of its role as general partner of Soroban Opportunities Master Fund LP. Soroban Capital Partners LP may be deemed to beneficially own the shares by virtue of its role as investment manager of Soroban Opportunities Master Fund LP. Soroban Capital Partners GP LLC may be deemed to beneficially own the shares by virtue of its role as general partner of Soroban Capital Partners LP. Eric W. Mandelblatt may be deemed to beneficially own the shares by virtue of his role as Managing Partner of Soroban Capital Partners GP LLC. Each of Soroban Capital GP LLC, Soroban Capital Partners LP, Soroban Capital Partners GP LLC and Eric W. Mandelblatt disclaim beneficial ownership of the shares except to the extent of his or its pecuniary interest.</w:t>
      </w:r>
    </w:p>
    <w:p>
      <w:pPr>
        <w:spacing w:after="0" w:line="45" w:lineRule="exact"/>
        <w:rPr>
          <w:rFonts w:ascii="Arial" w:cs="Arial" w:eastAsia="Arial" w:hAnsi="Arial"/>
          <w:sz w:val="18"/>
          <w:szCs w:val="18"/>
          <w:color w:val="auto"/>
        </w:rPr>
      </w:pPr>
    </w:p>
    <w:p>
      <w:pPr>
        <w:ind w:left="1620" w:right="419" w:hanging="360"/>
        <w:spacing w:after="0" w:line="270" w:lineRule="auto"/>
        <w:tabs>
          <w:tab w:leader="none" w:pos="1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180,827 shares of Class A common stock held for the account of Palindrome Trading LLC, a Delaware limited liability company (“</w:t>
      </w:r>
      <w:r>
        <w:rPr>
          <w:rFonts w:ascii="Arial" w:cs="Arial" w:eastAsia="Arial" w:hAnsi="Arial"/>
          <w:sz w:val="17"/>
          <w:szCs w:val="17"/>
          <w:i w:val="1"/>
          <w:iCs w:val="1"/>
          <w:color w:val="auto"/>
        </w:rPr>
        <w:t>Palindrome</w:t>
      </w:r>
      <w:r>
        <w:rPr>
          <w:rFonts w:ascii="Arial" w:cs="Arial" w:eastAsia="Arial" w:hAnsi="Arial"/>
          <w:sz w:val="17"/>
          <w:szCs w:val="17"/>
          <w:color w:val="auto"/>
        </w:rPr>
        <w:t>”) and 1,485,840 shares of Class A common stock held for the account of Quantum Investments Ltd., a Cayman Islands exempted limited company (</w:t>
      </w:r>
      <w:r>
        <w:rPr>
          <w:rFonts w:ascii="Arial" w:cs="Arial" w:eastAsia="Arial" w:hAnsi="Arial"/>
          <w:sz w:val="17"/>
          <w:szCs w:val="17"/>
          <w:i w:val="1"/>
          <w:iCs w:val="1"/>
          <w:color w:val="auto"/>
        </w:rPr>
        <w:t>“QI</w:t>
      </w:r>
      <w:r>
        <w:rPr>
          <w:rFonts w:ascii="Arial" w:cs="Arial" w:eastAsia="Arial" w:hAnsi="Arial"/>
          <w:sz w:val="17"/>
          <w:szCs w:val="17"/>
          <w:color w:val="auto"/>
        </w:rPr>
        <w:t>”). Soros Fund Management LLC (“</w:t>
      </w:r>
      <w:r>
        <w:rPr>
          <w:rFonts w:ascii="Arial" w:cs="Arial" w:eastAsia="Arial" w:hAnsi="Arial"/>
          <w:sz w:val="17"/>
          <w:szCs w:val="17"/>
          <w:i w:val="1"/>
          <w:iCs w:val="1"/>
          <w:color w:val="auto"/>
        </w:rPr>
        <w:t>SFM LLC</w:t>
      </w:r>
      <w:r>
        <w:rPr>
          <w:rFonts w:ascii="Arial" w:cs="Arial" w:eastAsia="Arial" w:hAnsi="Arial"/>
          <w:sz w:val="17"/>
          <w:szCs w:val="17"/>
          <w:color w:val="auto"/>
        </w:rPr>
        <w:t>”) serves as principal investment manager to QI and Palindrome. As such, SFM LLC has been granted investment discretion over portfolio investments, including the shares, held for the accounts of QI and Palindrome. George Soros serves as Chairman of SFM LLC and has sole discretion to replace FPR Manager LLC, the manager of SFM LLC. The business address for QI and Palindrome is c/o Soros Fund Management LLC, 250 West 55th Street, New York, NY 10019.</w:t>
      </w:r>
    </w:p>
    <w:p>
      <w:pPr>
        <w:spacing w:after="0" w:line="32" w:lineRule="exact"/>
        <w:rPr>
          <w:rFonts w:ascii="Arial" w:cs="Arial" w:eastAsia="Arial" w:hAnsi="Arial"/>
          <w:sz w:val="17"/>
          <w:szCs w:val="17"/>
          <w:color w:val="auto"/>
        </w:rPr>
      </w:pPr>
    </w:p>
    <w:p>
      <w:pPr>
        <w:ind w:left="1620" w:right="419" w:hanging="360"/>
        <w:spacing w:after="0" w:line="257" w:lineRule="auto"/>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1,323,333 Class A common stock held by Suvretta Master Fund, Ltd. and 10,000 Class A common stock held by Suvretta Long Master Fund, Ltd. Aaron Cowen may be deemed a beneficial owner of such shares due to his position as control person of Suvreta Capital Management, LLC, the investment manager of Suvretta Master Fund, Ltd. and Suvretta Long Master Fund, Ltd.</w:t>
      </w:r>
    </w:p>
    <w:p>
      <w:pPr>
        <w:spacing w:after="0" w:line="39" w:lineRule="exact"/>
        <w:rPr>
          <w:rFonts w:ascii="Arial" w:cs="Arial" w:eastAsia="Arial" w:hAnsi="Arial"/>
          <w:sz w:val="18"/>
          <w:szCs w:val="18"/>
          <w:color w:val="auto"/>
        </w:rPr>
      </w:pPr>
    </w:p>
    <w:p>
      <w:pPr>
        <w:ind w:left="1620" w:right="599" w:hanging="360"/>
        <w:spacing w:after="0" w:line="279" w:lineRule="auto"/>
        <w:tabs>
          <w:tab w:leader="none" w:pos="1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Hudson Bay Capital Management LP, the investment manager of Tech Opportunities LLC, has voting and investment power over these shares. Sander Gerber is the managing member of Hudson Bay Capital GP LLC, which is the general partner of Hudson Bay Capital Management LP. Each of Tech Opportunities LLC and Sander Gerber disclaims beneficial ownership over these shares.</w:t>
      </w:r>
    </w:p>
    <w:p>
      <w:pPr>
        <w:spacing w:after="0" w:line="22" w:lineRule="exact"/>
        <w:rPr>
          <w:rFonts w:ascii="Arial" w:cs="Arial" w:eastAsia="Arial" w:hAnsi="Arial"/>
          <w:sz w:val="17"/>
          <w:szCs w:val="17"/>
          <w:color w:val="auto"/>
        </w:rPr>
      </w:pPr>
    </w:p>
    <w:p>
      <w:pPr>
        <w:ind w:left="1620" w:right="439" w:hanging="360"/>
        <w:spacing w:after="0" w:line="255" w:lineRule="auto"/>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186,428 shares of Class A common stock held by PBCAY One Limited, 401,244 shares of Class A common stock held by TCIM Opportunities I Ltd. and 412,328 shares of Class A common stock held by TOMS Capital Investments LLC. TOMS Capital Investment Management L.P. is the investment manager of the Selling Securityholders. Benjamin Pass is the Chief Investment Officer of TOMS Capital Investment Management L.P. and may be deemed a beneficial owner of the shares.</w:t>
      </w:r>
    </w:p>
    <w:p>
      <w:pPr>
        <w:spacing w:after="0" w:line="57" w:lineRule="exact"/>
        <w:rPr>
          <w:rFonts w:ascii="Arial" w:cs="Arial" w:eastAsia="Arial" w:hAnsi="Arial"/>
          <w:sz w:val="18"/>
          <w:szCs w:val="18"/>
          <w:color w:val="auto"/>
        </w:rPr>
      </w:pPr>
    </w:p>
    <w:p>
      <w:pPr>
        <w:ind w:left="1620" w:right="439" w:hanging="360"/>
        <w:spacing w:after="0" w:line="255" w:lineRule="auto"/>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153,833 shares of Class A common stock held by Nineteen77 Global Multi-Strategy Alpha Master Limited, 153,833 shares of Class A common stock held by Nineteen77 Global Merger Arbitrage Master Limited and 25,667 shares of Class A common stock held by Nineteen77 Global Merger Arbitrage Opportunity Fund. Kevin Russell, Chief Investment Officer, UBS O’Connor, the investment manager of the Selling Securityholders, disclaims beneficial ownership of the shares.</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9" w:name="page160"/>
    <w:bookmarkEnd w:id="15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hanging="360"/>
        <w:spacing w:after="0" w:line="259"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Willoughby Capital Holdings, LLC is the sole owner of the general partner of the Selling Securityholder and may share dispositive and voting power over the shares held by the Selling Securityholder. The business address of the Selling Securityholder is c/o Willoughby Capital Holdings, LLC, 10 Bank St., Suite 1120, White Plains, NY 10606.</w:t>
      </w:r>
    </w:p>
    <w:p>
      <w:pPr>
        <w:spacing w:after="0" w:line="38" w:lineRule="exact"/>
        <w:rPr>
          <w:rFonts w:ascii="Arial" w:cs="Arial" w:eastAsia="Arial" w:hAnsi="Arial"/>
          <w:sz w:val="18"/>
          <w:szCs w:val="18"/>
          <w:color w:val="auto"/>
        </w:rPr>
      </w:pPr>
    </w:p>
    <w:p>
      <w:pPr>
        <w:ind w:left="1620" w:right="439" w:hanging="360"/>
        <w:spacing w:after="0" w:line="289" w:lineRule="auto"/>
        <w:tabs>
          <w:tab w:leader="none" w:pos="16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493,333 shares of Class A common stock held by Brookdale Global Opportunity Fund (“</w:t>
      </w:r>
      <w:r>
        <w:rPr>
          <w:rFonts w:ascii="Arial" w:cs="Arial" w:eastAsia="Arial" w:hAnsi="Arial"/>
          <w:sz w:val="16"/>
          <w:szCs w:val="16"/>
          <w:i w:val="1"/>
          <w:iCs w:val="1"/>
          <w:color w:val="auto"/>
        </w:rPr>
        <w:t>BGO</w:t>
      </w:r>
      <w:r>
        <w:rPr>
          <w:rFonts w:ascii="Arial" w:cs="Arial" w:eastAsia="Arial" w:hAnsi="Arial"/>
          <w:sz w:val="16"/>
          <w:szCs w:val="16"/>
          <w:color w:val="auto"/>
        </w:rPr>
        <w:t>”) and 840,000 shares of Class A common stock held by Brookdale International Partners, L.P. (“</w:t>
      </w:r>
      <w:r>
        <w:rPr>
          <w:rFonts w:ascii="Arial" w:cs="Arial" w:eastAsia="Arial" w:hAnsi="Arial"/>
          <w:sz w:val="16"/>
          <w:szCs w:val="16"/>
          <w:i w:val="1"/>
          <w:iCs w:val="1"/>
          <w:color w:val="auto"/>
        </w:rPr>
        <w:t>BIP</w:t>
      </w:r>
      <w:r>
        <w:rPr>
          <w:rFonts w:ascii="Arial" w:cs="Arial" w:eastAsia="Arial" w:hAnsi="Arial"/>
          <w:sz w:val="16"/>
          <w:szCs w:val="16"/>
          <w:color w:val="auto"/>
        </w:rPr>
        <w:t>”). Andrew Weiss is the Manager of WAM GP LLC, which is the general partner of Weiss Asset Management LP, the investment manager of BGO and BIP. WAM GP LLC is also the Manager of BIP GP LLC, the general partner of BIP. Mr. Weiss has voting and dispositive power with respect to the shares held by BGO and BIP. Mr. Weiss, WAM GP LLC, Weiss Asset Management LP and BIP GP LLC each disclaim beneficial ownership of the shares held by BGO and BIP, except to the extent of their respective pecuniary interests therein. The business address of the foregoing entities is c/o Weiss Asset Management, 222 Berkeley Street, 16th Floor, Boston, MA 02116.</w:t>
      </w:r>
    </w:p>
    <w:p>
      <w:pPr>
        <w:spacing w:after="0" w:line="17" w:lineRule="exact"/>
        <w:rPr>
          <w:rFonts w:ascii="Arial" w:cs="Arial" w:eastAsia="Arial" w:hAnsi="Arial"/>
          <w:sz w:val="16"/>
          <w:szCs w:val="16"/>
          <w:color w:val="auto"/>
        </w:rPr>
      </w:pPr>
    </w:p>
    <w:p>
      <w:pPr>
        <w:ind w:left="1620" w:right="439" w:hanging="360"/>
        <w:spacing w:after="0" w:line="266" w:lineRule="auto"/>
        <w:tabs>
          <w:tab w:leader="none" w:pos="16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registered holders of the referenced shares are the following entities affiliated with Wellington Management Company, LLP (“</w:t>
      </w:r>
      <w:r>
        <w:rPr>
          <w:rFonts w:ascii="Arial" w:cs="Arial" w:eastAsia="Arial" w:hAnsi="Arial"/>
          <w:sz w:val="17"/>
          <w:szCs w:val="17"/>
          <w:i w:val="1"/>
          <w:iCs w:val="1"/>
          <w:color w:val="auto"/>
        </w:rPr>
        <w:t>WMC</w:t>
      </w:r>
      <w:r>
        <w:rPr>
          <w:rFonts w:ascii="Arial" w:cs="Arial" w:eastAsia="Arial" w:hAnsi="Arial"/>
          <w:sz w:val="17"/>
          <w:szCs w:val="17"/>
          <w:color w:val="auto"/>
        </w:rPr>
        <w:t>”): 101,216 shares of Class A common stock held by High Haith Investors (Cayman) II, Ltd., 92,588 shares of Class A common stock held by High Haith Master Investors (Cayman) L.P., 336,752 shares of Class A common stock held by Next Generation Vehicles Master Fund (Cayman) L.P., 120,916 shares of Class A common stock held by Quissett Investors (Bermuda) L.P., 103,130 shares of Class A common stock held by Quissett Partners, L.P., 45,169 shares of Class A common stock held by SA Multi-Managed Mid Cap Growth Portfolio, 898,723 shares of Class A common stock held by SA Wellington Capital Appreciation Portfolio, 26,764 shares of Class A common stock held by Schroder Investment Management (Luxembourg) S.A., 19,699 shares of Class A common stock held by Schroder Investment Management (Luxembourg) S.A., 27,094 shares of Class A common stock held by Schroder Investment Management (Luxembourg) S.A., 136,973 shares of Class A common stock held by Spindrift Investors (Bermuda) L.P., 201,712 shares of Class A common stock held by Spindrift Partners, L.P. and 3,555,931 shares of Class A common stock held by The Hartford Growth Opportunities Fund. WMC has the power to vote and dispose the shares held by the entities named herein pursuant to WMC’s investment management relationship with each of such entities. WMC is a subsidiary of Wellington Management Group LLP (“</w:t>
      </w:r>
      <w:r>
        <w:rPr>
          <w:rFonts w:ascii="Arial" w:cs="Arial" w:eastAsia="Arial" w:hAnsi="Arial"/>
          <w:sz w:val="17"/>
          <w:szCs w:val="17"/>
          <w:i w:val="1"/>
          <w:iCs w:val="1"/>
          <w:color w:val="auto"/>
        </w:rPr>
        <w:t>WMG</w:t>
      </w:r>
      <w:r>
        <w:rPr>
          <w:rFonts w:ascii="Arial" w:cs="Arial" w:eastAsia="Arial" w:hAnsi="Arial"/>
          <w:sz w:val="17"/>
          <w:szCs w:val="17"/>
          <w:color w:val="auto"/>
        </w:rPr>
        <w:t>”). WMG is a Massachusetts limited liability partnership, privately held by 182 partners (as of March 31, 2021). There are no external entities with any ownership interest in the firm. Individual percentages of ownership are confidential. However, no single partner owns or has the right to vote more than 5% of the Partnership’s capital. Additional information about WMC is available in Form ADV filed with the SEC. Additionally, WMC is under common control with Wellington Funds Distributors Inc. (“</w:t>
      </w:r>
      <w:r>
        <w:rPr>
          <w:rFonts w:ascii="Arial" w:cs="Arial" w:eastAsia="Arial" w:hAnsi="Arial"/>
          <w:sz w:val="17"/>
          <w:szCs w:val="17"/>
          <w:i w:val="1"/>
          <w:iCs w:val="1"/>
          <w:color w:val="auto"/>
        </w:rPr>
        <w:t>WFD</w:t>
      </w:r>
      <w:r>
        <w:rPr>
          <w:rFonts w:ascii="Arial" w:cs="Arial" w:eastAsia="Arial" w:hAnsi="Arial"/>
          <w:sz w:val="17"/>
          <w:szCs w:val="17"/>
          <w:color w:val="auto"/>
        </w:rPr>
        <w:t>”), a limited-scope broker-dealer registered with FINRA and organized under the laws of Delaware. WFD does not engage in retail brokerage, lending or securities underwriting. Certain funds listed above are advised by WMC and WMC has the power to vote and dispose the shares pursuant to WMC’s agreement with the fund. None of these funds are affiliated with a broker-dealer participating in retail brokerage, lending, or securities underwriting. SA Multi-Managed Mid Cap Growth Portfolio and SA Wellington Capital Appreciation Portfolio are affiliated with broker-dealers registered under Section 15 of the Exchange Act. The Hartford Growth Opportunities Fund (“</w:t>
      </w:r>
      <w:r>
        <w:rPr>
          <w:rFonts w:ascii="Arial" w:cs="Arial" w:eastAsia="Arial" w:hAnsi="Arial"/>
          <w:sz w:val="17"/>
          <w:szCs w:val="17"/>
          <w:i w:val="1"/>
          <w:iCs w:val="1"/>
          <w:color w:val="auto"/>
        </w:rPr>
        <w:t>HGOF</w:t>
      </w:r>
      <w:r>
        <w:rPr>
          <w:rFonts w:ascii="Arial" w:cs="Arial" w:eastAsia="Arial" w:hAnsi="Arial"/>
          <w:sz w:val="17"/>
          <w:szCs w:val="17"/>
          <w:color w:val="auto"/>
        </w:rPr>
        <w:t>”) are affiliated with Hartford Funds Distributor, LLC (“</w:t>
      </w:r>
      <w:r>
        <w:rPr>
          <w:rFonts w:ascii="Arial" w:cs="Arial" w:eastAsia="Arial" w:hAnsi="Arial"/>
          <w:sz w:val="17"/>
          <w:szCs w:val="17"/>
          <w:i w:val="1"/>
          <w:iCs w:val="1"/>
          <w:color w:val="auto"/>
        </w:rPr>
        <w:t>HFD</w:t>
      </w:r>
      <w:r>
        <w:rPr>
          <w:rFonts w:ascii="Arial" w:cs="Arial" w:eastAsia="Arial" w:hAnsi="Arial"/>
          <w:sz w:val="17"/>
          <w:szCs w:val="17"/>
          <w:color w:val="auto"/>
        </w:rPr>
        <w:t>”), a wholly owned subsidiary of Hartford Funds Management Group, Inc., the parent company of HGOF’s investment adviser, Hartford Funds Management Company, LLC. HFD is a limited-purpose broker-dealer that primarily serves as the principal underwriter and distributor of shares offered by registered open-end management investment companies (mutual funds) and qualified tuition (529) plans. HFD does not hold or maintain funds or securities or provide clearing services for other broker-dealers(s) and does not refer or introduce customers to other brokers-dealers. Based on information provided by the Selling Securityholder, the Selling Securityholder acquired the shares for investment purposes, and at the time of the acquisition of the shares, the Selling Securityholder did not have any agreements or understandings with any person to distribute such shares. The address of each of the entities named herein is c/o Wellington Management Company LLP, 280 Congress Street, Boston, MA 02210 ATTN: Private Investment Services.</w:t>
      </w:r>
    </w:p>
    <w:p>
      <w:pPr>
        <w:spacing w:after="0" w:line="42" w:lineRule="exact"/>
        <w:rPr>
          <w:rFonts w:ascii="Arial" w:cs="Arial" w:eastAsia="Arial" w:hAnsi="Arial"/>
          <w:sz w:val="17"/>
          <w:szCs w:val="17"/>
          <w:color w:val="auto"/>
        </w:rPr>
      </w:pPr>
    </w:p>
    <w:p>
      <w:pPr>
        <w:jc w:val="both"/>
        <w:ind w:left="1620" w:right="719" w:hanging="360"/>
        <w:spacing w:after="0" w:line="308" w:lineRule="auto"/>
        <w:tabs>
          <w:tab w:leader="none" w:pos="16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Includes 11,489,400 shares of Class A common stock held by Mainstay Winslow Large Cap Growth Fund, 1,257,234 shares of Class A common stock held by Mainstay VP Winslow Large Cap Growth</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0" w:name="page161"/>
    <w:bookmarkEnd w:id="16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79" w:lineRule="auto"/>
        <w:rPr>
          <w:sz w:val="20"/>
          <w:szCs w:val="20"/>
          <w:color w:val="auto"/>
        </w:rPr>
      </w:pPr>
      <w:r>
        <w:rPr>
          <w:rFonts w:ascii="Arial" w:cs="Arial" w:eastAsia="Arial" w:hAnsi="Arial"/>
          <w:sz w:val="17"/>
          <w:szCs w:val="17"/>
          <w:color w:val="auto"/>
        </w:rPr>
        <w:t>Portfolio and 586,700 shares of Class A common stock held by Nuveen Winslow Large Cap Growth ESG Fund. Winslow Capital Management LLC is the investment subadvisor with the power to vote and dispose of the shares held by MainStay Winslow Large Cap Growth Fund, MainStay VP Winslow Large Cap Growth Portfolio and the Nuveen Winslow Large-Cap Growth ESG Fund.</w:t>
      </w:r>
    </w:p>
    <w:p>
      <w:pPr>
        <w:spacing w:after="0" w:line="23" w:lineRule="exact"/>
        <w:rPr>
          <w:sz w:val="20"/>
          <w:szCs w:val="20"/>
          <w:color w:val="auto"/>
        </w:rPr>
      </w:pPr>
    </w:p>
    <w:p>
      <w:pPr>
        <w:ind w:left="1620" w:right="559" w:hanging="360"/>
        <w:spacing w:after="0" w:line="268" w:lineRule="auto"/>
        <w:tabs>
          <w:tab w:leader="none" w:pos="16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9,083 shares of Class A common stock held by Whale Rock Flagship (AI) Fund LP, 311,658 shares of Class A common stock held by Whale Rock Long Opportunities Master Fund, LP, 969,243 shares of Class A common stock held by Whale Rock Flagship Master Fund, LP and 43,349 shares of Class A common stock held by Whale Rock Long Opportunities Fund II LP. Whale Rock Capital Management LLC (“</w:t>
      </w:r>
      <w:r>
        <w:rPr>
          <w:rFonts w:ascii="Arial" w:cs="Arial" w:eastAsia="Arial" w:hAnsi="Arial"/>
          <w:sz w:val="17"/>
          <w:szCs w:val="17"/>
          <w:i w:val="1"/>
          <w:iCs w:val="1"/>
          <w:color w:val="auto"/>
        </w:rPr>
        <w:t>Whale Rock Capital</w:t>
      </w:r>
      <w:r>
        <w:rPr>
          <w:rFonts w:ascii="Arial" w:cs="Arial" w:eastAsia="Arial" w:hAnsi="Arial"/>
          <w:sz w:val="17"/>
          <w:szCs w:val="17"/>
          <w:color w:val="auto"/>
        </w:rPr>
        <w:t>”) is the investment manager of each of Whale Rock Flagship Master Fund, LP; Whale Rock Flagship (AI) Fund LP; Whale Rock Long Opportunities Master Fund, LP and Whale Rock Long Opportunities Fund II LP (collectively, the “</w:t>
      </w:r>
      <w:r>
        <w:rPr>
          <w:rFonts w:ascii="Arial" w:cs="Arial" w:eastAsia="Arial" w:hAnsi="Arial"/>
          <w:sz w:val="17"/>
          <w:szCs w:val="17"/>
          <w:i w:val="1"/>
          <w:iCs w:val="1"/>
          <w:color w:val="auto"/>
        </w:rPr>
        <w:t>Whale Rock Funds</w:t>
      </w:r>
      <w:r>
        <w:rPr>
          <w:rFonts w:ascii="Arial" w:cs="Arial" w:eastAsia="Arial" w:hAnsi="Arial"/>
          <w:sz w:val="17"/>
          <w:szCs w:val="17"/>
          <w:color w:val="auto"/>
        </w:rPr>
        <w:t>”). Alexander Sacerdote is the managing member of Whale Rock Capital. Accordingly, each of Whale Rock Capital and Mr. Sacerdote may be deemed to have beneficial ownership of the shares held by the Whale Rock Funds insofar as they have the power to direct the voting or the disposition of such shares. Each of Whale Rock Capital and Mr. Sacerdote disclaims beneficial interest of the shares held by the Whale Rock Funds except to the extent of their respective pecuniary interest therein.</w:t>
      </w:r>
    </w:p>
    <w:p>
      <w:pPr>
        <w:spacing w:after="0" w:line="37" w:lineRule="exact"/>
        <w:rPr>
          <w:rFonts w:ascii="Arial" w:cs="Arial" w:eastAsia="Arial" w:hAnsi="Arial"/>
          <w:sz w:val="17"/>
          <w:szCs w:val="17"/>
          <w:color w:val="auto"/>
        </w:rPr>
      </w:pPr>
    </w:p>
    <w:p>
      <w:pPr>
        <w:ind w:left="1620" w:right="499" w:hanging="360"/>
        <w:spacing w:after="0" w:line="291" w:lineRule="auto"/>
        <w:tabs>
          <w:tab w:leader="none" w:pos="16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ZP Master Utility Fund, Ltd. (the “</w:t>
      </w:r>
      <w:r>
        <w:rPr>
          <w:rFonts w:ascii="Arial" w:cs="Arial" w:eastAsia="Arial" w:hAnsi="Arial"/>
          <w:sz w:val="16"/>
          <w:szCs w:val="16"/>
          <w:i w:val="1"/>
          <w:iCs w:val="1"/>
          <w:color w:val="auto"/>
        </w:rPr>
        <w:t>Fund</w:t>
      </w:r>
      <w:r>
        <w:rPr>
          <w:rFonts w:ascii="Arial" w:cs="Arial" w:eastAsia="Arial" w:hAnsi="Arial"/>
          <w:sz w:val="16"/>
          <w:szCs w:val="16"/>
          <w:color w:val="auto"/>
        </w:rPr>
        <w:t>”) has delegated to Zimmer Partners, LP, as investment manager (the “</w:t>
      </w:r>
      <w:r>
        <w:rPr>
          <w:rFonts w:ascii="Arial" w:cs="Arial" w:eastAsia="Arial" w:hAnsi="Arial"/>
          <w:sz w:val="16"/>
          <w:szCs w:val="16"/>
          <w:i w:val="1"/>
          <w:iCs w:val="1"/>
          <w:color w:val="auto"/>
        </w:rPr>
        <w:t>Investment Manager</w:t>
      </w:r>
      <w:r>
        <w:rPr>
          <w:rFonts w:ascii="Arial" w:cs="Arial" w:eastAsia="Arial" w:hAnsi="Arial"/>
          <w:sz w:val="16"/>
          <w:szCs w:val="16"/>
          <w:color w:val="auto"/>
        </w:rPr>
        <w:t>”), sole voting and investment power over the shares held by the Fund pursuant to its investment management agreement with Zimmer Partners, LP. As a result, each of the Investment Manager, Zimmer Partners GP, LLC, as the general partner of the Investment Manager, Sequentis Financial LLC, as the sole member of Zimmer Partners GP, LLC, and Stuart J. Zimmer, as the managing member of Sequentis Financial LLC, may be deemed to exercise voting and investment power over the shares held by the Fund and thus may be deemed to beneficially own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DESCRIPTION OF SECURITIES</w:t>
      </w:r>
    </w:p>
    <w:p>
      <w:pPr>
        <w:spacing w:after="0" w:line="14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i w:val="1"/>
          <w:iCs w:val="1"/>
          <w:color w:val="auto"/>
        </w:rPr>
        <w:t>The following summary of the material terms of our securities is not intended to be a complete summary of the rights and preferences of such securities and is qualified in its entirety by our current certificate of incorporation and our current bylaws. The full texts of our current certificate of incorporation and our current bylaws are filed as exhibits to the registration statement of which this prospectus is a part. For a complete description of the rights and preferences of our securities, we urge you to read our current certificate of incorporation, our current bylaws and the applicable provisions of Delaware law.</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Authorized and Outstanding Stock</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Our current certificate of incorporation authorizes the issuance of shares of our capital stock, each with a par value of $0.0001, consisting of (a) 15,000,000,000 shares of common stock and (b) 10,000,000 shares of preferred stock. The outstanding shares of Class A common stock are duly authorized, validly issued, fully paid and non-assessable.</w:t>
      </w:r>
    </w:p>
    <w:p>
      <w:pPr>
        <w:spacing w:after="0" w:line="120" w:lineRule="exact"/>
        <w:rPr>
          <w:sz w:val="20"/>
          <w:szCs w:val="20"/>
          <w:color w:val="auto"/>
        </w:rPr>
      </w:pPr>
    </w:p>
    <w:p>
      <w:pPr>
        <w:ind w:left="1260" w:right="919" w:firstLine="360"/>
        <w:spacing w:after="0" w:line="258" w:lineRule="auto"/>
        <w:rPr>
          <w:sz w:val="20"/>
          <w:szCs w:val="20"/>
          <w:color w:val="auto"/>
        </w:rPr>
      </w:pPr>
      <w:r>
        <w:rPr>
          <w:rFonts w:ascii="Arial" w:cs="Arial" w:eastAsia="Arial" w:hAnsi="Arial"/>
          <w:sz w:val="17"/>
          <w:szCs w:val="17"/>
          <w:color w:val="auto"/>
        </w:rPr>
        <w:t>As of immediately following the consummation of the Transactions, there were (i) 1,618,621,534 shares of our Class A common stock outstanding, (ii) no shares of preferred stock outstanding,</w:t>
      </w:r>
    </w:p>
    <w:p>
      <w:pPr>
        <w:spacing w:after="0" w:line="1" w:lineRule="exact"/>
        <w:rPr>
          <w:sz w:val="20"/>
          <w:szCs w:val="20"/>
          <w:color w:val="auto"/>
        </w:rPr>
      </w:pPr>
    </w:p>
    <w:p>
      <w:pPr>
        <w:ind w:left="1260" w:right="579"/>
        <w:spacing w:after="0" w:line="239" w:lineRule="auto"/>
        <w:tabs>
          <w:tab w:leader="none" w:pos="159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44,350,000 shares of Class A common stock issuable upon the exercise of Private Placement Warrants (including the Working Capital Warrants) and (iv) 41,400,000 shares of Class A common stock issuable upon the exercise of Public Warrants.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Power</w:t>
      </w:r>
    </w:p>
    <w:p>
      <w:pPr>
        <w:spacing w:after="0" w:line="148"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Class A common stock will at all times vote together as one class on all matters submitted to a vote of the common stock under our current certificate of incorporation.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Subject to limitations contained in the DGCL and our current certificate of incorporation, under our current bylaws, the Board may declare and pay dividends upon the shares of our Class A common stock, which dividends may be paid either in cash, in property or in shares of our Class A common stock.</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Liquidation, Dissolution and Winding Up</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In the event of the voluntary or involuntary liquidation, dissolution, or winding-up of the Company, the holders of our Class A common stock will be entitled to receive all the remaining assets of the Company available for distribution to stockholders, ratably in proportion to the number of shares of Class A common stock held by them, after the rights of creditors of the Company and the holders of any outstanding shares of preferred stock have been satisfied.</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Preemptive or Other Rights</w:t>
      </w:r>
    </w:p>
    <w:p>
      <w:pPr>
        <w:spacing w:after="0" w:line="148"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The holders of our Class A common stock do not have preemptive or other subscription rights and there is no sinking fund or redemption provisions applicable to our Class A common stock.</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Our current certificate of incorporation authorizes 10,000,000 shares of preferred stock and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2" w:name="page163"/>
    <w:bookmarkEnd w:id="16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48" w:lineRule="auto"/>
        <w:rPr>
          <w:sz w:val="20"/>
          <w:szCs w:val="20"/>
          <w:color w:val="auto"/>
        </w:rPr>
      </w:pPr>
      <w:r>
        <w:rPr>
          <w:rFonts w:ascii="Arial" w:cs="Arial" w:eastAsia="Arial" w:hAnsi="Arial"/>
          <w:sz w:val="18"/>
          <w:szCs w:val="18"/>
          <w:color w:val="auto"/>
        </w:rPr>
        <w:t>approval could have the effect of delaying, deferring or preventing a change of control of us or the removal of existing management. Although we do not currently intend to issue any shares of preferred stock, we cannot assure you that we will not do so in the future.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44"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Each whole Public Warrant entitles the registered holder to purchase one share of our Class A common stock at a price of $11.50 per share, subject to adjustment as discussed below, at any time commencing on August 22, 2021. Pursuant to the Warrant Agreement, a warrant holder may exercise its warrants only for a whole number of shares of Class A common stock. This means only a whole Public Warrant may be exercised at a given time. The Public Warrants will expire July 23, 2026, at 5:00 p.m., New York City time, or earlier upon redemption or liquidation.</w:t>
      </w:r>
    </w:p>
    <w:p>
      <w:pPr>
        <w:spacing w:after="0" w:line="122"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We are not obligated to deliver any shares of Class A common stock pursuant to the exercise of a Public Warrant and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our satisfying our obligations described below with respect to registration. No Public Warrant will be exercisable for cash or on a cashless basis, and we are not obligated to issue any shares to holders seeking to exercise their Public Warrants, unless the issuance of the shares upon such exercise is registered or qualified under the securities laws of the state of the exercising holder, or an exemption from registration is available. In the event that the conditions in the two immediately preceding sentences are not satisfied with respect to a Public Warrant, the holder of such warrant will not be entitled to exercise such warrant and such warrant may have no value and expire worthless.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5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have agreed that as soon as practicable, but in no event later than fifteen (15) business days after July 23, 2021, we will use our reasonable best efforts to file with the SEC, and within sixty (60) business days following July 23, 2021 to have declared effective, a registration statement covering the issuance of the shares of our Class A common stock issuable upon exercise of the Public Warrants and to maintain a current prospectus relating to those shares of Class A common stock until the Public Warrants expire or are redeemed. Notwithstanding the above, if our Class A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spacing w:after="0" w:line="112" w:lineRule="exact"/>
        <w:rPr>
          <w:sz w:val="20"/>
          <w:szCs w:val="20"/>
          <w:color w:val="auto"/>
        </w:rPr>
      </w:pPr>
    </w:p>
    <w:p>
      <w:pPr>
        <w:ind w:left="1620"/>
        <w:spacing w:after="0"/>
        <w:tabs>
          <w:tab w:leader="none" w:pos="4180" w:val="left"/>
        </w:tabs>
        <w:rPr>
          <w:sz w:val="20"/>
          <w:szCs w:val="20"/>
          <w:color w:val="auto"/>
        </w:rPr>
      </w:pPr>
      <w:r>
        <w:rPr>
          <w:rFonts w:ascii="Arial" w:cs="Arial" w:eastAsia="Arial" w:hAnsi="Arial"/>
          <w:sz w:val="18"/>
          <w:szCs w:val="18"/>
          <w:b w:val="1"/>
          <w:bCs w:val="1"/>
          <w:i w:val="1"/>
          <w:iCs w:val="1"/>
          <w:color w:val="auto"/>
        </w:rPr>
        <w:t>Redemption of Warrants for Cash.</w:t>
      </w:r>
      <w:r>
        <w:rPr>
          <w:sz w:val="20"/>
          <w:szCs w:val="20"/>
          <w:color w:val="auto"/>
        </w:rPr>
        <w:tab/>
      </w:r>
      <w:r>
        <w:rPr>
          <w:rFonts w:ascii="Arial" w:cs="Arial" w:eastAsia="Arial" w:hAnsi="Arial"/>
          <w:sz w:val="16"/>
          <w:szCs w:val="16"/>
          <w:color w:val="auto"/>
        </w:rPr>
        <w:t>Once the Public Warrants become exercisable, we may call the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Public Warrants for redemption:</w:t>
      </w:r>
    </w:p>
    <w:p>
      <w:pPr>
        <w:spacing w:after="0" w:line="88" w:lineRule="exact"/>
        <w:rPr>
          <w:sz w:val="20"/>
          <w:szCs w:val="20"/>
          <w:color w:val="auto"/>
        </w:rPr>
      </w:pPr>
    </w:p>
    <w:p>
      <w:pPr>
        <w:ind w:left="1800" w:hanging="180"/>
        <w:spacing w:after="0"/>
        <w:tabs>
          <w:tab w:leader="none" w:pos="1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03"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upon a minimum of thirty (30) days’ prior written notice of redemption, or the thirty (30)-day redemption period, to each warrant holder; and</w:t>
      </w:r>
    </w:p>
    <w:p>
      <w:pPr>
        <w:spacing w:after="0" w:line="62" w:lineRule="exact"/>
        <w:rPr>
          <w:rFonts w:ascii="Arial" w:cs="Arial" w:eastAsia="Arial" w:hAnsi="Arial"/>
          <w:sz w:val="18"/>
          <w:szCs w:val="18"/>
          <w:color w:val="auto"/>
        </w:rPr>
      </w:pPr>
    </w:p>
    <w:p>
      <w:pPr>
        <w:ind w:left="1800" w:right="479" w:hanging="180"/>
        <w:spacing w:after="0" w:line="259" w:lineRule="auto"/>
        <w:tabs>
          <w:tab w:leader="none" w:pos="1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$18.00 per share (as adjusted for stock splits, stock dividends, reorganizations, recapitalizations and the like) for any twenty (20) trading days within a thirty (30)-trading day period ending on the third trading day prior to the date on which we send the notice of redemption to the warrant holders.</w:t>
      </w:r>
    </w:p>
    <w:p>
      <w:pPr>
        <w:spacing w:after="0" w:line="119"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Class A common stock may fall below the $18.00 redemption trigger price as well as the $11.50 warrant exercise price after the redemption notice is issued.</w:t>
      </w:r>
    </w:p>
    <w:p>
      <w:pPr>
        <w:spacing w:after="0" w:line="94"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b w:val="1"/>
          <w:bCs w:val="1"/>
          <w:i w:val="1"/>
          <w:iCs w:val="1"/>
          <w:color w:val="auto"/>
        </w:rPr>
        <w:t xml:space="preserve">Redemption Procedures and Cashless Exercise. </w:t>
      </w:r>
      <w:r>
        <w:rPr>
          <w:rFonts w:ascii="Arial" w:cs="Arial" w:eastAsia="Arial" w:hAnsi="Arial"/>
          <w:sz w:val="17"/>
          <w:szCs w:val="17"/>
          <w:color w:val="auto"/>
        </w:rPr>
        <w:t>If we call the Public Warrants for redemption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described above, our management will have the option to require all holders that wish to exercise warrants to do so on a “cashless basis.” In determining whether to require all holders to exercise their Public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Public Warrants. In such event, each holder would pay the exercise price by surrendering the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per share of the warrants by (y) the fair market value. The “fair market value” shall mean the average closing price per share of our Class A common stock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our Class A common stock to be received upon exercise of the warrants, including the “fair market value” in such case. Requiring a cashless exercise in this manner will reduce the number of shares to be issued and thereby lessen the dilutive effect of a Public Warrant redemption. If we call our Public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25"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our Class A common stock outstanding immediately after giving effect to such exercise.</w:t>
      </w:r>
    </w:p>
    <w:p>
      <w:pPr>
        <w:spacing w:after="0" w:line="106"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b w:val="1"/>
          <w:bCs w:val="1"/>
          <w:i w:val="1"/>
          <w:iCs w:val="1"/>
          <w:color w:val="auto"/>
        </w:rPr>
        <w:t xml:space="preserve">Anti-Dilution Adjustments. </w:t>
      </w:r>
      <w:r>
        <w:rPr>
          <w:rFonts w:ascii="Arial" w:cs="Arial" w:eastAsia="Arial" w:hAnsi="Arial"/>
          <w:sz w:val="17"/>
          <w:szCs w:val="17"/>
          <w:color w:val="auto"/>
        </w:rPr>
        <w:t>If the number of outstanding shares of our Class A common stock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by a stock dividend payable in shares of our Class A common stock, or by a split-up of shares of our Class A common stock or other similar event, then, on the effective date of such stock dividend, split-up or similar event, the number of shares of our Class A common stock issuable on exercise of each warrant will be increased in proportion to such increase in the outstanding shares of our Class A common stock. A rights offering to holders of our Class A common stock entitling holders to purchase shares of our Class A common stock at a price less than the fair market value will be deemed a stock dividend of a number of shares of our Class A common stock equal to the product of (1) the number of shares of our Class A common stock actually sold in such rights offering (or issuable under any other equity securities sold in such rights offering that are convertible into or exercisable for our Class A common stock) multiplied by</w:t>
      </w:r>
    </w:p>
    <w:p>
      <w:pPr>
        <w:spacing w:after="0" w:line="8" w:lineRule="exact"/>
        <w:rPr>
          <w:sz w:val="20"/>
          <w:szCs w:val="20"/>
          <w:color w:val="auto"/>
        </w:rPr>
      </w:pPr>
    </w:p>
    <w:p>
      <w:pPr>
        <w:ind w:left="1520" w:hanging="260"/>
        <w:spacing w:after="0"/>
        <w:tabs>
          <w:tab w:leader="none" w:pos="15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one minus the quotient of (x) the price per share of our Class A common stock paid in such rights</w:t>
      </w:r>
    </w:p>
    <w:p>
      <w:pPr>
        <w:spacing w:after="0" w:line="9" w:lineRule="exact"/>
        <w:rPr>
          <w:rFonts w:ascii="Arial" w:cs="Arial" w:eastAsia="Arial" w:hAnsi="Arial"/>
          <w:sz w:val="18"/>
          <w:szCs w:val="18"/>
          <w:color w:val="auto"/>
        </w:rPr>
      </w:pPr>
    </w:p>
    <w:p>
      <w:pPr>
        <w:ind w:left="1260" w:right="439"/>
        <w:spacing w:after="0" w:line="288" w:lineRule="auto"/>
        <w:rPr>
          <w:rFonts w:ascii="Arial" w:cs="Arial" w:eastAsia="Arial" w:hAnsi="Arial"/>
          <w:sz w:val="18"/>
          <w:szCs w:val="18"/>
          <w:color w:val="auto"/>
        </w:rPr>
      </w:pPr>
      <w:r>
        <w:rPr>
          <w:rFonts w:ascii="Arial" w:cs="Arial" w:eastAsia="Arial" w:hAnsi="Arial"/>
          <w:sz w:val="16"/>
          <w:szCs w:val="16"/>
          <w:color w:val="auto"/>
        </w:rPr>
        <w:t>offering divided by (y) the fair market value. For these purposes (1) if the rights offering is for securities convertible into or exercisable for our Class A common stock, in determining the price payable for our Class A common stock, there will be taken into account any consideration received for such rights, as well as any additional amount payable upon exercise or conversion and (2) fair market value means the volume weighted average price per share of our Class A common stock as reported during the ten trading day period ending on the trading day prior to the first date on which the shares of our Class A common stock trade on the applicable exchange or in the applicable market, regular way, without the right to receive such rights.</w:t>
      </w:r>
    </w:p>
    <w:p>
      <w:pPr>
        <w:spacing w:after="0" w:line="87"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In addition, if we, at any time while the Public Warrants are outstanding and unexpired, pay a dividend or make a distribution in cash, securities or other assets to the holders of our Class A common stock on account of such shares of Class A common stock (or other shares of our capital stock into which</w:t>
      </w: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43" w:lineRule="auto"/>
        <w:rPr>
          <w:sz w:val="20"/>
          <w:szCs w:val="20"/>
          <w:color w:val="auto"/>
        </w:rPr>
      </w:pPr>
      <w:r>
        <w:rPr>
          <w:rFonts w:ascii="Arial" w:cs="Arial" w:eastAsia="Arial" w:hAnsi="Arial"/>
          <w:sz w:val="18"/>
          <w:szCs w:val="18"/>
          <w:color w:val="auto"/>
        </w:rPr>
        <w:t>the warrants are convertible), other than (a) as described above and (b) certain ordinary cash dividends, then the Public Warrant exercise price will be decreased, effective immediately after the effective date of such event, by the amount of cash and/or the fair market value of any securities or other assets paid on each share of our Class A common stock in respect of such event.</w:t>
      </w:r>
    </w:p>
    <w:p>
      <w:pPr>
        <w:spacing w:after="0" w:line="107"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If the number of outstanding shares of our Class A common stock is decreased by a consolidation, combination, reverse stock split or reclassification of shares of our Class A common stock or other similar event, then, on the effective date of such consolidation, combination, reverse stock split, reclassification or similar event, the number of shares of our Class A common stock issuable on exercise of each Public Warrant will be decreased in proportion to such decrease in outstanding shares of our Class A common stock.</w:t>
      </w:r>
    </w:p>
    <w:p>
      <w:pPr>
        <w:spacing w:after="0" w:line="122"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Whenever the number of shares of our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our Class A common stock purchasable upon the exercise of the warrants immediately prior to such adjustment, and (y) the denominator of which will be the number of shares of our Class A common stock so purchasable immediately thereafter.</w:t>
      </w:r>
    </w:p>
    <w:p>
      <w:pPr>
        <w:spacing w:after="0" w:line="122"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7"/>
          <w:szCs w:val="17"/>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13d- 5(b)(1) under the Exchange Act) of which such maker is a part, and together with any affiliate or associate of such maker (within the meaning of Rule 12b -2 under the Exchange Act) and any members of any such group of which any such affiliate or associate is a part, own beneficially (within the meaning of Rule 13d-3 under the Exchange Act) more than 50% of the outstanding shares of our Class A common stock, the holder of a Public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our Class A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our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Public Warrant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Public Warrants when an extraordinary transaction</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3" w:lineRule="auto"/>
        <w:rPr>
          <w:sz w:val="20"/>
          <w:szCs w:val="20"/>
          <w:color w:val="auto"/>
        </w:rPr>
      </w:pPr>
      <w:r>
        <w:rPr>
          <w:rFonts w:ascii="Arial" w:cs="Arial" w:eastAsia="Arial" w:hAnsi="Arial"/>
          <w:sz w:val="17"/>
          <w:szCs w:val="17"/>
          <w:color w:val="auto"/>
        </w:rPr>
        <w:t>occurs during the exercise period of the warrants pursuant to which the holders of the warrants otherwise do not receive the full potential value of the warrants in order to determine and realize the option value component of the Public Warrant. This formula is to compensate the warrant holder for the loss of the option value portion of the Public Warrant due to the requirement that the warrant holder exercise the warrant within thirty (30) days of the event. The Black-Scholes model is an accepted pricing model for estimating fair market value where no quoted market price for an instrument is available.</w:t>
      </w:r>
    </w:p>
    <w:p>
      <w:pPr>
        <w:spacing w:after="0" w:line="97"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The Public Warrants were issued in registered form under the Warrant Agreement. If you hold warrants, you should review a copy of the Warrant Agreement, which is filed as an exhibit to the registration statement of which this prospectus is a part, for a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10"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and any voting rights until they exercise their warrants and receive shares of our Class A common stock. After the issuance of shares of our Class A common stock upon exercise of the Public Warrants, each holder will be entitled to one vote for each share held of record on all matters to be voted on by stockholders.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Private Placement Warrants and Working Capital Warrants</w:t>
      </w:r>
    </w:p>
    <w:p>
      <w:pPr>
        <w:spacing w:after="0" w:line="15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Private Placement Warrants (including the Class A common stock issuable upon exercise of the Private Placement Warrants are not transferable, assignable or salable until (i) with respect to 14,283,333 Private Placement Warrants and pursuant to the terms of the Investor Rights Agreement, January 23, 2023 and (ii) with respect to all other Private Placement Warrants, August 22, 2021 (except, among other limited exceptions, to our officers and directors and other persons or entities affiliated with the Sponsor) and they will not be redeemable by us so long as they are held by the Sponsor or its permitted transferees. The Sponsor, or its permitted transferees, has the option to exercise the Private Placement Warrants on a cashless basis and will be entitled to certain registration rights. Otherwise, the Private Placement Warrants have terms and provisions that are identical to those of the Public Warrants. If the Private Placement Warrants are held by holders other than the Sponsor or its permitted transferees, the Private Placement Warrants will be redeemable by us and exercisable by the holders on the same basis as the Public Warrants.</w:t>
      </w:r>
    </w:p>
    <w:p>
      <w:pPr>
        <w:spacing w:after="0" w:line="101"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warrants for that number of shares of our Class A common stock equal to the quotient obtained by dividing (x) the product of the number of shares of Class A common stock underlying the warrants, multiplied by the excess of the “fair market value” (defined below) over the exercise price per share of the warrants by (y) the fair market value. The “fair market value” shall mean the average closing price per share of our Class A common stock for the ten (10) trading days ending on the third trading day prior to the date on which the notice of redemption is sent to the holders of warrants.</w:t>
      </w:r>
    </w:p>
    <w:p>
      <w:pPr>
        <w:spacing w:after="0" w:line="110"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In order to finance transaction costs in connection with an intended initial business combination, the Sponsor loaned us $1,500,000 funds pursuant to the Note. The principal amount of such promissory note was converted into Working Capital Warrants by the Sponsor. The Working Capital Warrants are identical to the Private Placement Warrants issued to the Sponsor.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62"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6" w:name="page167"/>
    <w:bookmarkEnd w:id="16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599"/>
        <w:spacing w:after="0" w:line="282" w:lineRule="auto"/>
        <w:rPr>
          <w:sz w:val="20"/>
          <w:szCs w:val="20"/>
          <w:color w:val="auto"/>
        </w:rPr>
      </w:pPr>
      <w:r>
        <w:rPr>
          <w:rFonts w:ascii="Arial" w:cs="Arial" w:eastAsia="Arial" w:hAnsi="Arial"/>
          <w:sz w:val="18"/>
          <w:szCs w:val="18"/>
          <w:b w:val="1"/>
          <w:bCs w:val="1"/>
          <w:color w:val="auto"/>
        </w:rPr>
        <w:t>Effects of Our Current Certificate of Incorporation, Our Current Bylaws and Certain Provisions of Delaware Law</w:t>
      </w:r>
    </w:p>
    <w:p>
      <w:pPr>
        <w:spacing w:after="0" w:line="85"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Class A common stock held by stockholders.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58"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Class A common stock remains listed on Nasdaq, require stockholder approval of certain issuances equal to or exceeding 20% of the then outstanding voting power or then outstanding number of shares of our Class A common stock. Additional shares that may be used in the future may be used for a variety of corporate purposes, including future public offerings, to raise additional capital or to facilitate acquisitions.</w:t>
      </w:r>
    </w:p>
    <w:p>
      <w:pPr>
        <w:spacing w:after="0" w:line="110"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9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8"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79" w:lineRule="exact"/>
        <w:rPr>
          <w:sz w:val="20"/>
          <w:szCs w:val="20"/>
          <w:color w:val="auto"/>
        </w:rPr>
      </w:pPr>
    </w:p>
    <w:p>
      <w:pPr>
        <w:ind w:left="1800" w:right="1039" w:hanging="180"/>
        <w:spacing w:after="0" w:line="277" w:lineRule="auto"/>
        <w:tabs>
          <w:tab w:leader="none" w:pos="1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89"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03" w:lineRule="exact"/>
        <w:rPr>
          <w:sz w:val="20"/>
          <w:szCs w:val="20"/>
          <w:color w:val="auto"/>
        </w:rPr>
      </w:pPr>
    </w:p>
    <w:p>
      <w:pPr>
        <w:jc w:val="both"/>
        <w:ind w:left="1260" w:right="439" w:firstLine="360"/>
        <w:spacing w:after="0" w:line="271"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ind w:left="1260" w:right="859"/>
        <w:spacing w:after="0" w:line="255" w:lineRule="auto"/>
        <w:rPr>
          <w:sz w:val="20"/>
          <w:szCs w:val="20"/>
          <w:color w:val="auto"/>
        </w:rPr>
      </w:pPr>
      <w:r>
        <w:rPr>
          <w:rFonts w:ascii="Arial" w:cs="Arial" w:eastAsia="Arial" w:hAnsi="Arial"/>
          <w:sz w:val="18"/>
          <w:szCs w:val="18"/>
          <w:color w:val="auto"/>
        </w:rPr>
        <w:t>three years owned, 15% or more of the votes of our outstanding voting stock. For purposes of this provision,” voting stock” means any class or series of stock entitled to vote generally in the election of directors.</w:t>
      </w:r>
    </w:p>
    <w:p>
      <w:pPr>
        <w:sectPr>
          <w:pgSz w:w="11900" w:h="16838" w:orient="portrait"/>
          <w:cols w:equalWidth="0" w:num="1">
            <w:col w:w="9879"/>
          </w:cols>
          <w:pgMar w:left="580" w:top="132" w:right="1440" w:bottom="1440" w:gutter="0" w:footer="0" w:header="0"/>
        </w:sectPr>
      </w:pPr>
    </w:p>
    <w:p>
      <w:pPr>
        <w:spacing w:after="0" w:line="37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7" w:name="page168"/>
    <w:bookmarkEnd w:id="16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firstLine="360"/>
        <w:spacing w:after="0" w:line="274"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44"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Under the DGCL, unless otherwise provided in our current certificate of incorporation, directors serving on a board may be removed by the stockholders only for cause. Our current certificate of incorporation provides that no director may be removed from office by the stockholders except for cause with the affirmative vote of the holders of not less than two-thirds (66 2/3 %) of the total voting power of all of our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w:t>
      </w:r>
    </w:p>
    <w:p>
      <w:pPr>
        <w:spacing w:after="0" w:line="4" w:lineRule="exact"/>
        <w:rPr>
          <w:sz w:val="20"/>
          <w:szCs w:val="20"/>
          <w:color w:val="auto"/>
        </w:rPr>
      </w:pPr>
    </w:p>
    <w:p>
      <w:pPr>
        <w:ind w:left="1260" w:right="519"/>
        <w:spacing w:after="0" w:line="236" w:lineRule="auto"/>
        <w:tabs>
          <w:tab w:leader="none" w:pos="154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5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Our current certificate of incorporation provides that special meetings of the stockholders may be called only by the Board acting pursuant to a resolution adopted by a majority of the Board. Our amended and restated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4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8" w:name="page169"/>
    <w:bookmarkEnd w:id="16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5" w:lineRule="auto"/>
        <w:rPr>
          <w:sz w:val="20"/>
          <w:szCs w:val="20"/>
          <w:color w:val="auto"/>
        </w:rPr>
      </w:pPr>
      <w:r>
        <w:rPr>
          <w:rFonts w:ascii="Arial" w:cs="Arial" w:eastAsia="Arial" w:hAnsi="Arial"/>
          <w:sz w:val="18"/>
          <w:szCs w:val="18"/>
          <w:color w:val="auto"/>
        </w:rPr>
        <w:t>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4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Dissenters’ Rights of Appraisal and Payment</w:t>
      </w:r>
    </w:p>
    <w:p>
      <w:pPr>
        <w:spacing w:after="0" w:line="158" w:lineRule="exact"/>
        <w:rPr>
          <w:sz w:val="20"/>
          <w:szCs w:val="20"/>
          <w:color w:val="auto"/>
        </w:rPr>
      </w:pPr>
    </w:p>
    <w:p>
      <w:pPr>
        <w:ind w:left="1260" w:right="659" w:firstLine="360"/>
        <w:spacing w:after="0" w:line="279"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Stockholders’ Derivative Actions</w:t>
      </w:r>
    </w:p>
    <w:p>
      <w:pPr>
        <w:spacing w:after="0" w:line="15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44"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 on Liability and Indemnification of Directors and Officers</w:t>
      </w:r>
    </w:p>
    <w:p>
      <w:pPr>
        <w:spacing w:after="0" w:line="144"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123" w:lineRule="exact"/>
        <w:rPr>
          <w:sz w:val="20"/>
          <w:szCs w:val="20"/>
          <w:color w:val="auto"/>
        </w:rPr>
      </w:pPr>
    </w:p>
    <w:p>
      <w:pPr>
        <w:ind w:left="1260" w:right="479" w:firstLine="360"/>
        <w:spacing w:after="0" w:line="250" w:lineRule="auto"/>
        <w:rPr>
          <w:sz w:val="20"/>
          <w:szCs w:val="20"/>
          <w:color w:val="auto"/>
        </w:rPr>
      </w:pPr>
      <w:r>
        <w:rPr>
          <w:rFonts w:ascii="Arial" w:cs="Arial" w:eastAsia="Arial" w:hAnsi="Arial"/>
          <w:sz w:val="17"/>
          <w:szCs w:val="17"/>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25"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08"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The Company’s current certificate of incorporation provides that we must indemnify and advance expenses to our directors and officers to the full extent authorized by the DGCL.</w:t>
      </w:r>
    </w:p>
    <w:p>
      <w:pPr>
        <w:spacing w:after="0" w:line="103"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pacing w:after="0" w:line="122"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110"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Company maintains and expect to maintain standard policies of insurance that provide coverage</w:t>
      </w:r>
    </w:p>
    <w:p>
      <w:pPr>
        <w:spacing w:after="0" w:line="35" w:lineRule="exact"/>
        <w:rPr>
          <w:sz w:val="20"/>
          <w:szCs w:val="20"/>
          <w:color w:val="auto"/>
        </w:rPr>
      </w:pPr>
    </w:p>
    <w:p>
      <w:pPr>
        <w:ind w:left="1260" w:right="459"/>
        <w:spacing w:after="0" w:line="255" w:lineRule="auto"/>
        <w:tabs>
          <w:tab w:leader="none" w:pos="152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12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25"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Company believes that these provisions, the insurance and the indemnity agreements are necessary to attract and retain talented and experienced officers and directors.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transfer agent for our common stock and warrant agent for our warrants is Equiniti Trust Company. We have agreed to indemnify Equiniti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860" w:right="40"/>
        <w:spacing w:after="0" w:line="266" w:lineRule="auto"/>
        <w:rPr>
          <w:sz w:val="20"/>
          <w:szCs w:val="20"/>
          <w:color w:val="auto"/>
        </w:rPr>
      </w:pPr>
      <w:r>
        <w:rPr>
          <w:rFonts w:ascii="Arial" w:cs="Arial" w:eastAsia="Arial" w:hAnsi="Arial"/>
          <w:sz w:val="18"/>
          <w:szCs w:val="18"/>
          <w:b w:val="1"/>
          <w:bCs w:val="1"/>
          <w:color w:val="auto"/>
        </w:rPr>
        <w:t>MATERIAL UNITED STATES FEDERAL INCOME AND ESTATE TAX CONSEQUENCES TO NON-U.S. HOLDERS</w:t>
      </w:r>
    </w:p>
    <w:p>
      <w:pPr>
        <w:spacing w:after="0" w:line="85" w:lineRule="exact"/>
        <w:rPr>
          <w:sz w:val="20"/>
          <w:szCs w:val="20"/>
          <w:color w:val="auto"/>
        </w:rPr>
      </w:pPr>
    </w:p>
    <w:p>
      <w:pPr>
        <w:jc w:val="both"/>
        <w:ind w:left="1260" w:right="579" w:firstLine="360"/>
        <w:spacing w:after="0" w:line="243" w:lineRule="auto"/>
        <w:rPr>
          <w:sz w:val="20"/>
          <w:szCs w:val="20"/>
          <w:color w:val="auto"/>
        </w:rPr>
      </w:pPr>
      <w:r>
        <w:rPr>
          <w:rFonts w:ascii="Arial" w:cs="Arial" w:eastAsia="Arial" w:hAnsi="Arial"/>
          <w:sz w:val="18"/>
          <w:szCs w:val="18"/>
          <w:color w:val="auto"/>
        </w:rPr>
        <w:t>The following is a general discussion of the material U.S. federal income and estate tax consequences of the purchase, ownership and disposition of our Class A common stock by a “non-U.S. holder.” A “non-U.S. holder” is a beneficial owner of a share of our Class A common stock that is, for U.S. federal income tax purposes:</w:t>
      </w:r>
    </w:p>
    <w:p>
      <w:pPr>
        <w:spacing w:after="0" w:line="80" w:lineRule="exact"/>
        <w:rPr>
          <w:sz w:val="20"/>
          <w:szCs w:val="20"/>
          <w:color w:val="auto"/>
        </w:rPr>
      </w:pPr>
    </w:p>
    <w:p>
      <w:pPr>
        <w:ind w:left="1800" w:right="519" w:hanging="180"/>
        <w:spacing w:after="0" w:line="277"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non-resident alien individual, other than a former citizen or resident of the U.S. subject to U.S. tax as an expatriate,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If a partnership or other pass-through entity (including an entity or arrangement treated as a partnership or other type of pass-through entity for U.S. federal income tax purposes) owns our Class A common stock, the tax treatment of a partner or beneficial owner of the entity may depend upon the status of the partner or beneficial owner, the activities of the entity and certain determinations made at the partner or beneficial owner level. Partners and beneficial owners in partnerships or other pass-through entities that own our Class A common stock should consult their own tax advisors as to the particular U.S. federal income and estate tax consequences applicable to them.</w:t>
      </w:r>
    </w:p>
    <w:p>
      <w:pPr>
        <w:spacing w:after="0" w:line="11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This discussion is based on the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and administrative pronouncements, judicial decisions and final, temporary and proposed Treasury regulations, changes to any of which subsequent to the date of this prospectus may affect the tax consequences described herein (possibly with retroactive effect). This discussion does not address all aspects of U.S. federal income and estate taxation that may be relevant to non-U.S. holders in light of their particular circumstances and does not address any U.S. federal gift, alternative minimum tax or Medicare contribution tax considerations or any tax consequences arising under the laws of any state, local or foreign jurisdiction. Prospective holders are urged to consult their tax advisors with respect to the particular tax consequences to them of owning and disposing of our Class A common stock, including the consequences under the laws of any state, local or foreign jurisdiction.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 xml:space="preserve">To the extent that we make a distribution of cash or other property (other than certain pro rata distributions of our stock) in respect of our Class A common stock, the distribution generally will be treated as a dividend for U.S. federal income tax purposes to the extent it is paid out of our current or accumulated earnings and profits (as determined under U.S. federal income tax principles). Any portion of a distribution that exceeds our current and accumulated earnings and profits generally will be treated first as a tax-free return of capital that reduces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 </w:t>
      </w:r>
      <w:r>
        <w:rPr>
          <w:rFonts w:ascii="Arial" w:cs="Arial" w:eastAsia="Arial" w:hAnsi="Arial"/>
          <w:sz w:val="17"/>
          <w:szCs w:val="17"/>
          <w:i w:val="1"/>
          <w:iCs w:val="1"/>
          <w:color w:val="auto"/>
        </w:rPr>
        <w:t>Gain on Disposition of our Class A Common Stock</w:t>
      </w:r>
      <w:r>
        <w:rPr>
          <w:rFonts w:ascii="Arial" w:cs="Arial" w:eastAsia="Arial" w:hAnsi="Arial"/>
          <w:sz w:val="17"/>
          <w:szCs w:val="17"/>
          <w:color w:val="auto"/>
        </w:rPr>
        <w:t>”).</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Dividends paid to a non-U.S. holder generally will be subject to U.S. federal withholding tax at a</w:t>
      </w:r>
    </w:p>
    <w:p>
      <w:pPr>
        <w:spacing w:after="0" w:line="23"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30% rate, or a reduced rate specified by an applicable income tax treaty, subject to the discussion of FATCA (as defined below) withholding taxes below. In order to obtain a reduced rate of withholding under an applicable income tax treaty, a non-U.S. holder generally will be required to provide a properly executed IRS Form W-8BEN or IRS Form W-8BEN-E, as applicable, certifying its entitlement to benefits under the treaty.</w:t>
      </w:r>
    </w:p>
    <w:p>
      <w:pPr>
        <w:spacing w:after="0" w:line="110"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Dividends paid to a non-U.S. holder that are effectively connected with the non-U.S. holder’s conduct of a trade or business within the United States (and, if required by an applicable income tax treaty, are attributable to a permanent establishment or fixed base maintained by the non-U.S. holder in the United States) will not be subject to U.S. federal withholding tax if the non-U.S. holder provides a properly executed IRS Form W-8ECI. Instead, the effectively connected dividend income will generally be subject to regular</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2" w:name="page173"/>
    <w:bookmarkEnd w:id="17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9" w:lineRule="auto"/>
        <w:rPr>
          <w:sz w:val="20"/>
          <w:szCs w:val="20"/>
          <w:color w:val="auto"/>
        </w:rPr>
      </w:pPr>
      <w:r>
        <w:rPr>
          <w:rFonts w:ascii="Arial" w:cs="Arial" w:eastAsia="Arial" w:hAnsi="Arial"/>
          <w:sz w:val="17"/>
          <w:szCs w:val="17"/>
          <w:color w:val="auto"/>
        </w:rPr>
        <w:t>U.S. income tax as if the non-U.S. holder were a U.S. person as defined under the Code. A non-U.S. holder that is treated as a corporation for U.S. federal income tax purposes receiving effectively connected dividend income may also be subject to an additional “branch profits tax” imposed at a rate of 30% (or a lower treaty rate) on its effectively connected earnings and profits (subject to certain adjustments).</w:t>
      </w:r>
    </w:p>
    <w:p>
      <w:pPr>
        <w:spacing w:after="0" w:line="90"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A non-U.S. holder eligible for a reduced rate of U.S. federal withholding tax pursuant to an income tax treaty may obtain a refund of any excess amounts withheld by timely filing an appropriate claim for refund with the Internal Revenue Service (the “</w:t>
      </w:r>
      <w:r>
        <w:rPr>
          <w:rFonts w:ascii="Arial" w:cs="Arial" w:eastAsia="Arial" w:hAnsi="Arial"/>
          <w:sz w:val="18"/>
          <w:szCs w:val="18"/>
          <w:i w:val="1"/>
          <w:iCs w:val="1"/>
          <w:color w:val="auto"/>
        </w:rPr>
        <w:t>IRS</w:t>
      </w:r>
      <w:r>
        <w:rPr>
          <w:rFonts w:ascii="Arial" w:cs="Arial" w:eastAsia="Arial" w:hAnsi="Arial"/>
          <w:sz w:val="18"/>
          <w:szCs w:val="18"/>
          <w:color w:val="auto"/>
        </w:rPr>
        <w: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62" w:lineRule="exact"/>
        <w:rPr>
          <w:sz w:val="20"/>
          <w:szCs w:val="20"/>
          <w:color w:val="auto"/>
        </w:rPr>
      </w:pPr>
    </w:p>
    <w:p>
      <w:pPr>
        <w:jc w:val="both"/>
        <w:ind w:left="1260" w:right="459" w:firstLine="360"/>
        <w:spacing w:after="0" w:line="263" w:lineRule="auto"/>
        <w:rPr>
          <w:sz w:val="20"/>
          <w:szCs w:val="20"/>
          <w:color w:val="auto"/>
        </w:rPr>
      </w:pPr>
      <w:r>
        <w:rPr>
          <w:rFonts w:ascii="Arial" w:cs="Arial" w:eastAsia="Arial" w:hAnsi="Arial"/>
          <w:sz w:val="18"/>
          <w:szCs w:val="18"/>
          <w:color w:val="auto"/>
        </w:rPr>
        <w:t>Subject to the discussions of backup withholding and FATCA withholding tax below, a non-U.S. holder generally will not be subject to U.S. federal income tax on gain realized on a sale or other disposition of our Class A common stock unless:</w:t>
      </w:r>
    </w:p>
    <w:p>
      <w:pPr>
        <w:spacing w:after="0" w:line="76" w:lineRule="exact"/>
        <w:rPr>
          <w:sz w:val="20"/>
          <w:szCs w:val="20"/>
          <w:color w:val="auto"/>
        </w:rPr>
      </w:pPr>
    </w:p>
    <w:p>
      <w:pPr>
        <w:ind w:left="1800" w:right="439" w:hanging="180"/>
        <w:spacing w:after="0" w:line="257" w:lineRule="auto"/>
        <w:tabs>
          <w:tab w:leader="none" w:pos="1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in the United States (and, if required by an applicable tax treaty, the gain is attributable to a permanent establishment or fixed base maintained by the non-U.S. holder in the United States), in which case the gain will be subject to U.S. federal income tax generally in the same manner as effectively connected dividend income as described above;</w:t>
      </w:r>
    </w:p>
    <w:p>
      <w:pPr>
        <w:spacing w:after="0" w:line="93"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disposition and certain other conditions are met, in which case the gain (net of certain U.S.-source losses) generally will be subject to U.S. federal income tax at a rate of 30% (or a lower treaty rate); or</w:t>
      </w:r>
    </w:p>
    <w:p>
      <w:pPr>
        <w:spacing w:after="0" w:line="78"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(as described below) at any time within the five-year period preceding the disposition or the non-U.S. holder’s holding period, whichever period is shorter, and either (i) our Class A common stock is not treated as regularly traded on an established securities market when the sale or disposition occurs or (ii) the non-U.S. holder has owned or is deemed to have owned, at any time within the five-year period preceding the disposition or the non-U.S. holder’s holding period, whichever period is shorter, more than 5% of our Class A common stock.</w:t>
      </w:r>
    </w:p>
    <w:p>
      <w:pPr>
        <w:spacing w:after="0" w:line="127"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will be a U.S. real property holding corporation at any time that the fair market value of our “U.S. real property interests” (as defined in the Code and applicable Treasury regulations), equals or exceeds 50% of the aggregate fair market value of our worldwide real property interests and our other assets used or held for use in a trade or business (all as determined for the U.S. federal income tax purposes). We believe that we are not, and do not anticipate becoming in the foreseeable future, a U.S. real property holding corporation.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4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19"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color w:val="auto"/>
        </w:rPr>
        <w:t>A non-U.S. holder will not be subject to backup withholding on dividends received if such holder certifies under penalty of perjury that it is a non-U.S. holder (and the payor does not have actual knowledge or reason to know that such holder is a U.S. person), or such holder otherwise establishes an exemption.</w:t>
      </w:r>
    </w:p>
    <w:p>
      <w:pPr>
        <w:spacing w:after="0" w:line="98" w:lineRule="exact"/>
        <w:rPr>
          <w:sz w:val="20"/>
          <w:szCs w:val="20"/>
          <w:color w:val="auto"/>
        </w:rPr>
      </w:pPr>
    </w:p>
    <w:p>
      <w:pPr>
        <w:ind w:left="1260" w:right="599" w:firstLine="360"/>
        <w:spacing w:after="0" w:line="273"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Class A common stock made within the United States or conducted through certain U.S.-related financial intermediaries, unless the non-U.S. holder complies with certification procedures to establish that it is not a U.S. person in order to avoid information reporting and backup withholding. The certification procedures required to claim a reduced rate of withholding under a treaty will generally satisfy the certification requirements necessary to avoid backup withholding as well.</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Backup withholding is not an additional tax and the amount of any backup withholding from a payment to a non-U.S. holder will be allowed as a credit against the non-U.S. holder’s U.S. federal income tax liability and may entitle the non-U.S. holder to a refund, provided that the required information is furnished to the IRS in a timely manner.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 Tax</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Under Sections 1471 through 1474 of the Code (commonly referred to as “</w:t>
      </w:r>
      <w:r>
        <w:rPr>
          <w:rFonts w:ascii="Arial" w:cs="Arial" w:eastAsia="Arial" w:hAnsi="Arial"/>
          <w:sz w:val="18"/>
          <w:szCs w:val="18"/>
          <w:i w:val="1"/>
          <w:iCs w:val="1"/>
          <w:color w:val="auto"/>
        </w:rPr>
        <w:t>FATCA</w:t>
      </w:r>
      <w:r>
        <w:rPr>
          <w:rFonts w:ascii="Arial" w:cs="Arial" w:eastAsia="Arial" w:hAnsi="Arial"/>
          <w:sz w:val="18"/>
          <w:szCs w:val="18"/>
          <w:color w:val="auto"/>
        </w:rPr>
        <w:t xml:space="preserve">”), payments of dividends on and the gross proceeds of dispositions of our Class A common stock paid to (i) a “foreign financial institution” (as specifically defined in the Code) or (ii) a “non-financial foreign entity” (as specifically defined in the Code) will be subject to a withholding tax (separate and apart from, but without duplication of, the withholding tax described above) at a rate of 30%, unless various U.S. information reporting and due diligence requirements (generally relating to ownership by U.S. persons of interests in or accounts with those entities) have been satisfied or an exemption from these rules applies. Under proposed U.S.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Class A common stock. An intergovernmental agreement between the United States and an applicable foreign country may modify these requirements. If a dividend payment is both subject to withholding under FATCA and subject to the withholding tax discussed above under “— </w:t>
      </w:r>
      <w:r>
        <w:rPr>
          <w:rFonts w:ascii="Arial" w:cs="Arial" w:eastAsia="Arial" w:hAnsi="Arial"/>
          <w:sz w:val="18"/>
          <w:szCs w:val="18"/>
          <w:i w:val="1"/>
          <w:iCs w:val="1"/>
          <w:color w:val="auto"/>
        </w:rPr>
        <w:t>Dividends</w:t>
      </w:r>
      <w:r>
        <w:rPr>
          <w:rFonts w:ascii="Arial" w:cs="Arial" w:eastAsia="Arial" w:hAnsi="Arial"/>
          <w:sz w:val="18"/>
          <w:szCs w:val="18"/>
          <w:color w:val="auto"/>
        </w:rPr>
        <w:t>,” the withholding under FATCA may be credited against, and therefore reduce, such other withholding tax. Non-U.S. holders should consult their tax advisors regarding the possible implications of this withholding tax on their investment in our Class A common stock.</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Estate Tax</w:t>
      </w:r>
    </w:p>
    <w:p>
      <w:pPr>
        <w:spacing w:after="0" w:line="162"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Individual non-U.S. holders (as specifically defined for U.S. federal estate tax purposes) and entities the property of which is potentially includible in such an individual’s gross estate for U.S. federal estate tax purposes (for example, a trust funded by such an individual and with respect to which the individual has retained certain interests or powers) should note that our Class A common stock will be treated as U.S. situs property subject to U.S. federal estate tax, unless an applicable estate tax treaty provides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We are registering the issuance by us of an aggregate of up to 85,750,000 shares of our Class A common stock, consisting of (a) 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w:t>
      </w:r>
    </w:p>
    <w:p>
      <w:pPr>
        <w:spacing w:after="0" w:line="120" w:lineRule="exact"/>
        <w:rPr>
          <w:sz w:val="20"/>
          <w:szCs w:val="20"/>
          <w:color w:val="auto"/>
        </w:rPr>
      </w:pPr>
    </w:p>
    <w:p>
      <w:pPr>
        <w:ind w:left="1260" w:right="819" w:firstLine="360"/>
        <w:spacing w:after="0" w:line="274" w:lineRule="auto"/>
        <w:rPr>
          <w:sz w:val="20"/>
          <w:szCs w:val="20"/>
          <w:color w:val="auto"/>
        </w:rPr>
      </w:pPr>
      <w:r>
        <w:rPr>
          <w:rFonts w:ascii="Arial" w:cs="Arial" w:eastAsia="Arial" w:hAnsi="Arial"/>
          <w:sz w:val="17"/>
          <w:szCs w:val="17"/>
          <w:color w:val="auto"/>
        </w:rPr>
        <w:t>We are also registering the offer and sale from time to time by the Selling Securityholders, or their permitted transferees, of (a) up to 1,336,329,949 shares of Class A common stock, consisting of</w:t>
      </w:r>
    </w:p>
    <w:p>
      <w:pPr>
        <w:ind w:left="1260" w:right="439"/>
        <w:spacing w:after="0" w:line="253" w:lineRule="auto"/>
        <w:tabs>
          <w:tab w:leader="none" w:pos="148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23"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106"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Global Select Market listing fees and fees and expenses of our counsel and our independent registered public accountants.</w:t>
      </w:r>
    </w:p>
    <w:p>
      <w:pPr>
        <w:spacing w:after="0" w:line="125"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6"/>
          <w:szCs w:val="16"/>
          <w:color w:val="auto"/>
        </w:rPr>
        <w:t>The securities beneficially owned by the Selling Securityholders covered by this prospectus may be offered and sold from time to time by the Selling Securityholders. The term “</w:t>
      </w:r>
      <w:r>
        <w:rPr>
          <w:rFonts w:ascii="Arial" w:cs="Arial" w:eastAsia="Arial" w:hAnsi="Arial"/>
          <w:sz w:val="16"/>
          <w:szCs w:val="16"/>
          <w:i w:val="1"/>
          <w:iCs w:val="1"/>
          <w:color w:val="auto"/>
        </w:rPr>
        <w:t>Selling Securityholders</w:t>
      </w:r>
      <w:r>
        <w:rPr>
          <w:rFonts w:ascii="Arial" w:cs="Arial" w:eastAsia="Arial" w:hAnsi="Arial"/>
          <w:sz w:val="16"/>
          <w:szCs w:val="16"/>
          <w:color w:val="auto"/>
        </w:rPr>
        <w:t>” includes their permitted transferees who later come to hold any of the Selling Securityholders’ interest in the Class A common stock or warrants in accordance with the terms of the agreement(s) governing the registration rights applicable to such Selling Securityholder’s shares of Class A common stock or warrants.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w:t>
      </w:r>
    </w:p>
    <w:p>
      <w:pPr>
        <w:spacing w:after="0" w:line="100"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securities may be offered to the public through underwriting syndicates represented by managing underwriters or by underwriters without a syndicate. The obligations of the underwriters to purchase the securities will be subject to certain conditions.</w:t>
      </w:r>
    </w:p>
    <w:p>
      <w:pPr>
        <w:spacing w:after="0" w:line="103"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76" w:lineRule="exact"/>
        <w:rPr>
          <w:sz w:val="20"/>
          <w:szCs w:val="20"/>
          <w:color w:val="auto"/>
        </w:rPr>
      </w:pPr>
    </w:p>
    <w:p>
      <w:pPr>
        <w:ind w:left="1800" w:right="979" w:hanging="180"/>
        <w:spacing w:after="0" w:line="277" w:lineRule="auto"/>
        <w:tabs>
          <w:tab w:leader="none" w:pos="1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17" w:lineRule="exact"/>
        <w:rPr>
          <w:rFonts w:ascii="Arial" w:cs="Arial" w:eastAsia="Arial" w:hAnsi="Arial"/>
          <w:sz w:val="18"/>
          <w:szCs w:val="18"/>
          <w:color w:val="auto"/>
        </w:rPr>
      </w:pPr>
    </w:p>
    <w:p>
      <w:pPr>
        <w:ind w:left="1800" w:right="779" w:hanging="180"/>
        <w:spacing w:after="0" w:line="308" w:lineRule="auto"/>
        <w:tabs>
          <w:tab w:leader="none" w:pos="18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block trades in which the broker-dealer so engaged will attempt to sell the securities as agent but may position and resell a portion of the block as principal to facilitate the transaction;</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5" w:name="page176"/>
    <w:bookmarkEnd w:id="17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103" w:lineRule="exact"/>
        <w:rPr>
          <w:rFonts w:ascii="Arial" w:cs="Arial" w:eastAsia="Arial" w:hAnsi="Arial"/>
          <w:sz w:val="18"/>
          <w:szCs w:val="18"/>
          <w:color w:val="auto"/>
        </w:rPr>
      </w:pPr>
    </w:p>
    <w:p>
      <w:pPr>
        <w:ind w:left="1800" w:right="779" w:hanging="180"/>
        <w:spacing w:after="0" w:line="259" w:lineRule="auto"/>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65" w:lineRule="exact"/>
        <w:rPr>
          <w:rFonts w:ascii="Arial" w:cs="Arial" w:eastAsia="Arial" w:hAnsi="Arial"/>
          <w:sz w:val="18"/>
          <w:szCs w:val="18"/>
          <w:color w:val="auto"/>
        </w:rPr>
      </w:pPr>
    </w:p>
    <w:p>
      <w:pPr>
        <w:ind w:left="1800" w:hanging="180"/>
        <w:spacing w:after="0"/>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03"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 or warrant;</w:t>
      </w:r>
    </w:p>
    <w:p>
      <w:pPr>
        <w:spacing w:after="0" w:line="48"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65"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48"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48" w:lineRule="exact"/>
        <w:rPr>
          <w:rFonts w:ascii="Arial" w:cs="Arial" w:eastAsia="Arial" w:hAnsi="Arial"/>
          <w:sz w:val="18"/>
          <w:szCs w:val="18"/>
          <w:color w:val="auto"/>
        </w:rPr>
      </w:pPr>
    </w:p>
    <w:p>
      <w:pPr>
        <w:ind w:left="1800" w:right="1619" w:hanging="180"/>
        <w:spacing w:after="0" w:line="277" w:lineRule="auto"/>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distribution to employees, members, limited partners or securityholders of the Selling Securityholders;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pledge to secure debts and other obligations;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delayed delivery requirements;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5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Subject to the terms of the agreement(s) governing the registration rights applicable to a Selling Securityholder’s shares of Class A common stock or warrants, such Selling Securityholder may transfer shares of Class A common stock or warrants to one or more “permitted transferees” in accordance with such agreements and, if so transferred, such permitted transferee(s) will be the selling beneficial owner(s) for purposes of this prospectus. Upon being notified by a Selling Securityholder that a permitted transferee intends to sell our securities, we will, to the extent required, promptly file a supplement to this prospectus to name specifically such person as a Selling Securityholder.</w:t>
      </w:r>
    </w:p>
    <w:p>
      <w:pPr>
        <w:spacing w:after="0" w:line="112"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80" w:lineRule="exact"/>
        <w:rPr>
          <w:sz w:val="20"/>
          <w:szCs w:val="20"/>
          <w:color w:val="auto"/>
        </w:rPr>
      </w:pPr>
    </w:p>
    <w:p>
      <w:pPr>
        <w:ind w:left="1800" w:hanging="180"/>
        <w:spacing w:after="0"/>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103"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respective purchase prices and public offering prices, the proceeds to be received from the sale, if any, and other material terms of the offering;</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pacing w:after="0" w:line="103"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applicable commissions, discounts, concessions and other items constituting compensation from the Selling Securityholders.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6" w:name="page177"/>
    <w:bookmarkEnd w:id="17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9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11"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Selling Securityholders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19"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and warrants are currently listed on the Nasdaq Global Select Market under the symbols “LCID and “LCIDW,” respectively.</w:t>
      </w:r>
    </w:p>
    <w:p>
      <w:pPr>
        <w:spacing w:after="0" w:line="107"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25"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7" w:name="page178"/>
    <w:bookmarkEnd w:id="17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83"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 xml:space="preserve">In compliance with the guidelines of the Financial Industry Regulatory Authority (“ </w:t>
      </w:r>
      <w:r>
        <w:rPr>
          <w:rFonts w:ascii="Arial" w:cs="Arial" w:eastAsia="Arial" w:hAnsi="Arial"/>
          <w:sz w:val="18"/>
          <w:szCs w:val="18"/>
          <w:i w:val="1"/>
          <w:iCs w:val="1"/>
          <w:color w:val="auto"/>
        </w:rPr>
        <w:t>FINRA</w:t>
      </w:r>
      <w:r>
        <w:rPr>
          <w:rFonts w:ascii="Arial" w:cs="Arial" w:eastAsia="Arial" w:hAnsi="Arial"/>
          <w:sz w:val="18"/>
          <w:szCs w:val="18"/>
          <w:color w:val="auto"/>
        </w:rPr>
        <w:t>”),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20" w:lineRule="exact"/>
        <w:rPr>
          <w:sz w:val="20"/>
          <w:szCs w:val="20"/>
          <w:color w:val="auto"/>
        </w:rPr>
      </w:pPr>
    </w:p>
    <w:p>
      <w:pPr>
        <w:ind w:left="1260" w:right="819" w:firstLine="360"/>
        <w:spacing w:after="0" w:line="248" w:lineRule="auto"/>
        <w:rPr>
          <w:sz w:val="20"/>
          <w:szCs w:val="20"/>
          <w:color w:val="auto"/>
        </w:rPr>
      </w:pPr>
      <w:r>
        <w:rPr>
          <w:rFonts w:ascii="Arial" w:cs="Arial" w:eastAsia="Arial" w:hAnsi="Arial"/>
          <w:sz w:val="18"/>
          <w:szCs w:val="18"/>
          <w:color w:val="auto"/>
        </w:rPr>
        <w:t>If at the time of any offering made under this prospectus a member of FINRA participating in the offering has a “conflict of interest” as defined in FINRA Rule 5121 (“</w:t>
      </w:r>
      <w:r>
        <w:rPr>
          <w:rFonts w:ascii="Arial" w:cs="Arial" w:eastAsia="Arial" w:hAnsi="Arial"/>
          <w:sz w:val="18"/>
          <w:szCs w:val="18"/>
          <w:i w:val="1"/>
          <w:iCs w:val="1"/>
          <w:color w:val="auto"/>
        </w:rPr>
        <w:t>Rule 5121</w:t>
      </w:r>
      <w:r>
        <w:rPr>
          <w:rFonts w:ascii="Arial" w:cs="Arial" w:eastAsia="Arial" w:hAnsi="Arial"/>
          <w:sz w:val="18"/>
          <w:szCs w:val="18"/>
          <w:color w:val="auto"/>
        </w:rPr>
        <w:t>”), that offering will be conducted in accordance with the relevant provisions of Rule 5121.</w:t>
      </w:r>
    </w:p>
    <w:p>
      <w:pPr>
        <w:spacing w:after="0" w:line="11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 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13"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20"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22"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The underwriters, broker-dealers and agents may engage in transactions with us or the Selling Securityholders, may have banking, lending or other relationships with us or perform services for us or the Selling Securityholders, in the ordinary course of business.</w:t>
      </w:r>
    </w:p>
    <w:p>
      <w:pPr>
        <w:spacing w:after="0" w:line="101"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04"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25"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06" w:lineRule="exact"/>
        <w:rPr>
          <w:sz w:val="20"/>
          <w:szCs w:val="20"/>
          <w:color w:val="auto"/>
        </w:rPr>
      </w:pPr>
    </w:p>
    <w:p>
      <w:pPr>
        <w:jc w:val="both"/>
        <w:ind w:left="1260" w:right="679" w:firstLine="360"/>
        <w:spacing w:after="0" w:line="275" w:lineRule="auto"/>
        <w:rPr>
          <w:sz w:val="20"/>
          <w:szCs w:val="20"/>
          <w:color w:val="auto"/>
        </w:rPr>
      </w:pPr>
      <w:r>
        <w:rPr>
          <w:rFonts w:ascii="Arial" w:cs="Arial" w:eastAsia="Arial" w:hAnsi="Arial"/>
          <w:sz w:val="17"/>
          <w:szCs w:val="17"/>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The Private Placement Warrants and Working Capital Warrants (including Class A common stock issuable upon exercise of such warrants) are subject to restrictions on transfer, assignment and sale and, in certain circumstances, are subject to redemption. See “</w:t>
      </w:r>
      <w:r>
        <w:rPr>
          <w:rFonts w:ascii="Arial" w:cs="Arial" w:eastAsia="Arial" w:hAnsi="Arial"/>
          <w:sz w:val="18"/>
          <w:szCs w:val="18"/>
          <w:i w:val="1"/>
          <w:iCs w:val="1"/>
          <w:color w:val="auto"/>
        </w:rPr>
        <w:t>Description of Securities — Private Placement</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 and Working Capital Warrants</w:t>
      </w:r>
      <w:r>
        <w:rPr>
          <w:rFonts w:ascii="Arial" w:cs="Arial" w:eastAsia="Arial" w:hAnsi="Arial"/>
          <w:sz w:val="18"/>
          <w:szCs w:val="18"/>
          <w:color w:val="auto"/>
        </w:rPr>
        <w:t>.”</w:t>
      </w:r>
    </w:p>
    <w:p>
      <w:pPr>
        <w:spacing w:after="0" w:line="119"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A holder of warrants may exercise its warrants in accordance with the Warrant Agreement on or before the expiration date set forth therein by surrendering, at the office of the warrant agent, Equiniti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Pursuant to the Investor Rights Agreement and our current bylaws and subject to certain exceptions, the holders of: (i) shares of Class A common stock issued as consideration pursuant to the Merger, (ii) any assumed Lucid Equity Awards; or (iii) shares of Class A common stock underlying such assumed Lucid Equity Awards, in each case, are restricted from selling or transferring any of the securities described in clauses (i), (ii) or (iii). Such holders include Ayar and certain other pre-Merger investors in Lucid. Such restrictions began at the Closing and will end at the date that is 180 days after the Closing. Pursuant to the Investor Rights Agreement, the Sponsor has agreed to similar restrictions for a period of 18 months with respect to Class A common stock and the Private Placement Warrants held by it.</w:t>
      </w:r>
    </w:p>
    <w:p>
      <w:pPr>
        <w:spacing w:after="0" w:line="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Pursuant to the PIPE Subscription Agreements, from February 22, 2021 until the later of</w:t>
      </w:r>
    </w:p>
    <w:p>
      <w:pPr>
        <w:spacing w:after="0" w:line="23" w:lineRule="exact"/>
        <w:rPr>
          <w:sz w:val="20"/>
          <w:szCs w:val="20"/>
          <w:color w:val="auto"/>
        </w:rPr>
      </w:pPr>
    </w:p>
    <w:p>
      <w:pPr>
        <w:ind w:left="1260" w:right="419"/>
        <w:spacing w:after="0" w:line="267" w:lineRule="auto"/>
        <w:tabs>
          <w:tab w:leader="none" w:pos="148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September 1, 2021 and (ii) the date the registration statement of which this prospectus forms a part is declared effective (the “</w:t>
      </w:r>
      <w:r>
        <w:rPr>
          <w:rFonts w:ascii="Arial" w:cs="Arial" w:eastAsia="Arial" w:hAnsi="Arial"/>
          <w:sz w:val="17"/>
          <w:szCs w:val="17"/>
          <w:i w:val="1"/>
          <w:iCs w:val="1"/>
          <w:color w:val="auto"/>
        </w:rPr>
        <w:t>PIPE Lock-up Period</w:t>
      </w:r>
      <w:r>
        <w:rPr>
          <w:rFonts w:ascii="Arial" w:cs="Arial" w:eastAsia="Arial" w:hAnsi="Arial"/>
          <w:sz w:val="17"/>
          <w:szCs w:val="17"/>
          <w:color w:val="auto"/>
        </w:rPr>
        <w:t>”) and subject to certain exceptions, none of the investors in the PIPE Investment (the “</w:t>
      </w:r>
      <w:r>
        <w:rPr>
          <w:rFonts w:ascii="Arial" w:cs="Arial" w:eastAsia="Arial" w:hAnsi="Arial"/>
          <w:sz w:val="17"/>
          <w:szCs w:val="17"/>
          <w:i w:val="1"/>
          <w:iCs w:val="1"/>
          <w:color w:val="auto"/>
        </w:rPr>
        <w:t>PIPE Investors</w:t>
      </w:r>
      <w:r>
        <w:rPr>
          <w:rFonts w:ascii="Arial" w:cs="Arial" w:eastAsia="Arial" w:hAnsi="Arial"/>
          <w:sz w:val="17"/>
          <w:szCs w:val="17"/>
          <w:color w:val="auto"/>
        </w:rPr>
        <w:t>”) are permitted to transfer the shares so purchased (the “</w:t>
      </w:r>
      <w:r>
        <w:rPr>
          <w:rFonts w:ascii="Arial" w:cs="Arial" w:eastAsia="Arial" w:hAnsi="Arial"/>
          <w:sz w:val="17"/>
          <w:szCs w:val="17"/>
          <w:i w:val="1"/>
          <w:iCs w:val="1"/>
          <w:color w:val="auto"/>
        </w:rPr>
        <w:t>Subscribed Shares</w:t>
      </w:r>
      <w:r>
        <w:rPr>
          <w:rFonts w:ascii="Arial" w:cs="Arial" w:eastAsia="Arial" w:hAnsi="Arial"/>
          <w:sz w:val="17"/>
          <w:szCs w:val="17"/>
          <w:color w:val="auto"/>
        </w:rPr>
        <w:t>”). The PIPE Investors further agreed that, subject to limited exceptions, during the PIPE Lock-Up Period, none of the PIPE Investors and their affiliates will engage in any short sales with respect to our securities. The foregoing restriction is expressly agreed to preclude the PIPE Investors from engaging in any hedging or other transactions (other than pledges in the ordinary course of business as part of prior brokerage arrangements) which are designed to or could reasonably be expected to lead to or result in a sale or disposition of the Subscribed Shares even if such shares would be disposed by someone other than the PIPE Investors. Such prohibited hedging or other transactions include any purchase, sale or grant of any right (including any put or call option) with respect to any of the Subscribed Shares of the PIPE Investors or with respect to any security that includes, relates to, or derives any significant part of its value from such Subscribed Shares.</w:t>
      </w:r>
    </w:p>
    <w:p>
      <w:pPr>
        <w:spacing w:after="0" w:line="115"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Additionally, following certain underwritten offerings of our equity securities, parties to the Investor Rights Agreement will also agree to a customary market stand-off period not to exceed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1299" w:firstLine="360"/>
        <w:spacing w:after="0" w:line="277" w:lineRule="auto"/>
        <w:rPr>
          <w:sz w:val="20"/>
          <w:szCs w:val="20"/>
          <w:color w:val="auto"/>
        </w:rPr>
      </w:pPr>
      <w:r>
        <w:rPr>
          <w:rFonts w:ascii="Arial" w:cs="Arial" w:eastAsia="Arial" w:hAnsi="Arial"/>
          <w:sz w:val="18"/>
          <w:szCs w:val="18"/>
          <w:color w:val="auto"/>
        </w:rPr>
        <w:t>The validity of any securities offered by this prospectus will be passed upon for us by Davis Polk &amp; Wardwell LLP, Menlo Park,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The audited financial statements of Atieva, Inc. included in this prospectus and elsewhere in the registration statement have been so included in reliance upon the report of Grant Thornton LLP, independent registered public accountants, upon the authority of said firm as experts in accounting and auditing.</w:t>
      </w:r>
    </w:p>
    <w:p>
      <w:pPr>
        <w:spacing w:after="0" w:line="9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The financial statements of Churchill Capital Corp IV as of December 31, 2020 and for the period April 30, 2020 (inception) through December 31, 2020, appearing in the registration statement of which this prospectus forms a part have been audited by Marcum LLP, an independent registered public accounting firm, as stated in their report thereon and included in this prospectus, in reliance upon such report and upon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CHANGE IN AUDITOR</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Dismissal of Independent Registered Public Accounting Firm</w:t>
      </w:r>
    </w:p>
    <w:p>
      <w:pPr>
        <w:spacing w:after="0" w:line="148"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On July 23, 2021, the Board dismissed Marcum, Churchill’s independent registered public accounting firm prior to the Transactions, as the Company’s independent registered public accounting firm effective following completion of the Company’s review of the quarter ended June 30, 2021, which consists only of the accounts of the pre-business combination special purpose acquisition company, Churchill.</w:t>
      </w:r>
    </w:p>
    <w:p>
      <w:pPr>
        <w:spacing w:after="0" w:line="10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The audit report of Marcum on Churchill’s, the Company’s legal predecessor, balance sheet as of December 31, 2020 and the statements of operations, changes in stockholders’ equity and cash flows for the period from April 30, 2020 (inception) to December 31, 2020, did not contain an adverse opinion or a disclaimer of opinion and was not qualified or modified as to uncertainties, audit scope or accounting principles.</w:t>
      </w:r>
    </w:p>
    <w:p>
      <w:pPr>
        <w:spacing w:after="0" w:line="120"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During the period from April 30, 2020 (inception) to December 31, 2020 and subsequent interim period through July 23, 2021, there were no disagreements between Churchill and Marcum on any matter of accounting principles or practices, financial disclosure or auditing scope or procedure, which disagreements, if not resolved to the satisfaction of Marcum, would have caused it to make reference to the subject matter of the disagreements in its reports on Churchill’s financial statements for such period.</w:t>
      </w:r>
    </w:p>
    <w:p>
      <w:pPr>
        <w:spacing w:after="0" w:line="95"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During the period from April 30, 2020 (inception) to December 31, 2020 and subsequent interim period through July 23, 2021, on May 14, 2021, following the issuance of the statement regarding the accounting and reporting considerations for warrants issued by special purpose acquisition companies entitled “Staff Statement on Accounting and Reporting Considerations for Warrants Issued by Special Purpose Acquisition Companies (“SPACs”)” by the SEC, Churchill’s management and the audit committee of Churchill’s board of directors, after consultation with management and a discussion with Marcum, concluded that Churchill’s financial statements for the period ended December 31, 2020, and the financial statements as of August 3, 2020 and as of and for the period ended September 30, 2020 (the “</w:t>
      </w:r>
      <w:r>
        <w:rPr>
          <w:rFonts w:ascii="Arial" w:cs="Arial" w:eastAsia="Arial" w:hAnsi="Arial"/>
          <w:sz w:val="18"/>
          <w:szCs w:val="18"/>
          <w:i w:val="1"/>
          <w:iCs w:val="1"/>
          <w:color w:val="auto"/>
        </w:rPr>
        <w:t>Original Financial Statements</w:t>
      </w:r>
      <w:r>
        <w:rPr>
          <w:rFonts w:ascii="Arial" w:cs="Arial" w:eastAsia="Arial" w:hAnsi="Arial"/>
          <w:sz w:val="18"/>
          <w:szCs w:val="18"/>
          <w:color w:val="auto"/>
        </w:rPr>
        <w:t>”) should no longer be relied upon and are to be restated in order to correct a classification error. The Original Financial Statements were restated in the financial statements accompanying Churchill’s Annual Report on Form 10-K/A filed with the SEC on May 14, 2021. As part of such process, Churchill identified a material weakness in its internal controls over financial reporting, solely related to Churchill’s accounting for warrants. There were no other “reportable events” (as defined in Item 304(a)(1)(v) of Regulation S-K under the Exchange Act).</w:t>
      </w:r>
    </w:p>
    <w:p>
      <w:pPr>
        <w:spacing w:after="0" w:line="130"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Company has provided Marcum with a copy of the foregoing disclosures and has requested that Marcum furnish the Company with a letter addressed to the SEC stating whether it agrees with the statements made by the Company set forth above. A copy of Marcum’s letter, dated July 30, 2021, is filed as Exhibit 16.1 to the registration statement of which this prospectus forms a part.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Disclosures Regarding the New Independent Auditor</w:t>
      </w:r>
    </w:p>
    <w:p>
      <w:pPr>
        <w:spacing w:after="0" w:line="162"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On July 23, 2021, the Board approved the engagement of Grant Thornton LLP (“</w:t>
      </w:r>
      <w:r>
        <w:rPr>
          <w:rFonts w:ascii="Arial" w:cs="Arial" w:eastAsia="Arial" w:hAnsi="Arial"/>
          <w:sz w:val="17"/>
          <w:szCs w:val="17"/>
          <w:i w:val="1"/>
          <w:iCs w:val="1"/>
          <w:color w:val="auto"/>
        </w:rPr>
        <w:t>GT</w:t>
      </w:r>
      <w:r>
        <w:rPr>
          <w:rFonts w:ascii="Arial" w:cs="Arial" w:eastAsia="Arial" w:hAnsi="Arial"/>
          <w:sz w:val="17"/>
          <w:szCs w:val="17"/>
          <w:color w:val="auto"/>
        </w:rPr>
        <w:t>”) as the Company’s independent registered public accounting firm to audit the Company’s consolidated financial statements for the year ended December 31, 2021. GT served as independent registered public accounting firm of Lucid prior to the Merger. During the years ended December 31, 2019 and December 31, 2020, and subsequent interim period through July 23, 2021, we did not consult with GT with respect to (i) the application of accounting principles to a specified transaction, either completed or proposed, the type of audit opinion that might be rendered on our financial statements, and neither a written report nor oral advice was provided to us that GT concluded was an important factor considered by us in reaching a decision as to any accounting, auditing or financial reporting issue, or (ii) any other matter that was the subject of a disagreement or a reportable event (each as defined above).</w:t>
      </w:r>
    </w:p>
    <w:p>
      <w:pPr>
        <w:spacing w:after="0" w:line="200" w:lineRule="exact"/>
        <w:rPr>
          <w:sz w:val="20"/>
          <w:szCs w:val="20"/>
          <w:color w:val="auto"/>
        </w:rPr>
      </w:pP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Class A common stock and warrants offered hereby. This prospectus does not contain all of the information set forth in the registration statement and the exhibits and schedules thereto. For further information with respect to the Company, its Class A common stock and warrants,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 website at www.sec.gov, from which interested persons can electronically access the registration statement, including the exhibits and any schedules thereto and which contains the periodic reports, proxy and information statements and other information that we file electronically with the SEC.</w:t>
      </w:r>
    </w:p>
    <w:p>
      <w:pPr>
        <w:spacing w:after="0" w:line="111"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also maintain an Internet website at https://www.lucidmotors.com. Through our website, we make available, free of charge, the following documents of Lucid Group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The information contained on, or that may be accessed through, our website is not part of, and is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Page</w:t>
            </w: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22"/>
        </w:trPr>
        <w:tc>
          <w:tcPr>
            <w:tcW w:w="126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60" w:type="dxa"/>
            <w:vAlign w:val="bottom"/>
            <w:gridSpan w:val="19"/>
            <w:shd w:val="clear" w:color="auto" w:fill="CCEEFF"/>
          </w:tcPr>
          <w:p>
            <w:pPr>
              <w:jc w:val="center"/>
              <w:ind w:right="3020"/>
              <w:spacing w:after="0"/>
              <w:rPr>
                <w:sz w:val="20"/>
                <w:szCs w:val="20"/>
                <w:color w:val="auto"/>
              </w:rPr>
            </w:pPr>
            <w:r>
              <w:rPr>
                <w:rFonts w:ascii="Arial" w:cs="Arial" w:eastAsia="Arial" w:hAnsi="Arial"/>
                <w:sz w:val="18"/>
                <w:szCs w:val="18"/>
                <w:color w:val="auto"/>
                <w:w w:val="98"/>
              </w:rPr>
              <w:t>Atieva, Inc.</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44"/>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560" w:type="dxa"/>
            <w:vAlign w:val="bottom"/>
            <w:gridSpan w:val="23"/>
            <w:shd w:val="clear" w:color="auto" w:fill="CCEEFF"/>
          </w:tcPr>
          <w:p>
            <w:pPr>
              <w:jc w:val="center"/>
              <w:ind w:right="1880"/>
              <w:spacing w:after="0"/>
              <w:rPr>
                <w:sz w:val="20"/>
                <w:szCs w:val="20"/>
                <w:color w:val="auto"/>
              </w:rPr>
            </w:pPr>
            <w:r>
              <w:rPr>
                <w:rFonts w:ascii="Arial" w:cs="Arial" w:eastAsia="Arial" w:hAnsi="Arial"/>
                <w:sz w:val="18"/>
                <w:szCs w:val="18"/>
                <w:color w:val="auto"/>
                <w:w w:val="95"/>
              </w:rPr>
              <w:t>Audited Consolidated Financial Statements</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16"/>
        </w:trPr>
        <w:tc>
          <w:tcPr>
            <w:tcW w:w="1260" w:type="dxa"/>
            <w:vAlign w:val="bottom"/>
          </w:tcPr>
          <w:p>
            <w:pPr>
              <w:spacing w:after="0"/>
              <w:rPr>
                <w:sz w:val="18"/>
                <w:szCs w:val="18"/>
                <w:color w:val="auto"/>
              </w:rPr>
            </w:pPr>
          </w:p>
        </w:tc>
        <w:tc>
          <w:tcPr>
            <w:tcW w:w="7820" w:type="dxa"/>
            <w:vAlign w:val="bottom"/>
            <w:gridSpan w:val="29"/>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Report of Independent Registered Accounting Firm</w:t>
              </w:r>
            </w:hyperlink>
          </w:p>
        </w:tc>
        <w:tc>
          <w:tcPr>
            <w:tcW w:w="40" w:type="dxa"/>
            <w:vAlign w:val="bottom"/>
          </w:tcPr>
          <w:p>
            <w:pPr>
              <w:spacing w:after="0"/>
              <w:rPr>
                <w:sz w:val="18"/>
                <w:szCs w:val="18"/>
                <w:color w:val="auto"/>
              </w:rPr>
            </w:pPr>
          </w:p>
        </w:tc>
        <w:tc>
          <w:tcPr>
            <w:tcW w:w="340" w:type="dxa"/>
            <w:vAlign w:val="bottom"/>
            <w:gridSpan w:val="2"/>
          </w:tcPr>
          <w:p>
            <w:pPr>
              <w:jc w:val="right"/>
              <w:spacing w:after="0"/>
              <w:rPr>
                <w:rFonts w:ascii="Arial" w:cs="Arial" w:eastAsia="Arial" w:hAnsi="Arial"/>
                <w:sz w:val="18"/>
                <w:szCs w:val="18"/>
                <w:color w:val="0000EE"/>
              </w:rPr>
            </w:pPr>
            <w:hyperlink w:anchor="page184">
              <w:r>
                <w:rPr>
                  <w:rFonts w:ascii="Arial" w:cs="Arial" w:eastAsia="Arial" w:hAnsi="Arial"/>
                  <w:sz w:val="18"/>
                  <w:szCs w:val="18"/>
                  <w:color w:val="0000EE"/>
                </w:rPr>
                <w:t>F-2</w:t>
              </w:r>
            </w:hyperlink>
          </w:p>
        </w:tc>
        <w:tc>
          <w:tcPr>
            <w:tcW w:w="1260" w:type="dxa"/>
            <w:vAlign w:val="bottom"/>
          </w:tcPr>
          <w:p>
            <w:pPr>
              <w:spacing w:after="0"/>
              <w:rPr>
                <w:sz w:val="18"/>
                <w:szCs w:val="18"/>
                <w:color w:val="auto"/>
              </w:rPr>
            </w:pPr>
          </w:p>
        </w:tc>
      </w:tr>
      <w:tr>
        <w:trPr>
          <w:trHeight w:val="21"/>
        </w:trPr>
        <w:tc>
          <w:tcPr>
            <w:tcW w:w="1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860" w:type="dxa"/>
            <w:vAlign w:val="bottom"/>
            <w:tcBorders>
              <w:bottom w:val="single" w:sz="8" w:color="0000EE"/>
            </w:tcBorders>
            <w:gridSpan w:val="14"/>
            <w:shd w:val="clear" w:color="auto" w:fill="CCEEFF"/>
          </w:tcPr>
          <w:p>
            <w:pPr>
              <w:spacing w:after="0"/>
              <w:rPr>
                <w:rFonts w:ascii="Arial" w:cs="Arial" w:eastAsia="Arial" w:hAnsi="Arial"/>
                <w:sz w:val="18"/>
                <w:szCs w:val="18"/>
                <w:color w:val="0000EE"/>
                <w:w w:val="92"/>
              </w:rPr>
            </w:pPr>
            <w:hyperlink w:anchor="page185">
              <w:r>
                <w:rPr>
                  <w:rFonts w:ascii="Arial" w:cs="Arial" w:eastAsia="Arial" w:hAnsi="Arial"/>
                  <w:sz w:val="18"/>
                  <w:szCs w:val="18"/>
                  <w:color w:val="0000EE"/>
                  <w:w w:val="92"/>
                </w:rPr>
                <w:t>Consolidated Balance Sheets as of December 31, 2020 and 2019</w:t>
              </w:r>
            </w:hyperlink>
          </w:p>
        </w:tc>
        <w:tc>
          <w:tcPr>
            <w:tcW w:w="2960" w:type="dxa"/>
            <w:vAlign w:val="bottom"/>
            <w:tcBorders>
              <w:bottom w:val="single" w:sz="8" w:color="CCEEFF"/>
            </w:tcBorders>
            <w:gridSpan w:val="15"/>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88"/>
              </w:rPr>
            </w:pPr>
            <w:hyperlink w:anchor="page185">
              <w:r>
                <w:rPr>
                  <w:rFonts w:ascii="Arial" w:cs="Arial" w:eastAsia="Arial" w:hAnsi="Arial"/>
                  <w:sz w:val="18"/>
                  <w:szCs w:val="18"/>
                  <w:color w:val="0000EE"/>
                  <w:w w:val="88"/>
                </w:rPr>
                <w:t>F-3</w:t>
              </w:r>
            </w:hyperlink>
          </w:p>
        </w:tc>
        <w:tc>
          <w:tcPr>
            <w:tcW w:w="1260" w:type="dxa"/>
            <w:vAlign w:val="bottom"/>
          </w:tcPr>
          <w:p>
            <w:pPr>
              <w:spacing w:after="0"/>
              <w:rPr>
                <w:sz w:val="21"/>
                <w:szCs w:val="21"/>
                <w:color w:val="auto"/>
              </w:rPr>
            </w:pPr>
          </w:p>
        </w:tc>
      </w:tr>
      <w:tr>
        <w:trPr>
          <w:trHeight w:val="216"/>
        </w:trPr>
        <w:tc>
          <w:tcPr>
            <w:tcW w:w="1260" w:type="dxa"/>
            <w:vAlign w:val="bottom"/>
          </w:tcPr>
          <w:p>
            <w:pPr>
              <w:spacing w:after="0"/>
              <w:rPr>
                <w:sz w:val="18"/>
                <w:szCs w:val="18"/>
                <w:color w:val="auto"/>
              </w:rPr>
            </w:pPr>
          </w:p>
        </w:tc>
        <w:tc>
          <w:tcPr>
            <w:tcW w:w="758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186">
              <w:r>
                <w:rPr>
                  <w:rFonts w:ascii="Arial" w:cs="Arial" w:eastAsia="Arial" w:hAnsi="Arial"/>
                  <w:sz w:val="18"/>
                  <w:szCs w:val="18"/>
                  <w:color w:val="0000EE"/>
                  <w:w w:val="93"/>
                </w:rPr>
                <w:t>Consolidated Statements of Operations and Comprehensive Loss for the Years Ended December 31,</w:t>
              </w:r>
            </w:hyperlink>
          </w:p>
        </w:tc>
        <w:tc>
          <w:tcPr>
            <w:tcW w:w="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40" w:type="dxa"/>
            <w:vAlign w:val="bottom"/>
            <w:gridSpan w:val="28"/>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2020 and 2019</w:t>
              </w:r>
            </w:hyperlink>
          </w:p>
        </w:tc>
        <w:tc>
          <w:tcPr>
            <w:tcW w:w="40" w:type="dxa"/>
            <w:vAlign w:val="bottom"/>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F-4</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320" w:type="dxa"/>
            <w:vAlign w:val="bottom"/>
            <w:tcBorders>
              <w:bottom w:val="single" w:sz="8" w:color="0000EE"/>
            </w:tcBorders>
            <w:gridSpan w:val="23"/>
            <w:shd w:val="clear" w:color="auto" w:fill="CCEEFF"/>
          </w:tcPr>
          <w:p>
            <w:pPr>
              <w:spacing w:after="0"/>
              <w:rPr>
                <w:rFonts w:ascii="Arial" w:cs="Arial" w:eastAsia="Arial" w:hAnsi="Arial"/>
                <w:sz w:val="18"/>
                <w:szCs w:val="18"/>
                <w:color w:val="0000EE"/>
                <w:w w:val="94"/>
              </w:rPr>
            </w:pPr>
            <w:hyperlink w:anchor="page187">
              <w:r>
                <w:rPr>
                  <w:rFonts w:ascii="Arial" w:cs="Arial" w:eastAsia="Arial" w:hAnsi="Arial"/>
                  <w:sz w:val="18"/>
                  <w:szCs w:val="18"/>
                  <w:color w:val="0000EE"/>
                  <w:w w:val="94"/>
                </w:rPr>
                <w:t>Consolidated Statements of Convertible Preferred Shares and Shareholders’ Deficit for the Years</w:t>
              </w:r>
            </w:hyperlink>
          </w:p>
        </w:tc>
        <w:tc>
          <w:tcPr>
            <w:tcW w:w="500" w:type="dxa"/>
            <w:vAlign w:val="bottom"/>
            <w:tcBorders>
              <w:bottom w:val="single" w:sz="8" w:color="CCEEFF"/>
            </w:tcBorders>
            <w:gridSpan w:val="6"/>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92"/>
              </w:rPr>
            </w:pPr>
            <w:hyperlink w:anchor="page187">
              <w:r>
                <w:rPr>
                  <w:rFonts w:ascii="Arial" w:cs="Arial" w:eastAsia="Arial" w:hAnsi="Arial"/>
                  <w:sz w:val="18"/>
                  <w:szCs w:val="18"/>
                  <w:color w:val="0000EE"/>
                  <w:w w:val="92"/>
                </w:rPr>
                <w:t>Ended December 31, 2020 and 2019</w:t>
              </w:r>
            </w:hyperlink>
          </w:p>
        </w:tc>
        <w:tc>
          <w:tcPr>
            <w:tcW w:w="4900" w:type="dxa"/>
            <w:vAlign w:val="bottom"/>
            <w:tcBorders>
              <w:bottom w:val="single" w:sz="8" w:color="CCEEFF"/>
            </w:tcBorders>
            <w:gridSpan w:val="22"/>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shd w:val="clear" w:color="auto" w:fill="CCEEFF"/>
          </w:tcPr>
          <w:p>
            <w:pPr>
              <w:jc w:val="right"/>
              <w:spacing w:after="0" w:line="196" w:lineRule="exact"/>
              <w:rPr>
                <w:rFonts w:ascii="Arial" w:cs="Arial" w:eastAsia="Arial" w:hAnsi="Arial"/>
                <w:sz w:val="18"/>
                <w:szCs w:val="18"/>
                <w:color w:val="0000EE"/>
                <w:w w:val="88"/>
              </w:rPr>
            </w:pPr>
            <w:hyperlink w:anchor="page187">
              <w:r>
                <w:rPr>
                  <w:rFonts w:ascii="Arial" w:cs="Arial" w:eastAsia="Arial" w:hAnsi="Arial"/>
                  <w:sz w:val="18"/>
                  <w:szCs w:val="18"/>
                  <w:color w:val="0000EE"/>
                  <w:w w:val="88"/>
                </w:rPr>
                <w:t>F-5</w:t>
              </w:r>
            </w:hyperlink>
          </w:p>
        </w:tc>
        <w:tc>
          <w:tcPr>
            <w:tcW w:w="1260" w:type="dxa"/>
            <w:vAlign w:val="bottom"/>
          </w:tcPr>
          <w:p>
            <w:pPr>
              <w:spacing w:after="0"/>
              <w:rPr>
                <w:sz w:val="20"/>
                <w:szCs w:val="20"/>
                <w:color w:val="auto"/>
              </w:rPr>
            </w:pPr>
          </w:p>
        </w:tc>
      </w:tr>
      <w:tr>
        <w:trPr>
          <w:trHeight w:val="229"/>
        </w:trPr>
        <w:tc>
          <w:tcPr>
            <w:tcW w:w="1260" w:type="dxa"/>
            <w:vAlign w:val="bottom"/>
          </w:tcPr>
          <w:p>
            <w:pPr>
              <w:spacing w:after="0"/>
              <w:rPr>
                <w:sz w:val="19"/>
                <w:szCs w:val="19"/>
                <w:color w:val="auto"/>
              </w:rPr>
            </w:pPr>
          </w:p>
        </w:tc>
        <w:tc>
          <w:tcPr>
            <w:tcW w:w="7820" w:type="dxa"/>
            <w:vAlign w:val="bottom"/>
            <w:gridSpan w:val="29"/>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Consolidated Statements of Cash Flows for the Years Ended December 31, 2020 and 2019</w:t>
              </w:r>
            </w:hyperlink>
          </w:p>
        </w:tc>
        <w:tc>
          <w:tcPr>
            <w:tcW w:w="40" w:type="dxa"/>
            <w:vAlign w:val="bottom"/>
          </w:tcPr>
          <w:p>
            <w:pPr>
              <w:spacing w:after="0"/>
              <w:rPr>
                <w:sz w:val="19"/>
                <w:szCs w:val="19"/>
                <w:color w:val="auto"/>
              </w:rPr>
            </w:pPr>
          </w:p>
        </w:tc>
        <w:tc>
          <w:tcPr>
            <w:tcW w:w="340" w:type="dxa"/>
            <w:vAlign w:val="bottom"/>
            <w:gridSpan w:val="2"/>
          </w:tcPr>
          <w:p>
            <w:pPr>
              <w:jc w:val="right"/>
              <w:spacing w:after="0"/>
              <w:rPr>
                <w:rFonts w:ascii="Arial" w:cs="Arial" w:eastAsia="Arial" w:hAnsi="Arial"/>
                <w:sz w:val="18"/>
                <w:szCs w:val="18"/>
                <w:color w:val="0000EE"/>
              </w:rPr>
            </w:pPr>
            <w:hyperlink w:anchor="page188">
              <w:r>
                <w:rPr>
                  <w:rFonts w:ascii="Arial" w:cs="Arial" w:eastAsia="Arial" w:hAnsi="Arial"/>
                  <w:sz w:val="18"/>
                  <w:szCs w:val="18"/>
                  <w:color w:val="0000EE"/>
                </w:rPr>
                <w:t>F-6</w:t>
              </w:r>
            </w:hyperlink>
          </w:p>
        </w:tc>
        <w:tc>
          <w:tcPr>
            <w:tcW w:w="1260" w:type="dxa"/>
            <w:vAlign w:val="bottom"/>
          </w:tcPr>
          <w:p>
            <w:pPr>
              <w:spacing w:after="0"/>
              <w:rPr>
                <w:sz w:val="19"/>
                <w:szCs w:val="19"/>
                <w:color w:val="auto"/>
              </w:rPr>
            </w:pPr>
          </w:p>
        </w:tc>
      </w:tr>
      <w:tr>
        <w:trPr>
          <w:trHeight w:val="21"/>
        </w:trPr>
        <w:tc>
          <w:tcPr>
            <w:tcW w:w="1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820" w:type="dxa"/>
            <w:vAlign w:val="bottom"/>
            <w:gridSpan w:val="29"/>
            <w:shd w:val="clear" w:color="auto" w:fill="CCEEFF"/>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Notes to Consolidated Financial Statements</w:t>
              </w:r>
            </w:hyperlink>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rFonts w:ascii="Arial" w:cs="Arial" w:eastAsia="Arial" w:hAnsi="Arial"/>
                <w:sz w:val="18"/>
                <w:szCs w:val="18"/>
                <w:color w:val="0000EE"/>
              </w:rPr>
            </w:pPr>
            <w:hyperlink w:anchor="page189">
              <w:r>
                <w:rPr>
                  <w:rFonts w:ascii="Arial" w:cs="Arial" w:eastAsia="Arial" w:hAnsi="Arial"/>
                  <w:sz w:val="18"/>
                  <w:szCs w:val="18"/>
                  <w:color w:val="0000EE"/>
                </w:rPr>
                <w:t>F-7</w:t>
              </w:r>
            </w:hyperlink>
          </w:p>
        </w:tc>
        <w:tc>
          <w:tcPr>
            <w:tcW w:w="1260" w:type="dxa"/>
            <w:vAlign w:val="bottom"/>
          </w:tcPr>
          <w:p>
            <w:pPr>
              <w:spacing w:after="0"/>
              <w:rPr>
                <w:sz w:val="21"/>
                <w:szCs w:val="21"/>
                <w:color w:val="auto"/>
              </w:rPr>
            </w:pPr>
          </w:p>
        </w:tc>
      </w:tr>
      <w:tr>
        <w:trPr>
          <w:trHeight w:val="242"/>
        </w:trPr>
        <w:tc>
          <w:tcPr>
            <w:tcW w:w="126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460" w:type="dxa"/>
            <w:vAlign w:val="bottom"/>
            <w:tcBorders>
              <w:top w:val="single" w:sz="8" w:color="CCEEFF"/>
            </w:tcBorders>
            <w:gridSpan w:val="19"/>
          </w:tcPr>
          <w:p>
            <w:pPr>
              <w:jc w:val="center"/>
              <w:ind w:right="3020"/>
              <w:spacing w:after="0"/>
              <w:rPr>
                <w:sz w:val="20"/>
                <w:szCs w:val="20"/>
                <w:color w:val="auto"/>
              </w:rPr>
            </w:pPr>
            <w:r>
              <w:rPr>
                <w:rFonts w:ascii="Arial" w:cs="Arial" w:eastAsia="Arial" w:hAnsi="Arial"/>
                <w:sz w:val="18"/>
                <w:szCs w:val="18"/>
                <w:color w:val="auto"/>
                <w:w w:val="98"/>
              </w:rPr>
              <w:t>Atieva, Inc.</w:t>
            </w: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260" w:type="dxa"/>
            <w:vAlign w:val="bottom"/>
          </w:tcPr>
          <w:p>
            <w:pPr>
              <w:spacing w:after="0"/>
              <w:rPr>
                <w:sz w:val="21"/>
                <w:szCs w:val="2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00" w:type="dxa"/>
            <w:vAlign w:val="bottom"/>
            <w:gridSpan w:val="24"/>
          </w:tcPr>
          <w:p>
            <w:pPr>
              <w:jc w:val="center"/>
              <w:ind w:right="1140"/>
              <w:spacing w:after="0"/>
              <w:rPr>
                <w:sz w:val="20"/>
                <w:szCs w:val="20"/>
                <w:color w:val="auto"/>
              </w:rPr>
            </w:pPr>
            <w:r>
              <w:rPr>
                <w:rFonts w:ascii="Arial" w:cs="Arial" w:eastAsia="Arial" w:hAnsi="Arial"/>
                <w:sz w:val="18"/>
                <w:szCs w:val="18"/>
                <w:color w:val="auto"/>
                <w:w w:val="93"/>
              </w:rPr>
              <w:t>Unaudited Condensed Consolidated Financial Statements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3"/>
        </w:trPr>
        <w:tc>
          <w:tcPr>
            <w:tcW w:w="1260" w:type="dxa"/>
            <w:vAlign w:val="bottom"/>
          </w:tcPr>
          <w:p>
            <w:pPr>
              <w:spacing w:after="0"/>
              <w:rPr>
                <w:sz w:val="19"/>
                <w:szCs w:val="19"/>
                <w:color w:val="auto"/>
              </w:rPr>
            </w:pPr>
          </w:p>
        </w:tc>
        <w:tc>
          <w:tcPr>
            <w:tcW w:w="7820" w:type="dxa"/>
            <w:vAlign w:val="bottom"/>
            <w:gridSpan w:val="29"/>
            <w:shd w:val="clear" w:color="auto" w:fill="CCEEFF"/>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Condensed Consolidated Balance Sheets as of June 30, 2021 (Unaudited) and December 31,</w:t>
              </w:r>
            </w:hyperlink>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line="196" w:lineRule="exact"/>
              <w:rPr>
                <w:rFonts w:ascii="Arial" w:cs="Arial" w:eastAsia="Arial" w:hAnsi="Arial"/>
                <w:sz w:val="18"/>
                <w:szCs w:val="18"/>
                <w:color w:val="0000EE"/>
                <w:w w:val="89"/>
              </w:rPr>
            </w:pPr>
            <w:hyperlink w:anchor="page222">
              <w:r>
                <w:rPr>
                  <w:rFonts w:ascii="Arial" w:cs="Arial" w:eastAsia="Arial" w:hAnsi="Arial"/>
                  <w:sz w:val="18"/>
                  <w:szCs w:val="18"/>
                  <w:color w:val="0000EE"/>
                  <w:w w:val="89"/>
                </w:rPr>
                <w:t>2020</w:t>
              </w:r>
            </w:hyperlink>
          </w:p>
        </w:tc>
        <w:tc>
          <w:tcPr>
            <w:tcW w:w="6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740" w:type="dxa"/>
            <w:vAlign w:val="bottom"/>
            <w:tcBorders>
              <w:top w:val="single" w:sz="8" w:color="0000EE"/>
            </w:tcBorders>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136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3"/>
            <w:shd w:val="clear" w:color="auto" w:fill="CCEEFF"/>
          </w:tcPr>
          <w:p>
            <w:pPr>
              <w:jc w:val="right"/>
              <w:spacing w:after="0" w:line="196" w:lineRule="exact"/>
              <w:rPr>
                <w:rFonts w:ascii="Arial" w:cs="Arial" w:eastAsia="Arial" w:hAnsi="Arial"/>
                <w:sz w:val="18"/>
                <w:szCs w:val="18"/>
                <w:color w:val="0000EE"/>
                <w:w w:val="97"/>
              </w:rPr>
            </w:pPr>
            <w:hyperlink w:anchor="page222">
              <w:r>
                <w:rPr>
                  <w:rFonts w:ascii="Arial" w:cs="Arial" w:eastAsia="Arial" w:hAnsi="Arial"/>
                  <w:sz w:val="18"/>
                  <w:szCs w:val="18"/>
                  <w:color w:val="0000EE"/>
                  <w:w w:val="97"/>
                </w:rPr>
                <w:t>F-40</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480" w:type="dxa"/>
            <w:vAlign w:val="bottom"/>
            <w:tcBorders>
              <w:bottom w:val="single" w:sz="8" w:color="0000EE"/>
            </w:tcBorders>
            <w:gridSpan w:val="26"/>
          </w:tcPr>
          <w:p>
            <w:pPr>
              <w:spacing w:after="0"/>
              <w:rPr>
                <w:rFonts w:ascii="Arial" w:cs="Arial" w:eastAsia="Arial" w:hAnsi="Arial"/>
                <w:sz w:val="18"/>
                <w:szCs w:val="18"/>
                <w:color w:val="0000EE"/>
                <w:w w:val="94"/>
              </w:rPr>
            </w:pPr>
            <w:hyperlink w:anchor="page223">
              <w:r>
                <w:rPr>
                  <w:rFonts w:ascii="Arial" w:cs="Arial" w:eastAsia="Arial" w:hAnsi="Arial"/>
                  <w:sz w:val="18"/>
                  <w:szCs w:val="18"/>
                  <w:color w:val="0000EE"/>
                  <w:w w:val="94"/>
                </w:rPr>
                <w:t>Condensed Consolidated Statements of Operations and Comprehensive Loss for the Three and Six</w:t>
              </w:r>
            </w:hyperlink>
          </w:p>
        </w:tc>
        <w:tc>
          <w:tcPr>
            <w:tcW w:w="34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40" w:type="dxa"/>
            <w:vAlign w:val="bottom"/>
            <w:gridSpan w:val="28"/>
          </w:tcPr>
          <w:p>
            <w:pPr>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Months Ended June 30, 2021 and 2020 (Unaudited)</w:t>
              </w:r>
            </w:hyperlink>
          </w:p>
        </w:tc>
        <w:tc>
          <w:tcPr>
            <w:tcW w:w="380" w:type="dxa"/>
            <w:vAlign w:val="bottom"/>
            <w:gridSpan w:val="3"/>
          </w:tcPr>
          <w:p>
            <w:pPr>
              <w:jc w:val="right"/>
              <w:spacing w:after="0" w:line="196" w:lineRule="exact"/>
              <w:rPr>
                <w:rFonts w:ascii="Arial" w:cs="Arial" w:eastAsia="Arial" w:hAnsi="Arial"/>
                <w:sz w:val="18"/>
                <w:szCs w:val="18"/>
                <w:color w:val="0000EE"/>
                <w:w w:val="97"/>
              </w:rPr>
            </w:pPr>
            <w:hyperlink w:anchor="page223">
              <w:r>
                <w:rPr>
                  <w:rFonts w:ascii="Arial" w:cs="Arial" w:eastAsia="Arial" w:hAnsi="Arial"/>
                  <w:sz w:val="18"/>
                  <w:szCs w:val="18"/>
                  <w:color w:val="0000EE"/>
                  <w:w w:val="97"/>
                </w:rPr>
                <w:t>F-41</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820" w:type="dxa"/>
            <w:vAlign w:val="bottom"/>
            <w:gridSpan w:val="29"/>
            <w:shd w:val="clear" w:color="auto" w:fill="CCEEFF"/>
          </w:tcPr>
          <w:p>
            <w:pPr>
              <w:spacing w:after="0"/>
              <w:rPr>
                <w:rFonts w:ascii="Arial" w:cs="Arial" w:eastAsia="Arial" w:hAnsi="Arial"/>
                <w:sz w:val="18"/>
                <w:szCs w:val="18"/>
                <w:color w:val="0000EE"/>
                <w:w w:val="98"/>
              </w:rPr>
            </w:pPr>
            <w:hyperlink w:anchor="page224">
              <w:r>
                <w:rPr>
                  <w:rFonts w:ascii="Arial" w:cs="Arial" w:eastAsia="Arial" w:hAnsi="Arial"/>
                  <w:sz w:val="18"/>
                  <w:szCs w:val="18"/>
                  <w:color w:val="0000EE"/>
                  <w:w w:val="98"/>
                </w:rPr>
                <w:t>Condensed Consolidated Statements of Convertible Preferred Shares and Shareholders’ Deficit for</w:t>
              </w:r>
            </w:hyperlink>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528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w w:val="93"/>
              </w:rPr>
            </w:pPr>
            <w:hyperlink w:anchor="page224">
              <w:r>
                <w:rPr>
                  <w:rFonts w:ascii="Arial" w:cs="Arial" w:eastAsia="Arial" w:hAnsi="Arial"/>
                  <w:sz w:val="18"/>
                  <w:szCs w:val="18"/>
                  <w:color w:val="0000EE"/>
                  <w:w w:val="93"/>
                </w:rPr>
                <w:t>the Three and Six Months Ended June 30, 2021 and 2020 (Unaudited)</w:t>
              </w:r>
            </w:hyperlink>
          </w:p>
        </w:tc>
        <w:tc>
          <w:tcPr>
            <w:tcW w:w="1980" w:type="dxa"/>
            <w:vAlign w:val="bottom"/>
            <w:tcBorders>
              <w:top w:val="single" w:sz="8" w:color="0000EE"/>
            </w:tcBorders>
            <w:gridSpan w:val="9"/>
            <w:shd w:val="clear" w:color="auto" w:fill="CCEEFF"/>
          </w:tcPr>
          <w:p>
            <w:pPr>
              <w:spacing w:after="0"/>
              <w:rPr>
                <w:sz w:val="17"/>
                <w:szCs w:val="17"/>
                <w:color w:val="auto"/>
              </w:rPr>
            </w:pPr>
          </w:p>
        </w:tc>
        <w:tc>
          <w:tcPr>
            <w:tcW w:w="380" w:type="dxa"/>
            <w:vAlign w:val="bottom"/>
            <w:tcBorders>
              <w:top w:val="single" w:sz="8" w:color="CCEEFF"/>
            </w:tcBorders>
            <w:gridSpan w:val="4"/>
            <w:shd w:val="clear" w:color="auto" w:fill="CCEEFF"/>
          </w:tcPr>
          <w:p>
            <w:pPr>
              <w:spacing w:after="0"/>
              <w:rPr>
                <w:sz w:val="17"/>
                <w:szCs w:val="17"/>
                <w:color w:val="auto"/>
              </w:rPr>
            </w:pPr>
          </w:p>
        </w:tc>
        <w:tc>
          <w:tcPr>
            <w:tcW w:w="380" w:type="dxa"/>
            <w:vAlign w:val="bottom"/>
            <w:tcBorders>
              <w:top w:val="single" w:sz="8" w:color="CCEEFF"/>
            </w:tcBorders>
            <w:gridSpan w:val="3"/>
            <w:shd w:val="clear" w:color="auto" w:fill="CCEEFF"/>
          </w:tcPr>
          <w:p>
            <w:pPr>
              <w:jc w:val="right"/>
              <w:spacing w:after="0" w:line="196" w:lineRule="exact"/>
              <w:rPr>
                <w:rFonts w:ascii="Arial" w:cs="Arial" w:eastAsia="Arial" w:hAnsi="Arial"/>
                <w:sz w:val="18"/>
                <w:szCs w:val="18"/>
                <w:color w:val="0000EE"/>
                <w:w w:val="97"/>
              </w:rPr>
            </w:pPr>
            <w:hyperlink w:anchor="page224">
              <w:r>
                <w:rPr>
                  <w:rFonts w:ascii="Arial" w:cs="Arial" w:eastAsia="Arial" w:hAnsi="Arial"/>
                  <w:sz w:val="18"/>
                  <w:szCs w:val="18"/>
                  <w:color w:val="0000EE"/>
                  <w:w w:val="97"/>
                </w:rPr>
                <w:t>F-42</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360" w:type="dxa"/>
            <w:vAlign w:val="bottom"/>
            <w:tcBorders>
              <w:bottom w:val="single" w:sz="8" w:color="0000EE"/>
            </w:tcBorders>
            <w:gridSpan w:val="24"/>
          </w:tcPr>
          <w:p>
            <w:pPr>
              <w:spacing w:after="0"/>
              <w:rPr>
                <w:rFonts w:ascii="Arial" w:cs="Arial" w:eastAsia="Arial" w:hAnsi="Arial"/>
                <w:sz w:val="18"/>
                <w:szCs w:val="18"/>
                <w:color w:val="0000EE"/>
                <w:w w:val="93"/>
              </w:rPr>
            </w:pPr>
            <w:hyperlink w:anchor="page225">
              <w:r>
                <w:rPr>
                  <w:rFonts w:ascii="Arial" w:cs="Arial" w:eastAsia="Arial" w:hAnsi="Arial"/>
                  <w:sz w:val="18"/>
                  <w:szCs w:val="18"/>
                  <w:color w:val="0000EE"/>
                  <w:w w:val="93"/>
                </w:rPr>
                <w:t>Condensed Consolidated Statements of Cash Flows for the Three and Six Months Ended June 30,</w:t>
              </w:r>
            </w:hyperlink>
          </w:p>
        </w:tc>
        <w:tc>
          <w:tcPr>
            <w:tcW w:w="460" w:type="dxa"/>
            <w:vAlign w:val="bottom"/>
            <w:gridSpan w:val="5"/>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40" w:type="dxa"/>
            <w:vAlign w:val="bottom"/>
            <w:gridSpan w:val="28"/>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2021 and 2020 (Unaudited)</w:t>
              </w:r>
            </w:hyperlink>
          </w:p>
        </w:tc>
        <w:tc>
          <w:tcPr>
            <w:tcW w:w="380" w:type="dxa"/>
            <w:vAlign w:val="bottom"/>
            <w:gridSpan w:val="3"/>
          </w:tcPr>
          <w:p>
            <w:pPr>
              <w:jc w:val="right"/>
              <w:spacing w:after="0" w:line="196" w:lineRule="exact"/>
              <w:rPr>
                <w:rFonts w:ascii="Arial" w:cs="Arial" w:eastAsia="Arial" w:hAnsi="Arial"/>
                <w:sz w:val="18"/>
                <w:szCs w:val="18"/>
                <w:color w:val="0000EE"/>
                <w:w w:val="97"/>
              </w:rPr>
            </w:pPr>
            <w:hyperlink w:anchor="page225">
              <w:r>
                <w:rPr>
                  <w:rFonts w:ascii="Arial" w:cs="Arial" w:eastAsia="Arial" w:hAnsi="Arial"/>
                  <w:sz w:val="18"/>
                  <w:szCs w:val="18"/>
                  <w:color w:val="0000EE"/>
                  <w:w w:val="97"/>
                </w:rPr>
                <w:t>F-43</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5140" w:type="dxa"/>
            <w:vAlign w:val="bottom"/>
            <w:gridSpan w:val="15"/>
            <w:shd w:val="clear" w:color="auto" w:fill="CCEEFF"/>
          </w:tcPr>
          <w:p>
            <w:pPr>
              <w:spacing w:after="0"/>
              <w:rPr>
                <w:rFonts w:ascii="Arial" w:cs="Arial" w:eastAsia="Arial" w:hAnsi="Arial"/>
                <w:sz w:val="18"/>
                <w:szCs w:val="18"/>
                <w:color w:val="0000EE"/>
                <w:w w:val="93"/>
              </w:rPr>
            </w:pPr>
            <w:hyperlink w:anchor="page226">
              <w:r>
                <w:rPr>
                  <w:rFonts w:ascii="Arial" w:cs="Arial" w:eastAsia="Arial" w:hAnsi="Arial"/>
                  <w:sz w:val="18"/>
                  <w:szCs w:val="18"/>
                  <w:color w:val="0000EE"/>
                  <w:w w:val="93"/>
                </w:rPr>
                <w:t>Notes to Condensed Consolidated Financial Statements (Unaudited)</w:t>
              </w:r>
            </w:hyperlink>
          </w:p>
        </w:tc>
        <w:tc>
          <w:tcPr>
            <w:tcW w:w="2680" w:type="dxa"/>
            <w:vAlign w:val="bottom"/>
            <w:gridSpan w:val="14"/>
            <w:shd w:val="clear" w:color="auto" w:fill="CCEEFF"/>
          </w:tcPr>
          <w:p>
            <w:pPr>
              <w:spacing w:after="0"/>
              <w:rPr>
                <w:sz w:val="21"/>
                <w:szCs w:val="21"/>
                <w:color w:val="auto"/>
              </w:rPr>
            </w:pPr>
          </w:p>
        </w:tc>
        <w:tc>
          <w:tcPr>
            <w:tcW w:w="380" w:type="dxa"/>
            <w:vAlign w:val="bottom"/>
            <w:gridSpan w:val="3"/>
            <w:shd w:val="clear" w:color="auto" w:fill="CCEEFF"/>
          </w:tcPr>
          <w:p>
            <w:pPr>
              <w:jc w:val="right"/>
              <w:spacing w:after="0"/>
              <w:rPr>
                <w:rFonts w:ascii="Arial" w:cs="Arial" w:eastAsia="Arial" w:hAnsi="Arial"/>
                <w:sz w:val="18"/>
                <w:szCs w:val="18"/>
                <w:color w:val="0000EE"/>
                <w:w w:val="97"/>
              </w:rPr>
            </w:pPr>
            <w:hyperlink w:anchor="page226">
              <w:r>
                <w:rPr>
                  <w:rFonts w:ascii="Arial" w:cs="Arial" w:eastAsia="Arial" w:hAnsi="Arial"/>
                  <w:sz w:val="18"/>
                  <w:szCs w:val="18"/>
                  <w:color w:val="0000EE"/>
                  <w:w w:val="97"/>
                </w:rPr>
                <w:t>F-44</w:t>
              </w:r>
            </w:hyperlink>
          </w:p>
        </w:tc>
        <w:tc>
          <w:tcPr>
            <w:tcW w:w="1260" w:type="dxa"/>
            <w:vAlign w:val="bottom"/>
          </w:tcPr>
          <w:p>
            <w:pPr>
              <w:spacing w:after="0"/>
              <w:rPr>
                <w:sz w:val="21"/>
                <w:szCs w:val="21"/>
                <w:color w:val="auto"/>
              </w:rPr>
            </w:pPr>
          </w:p>
        </w:tc>
      </w:tr>
      <w:tr>
        <w:trPr>
          <w:trHeight w:val="242"/>
        </w:trPr>
        <w:tc>
          <w:tcPr>
            <w:tcW w:w="126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2220" w:type="dxa"/>
            <w:vAlign w:val="bottom"/>
            <w:tcBorders>
              <w:top w:val="single" w:sz="8" w:color="0000EE"/>
            </w:tcBorders>
            <w:gridSpan w:val="8"/>
          </w:tcPr>
          <w:p>
            <w:pPr>
              <w:jc w:val="center"/>
              <w:ind w:left="10"/>
              <w:spacing w:after="0"/>
              <w:rPr>
                <w:sz w:val="20"/>
                <w:szCs w:val="20"/>
                <w:color w:val="auto"/>
              </w:rPr>
            </w:pPr>
            <w:r>
              <w:rPr>
                <w:rFonts w:ascii="Arial" w:cs="Arial" w:eastAsia="Arial" w:hAnsi="Arial"/>
                <w:sz w:val="18"/>
                <w:szCs w:val="18"/>
                <w:color w:val="auto"/>
                <w:w w:val="99"/>
              </w:rPr>
              <w:t>Churchill Capital Corp IV</w:t>
            </w:r>
          </w:p>
        </w:tc>
        <w:tc>
          <w:tcPr>
            <w:tcW w:w="2680" w:type="dxa"/>
            <w:vAlign w:val="bottom"/>
            <w:tcBorders>
              <w:top w:val="single" w:sz="8" w:color="CCEEFF"/>
            </w:tcBorders>
            <w:gridSpan w:val="14"/>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260" w:type="dxa"/>
            <w:vAlign w:val="bottom"/>
          </w:tcPr>
          <w:p>
            <w:pPr>
              <w:spacing w:after="0"/>
              <w:rPr>
                <w:sz w:val="21"/>
                <w:szCs w:val="2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00" w:type="dxa"/>
            <w:vAlign w:val="bottom"/>
            <w:gridSpan w:val="22"/>
          </w:tcPr>
          <w:p>
            <w:pPr>
              <w:jc w:val="center"/>
              <w:ind w:right="2540"/>
              <w:spacing w:after="0"/>
              <w:rPr>
                <w:sz w:val="20"/>
                <w:szCs w:val="20"/>
                <w:color w:val="auto"/>
              </w:rPr>
            </w:pPr>
            <w:r>
              <w:rPr>
                <w:rFonts w:ascii="Arial" w:cs="Arial" w:eastAsia="Arial" w:hAnsi="Arial"/>
                <w:sz w:val="18"/>
                <w:szCs w:val="18"/>
                <w:color w:val="auto"/>
                <w:w w:val="95"/>
              </w:rPr>
              <w:t>Audited Financial Statements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6"/>
        </w:trPr>
        <w:tc>
          <w:tcPr>
            <w:tcW w:w="1260" w:type="dxa"/>
            <w:vAlign w:val="bottom"/>
          </w:tcPr>
          <w:p>
            <w:pPr>
              <w:spacing w:after="0"/>
              <w:rPr>
                <w:sz w:val="20"/>
                <w:szCs w:val="20"/>
                <w:color w:val="auto"/>
              </w:rPr>
            </w:pPr>
          </w:p>
        </w:tc>
        <w:tc>
          <w:tcPr>
            <w:tcW w:w="4420" w:type="dxa"/>
            <w:vAlign w:val="bottom"/>
            <w:gridSpan w:val="13"/>
            <w:shd w:val="clear" w:color="auto" w:fill="CCEEFF"/>
          </w:tcPr>
          <w:p>
            <w:pPr>
              <w:spacing w:after="0"/>
              <w:rPr>
                <w:rFonts w:ascii="Arial" w:cs="Arial" w:eastAsia="Arial" w:hAnsi="Arial"/>
                <w:sz w:val="18"/>
                <w:szCs w:val="18"/>
                <w:color w:val="0000EE"/>
                <w:w w:val="95"/>
              </w:rPr>
            </w:pPr>
            <w:hyperlink w:anchor="page249">
              <w:r>
                <w:rPr>
                  <w:rFonts w:ascii="Arial" w:cs="Arial" w:eastAsia="Arial" w:hAnsi="Arial"/>
                  <w:sz w:val="18"/>
                  <w:szCs w:val="18"/>
                  <w:color w:val="0000EE"/>
                  <w:w w:val="95"/>
                </w:rPr>
                <w:t>Report of Independent Registered Public Accounting Firm</w:t>
              </w:r>
            </w:hyperlink>
          </w:p>
        </w:tc>
        <w:tc>
          <w:tcPr>
            <w:tcW w:w="3400" w:type="dxa"/>
            <w:vAlign w:val="bottom"/>
            <w:gridSpan w:val="16"/>
            <w:shd w:val="clear" w:color="auto" w:fill="CCEEFF"/>
          </w:tcPr>
          <w:p>
            <w:pPr>
              <w:spacing w:after="0"/>
              <w:rPr>
                <w:sz w:val="20"/>
                <w:szCs w:val="20"/>
                <w:color w:val="auto"/>
              </w:rPr>
            </w:pPr>
          </w:p>
        </w:tc>
        <w:tc>
          <w:tcPr>
            <w:tcW w:w="380" w:type="dxa"/>
            <w:vAlign w:val="bottom"/>
            <w:gridSpan w:val="3"/>
            <w:shd w:val="clear" w:color="auto" w:fill="CCEEFF"/>
          </w:tcPr>
          <w:p>
            <w:pPr>
              <w:jc w:val="right"/>
              <w:spacing w:after="0"/>
              <w:rPr>
                <w:rFonts w:ascii="Arial" w:cs="Arial" w:eastAsia="Arial" w:hAnsi="Arial"/>
                <w:sz w:val="18"/>
                <w:szCs w:val="18"/>
                <w:color w:val="0000EE"/>
                <w:w w:val="97"/>
              </w:rPr>
            </w:pPr>
            <w:hyperlink w:anchor="page249">
              <w:r>
                <w:rPr>
                  <w:rFonts w:ascii="Arial" w:cs="Arial" w:eastAsia="Arial" w:hAnsi="Arial"/>
                  <w:sz w:val="18"/>
                  <w:szCs w:val="18"/>
                  <w:color w:val="0000EE"/>
                  <w:w w:val="97"/>
                </w:rPr>
                <w:t>F-67</w:t>
              </w:r>
            </w:hyperlink>
          </w:p>
        </w:tc>
        <w:tc>
          <w:tcPr>
            <w:tcW w:w="1260" w:type="dxa"/>
            <w:vAlign w:val="bottom"/>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1260" w:type="dxa"/>
            <w:vAlign w:val="bottom"/>
          </w:tcPr>
          <w:p>
            <w:pPr>
              <w:spacing w:after="0"/>
              <w:rPr>
                <w:sz w:val="19"/>
                <w:szCs w:val="19"/>
                <w:color w:val="auto"/>
              </w:rPr>
            </w:pPr>
          </w:p>
        </w:tc>
        <w:tc>
          <w:tcPr>
            <w:tcW w:w="4420" w:type="dxa"/>
            <w:vAlign w:val="bottom"/>
            <w:gridSpan w:val="13"/>
          </w:tcPr>
          <w:p>
            <w:pPr>
              <w:spacing w:after="0"/>
              <w:rPr>
                <w:rFonts w:ascii="Arial" w:cs="Arial" w:eastAsia="Arial" w:hAnsi="Arial"/>
                <w:sz w:val="18"/>
                <w:szCs w:val="18"/>
                <w:color w:val="0000EE"/>
              </w:rPr>
            </w:pPr>
            <w:hyperlink w:anchor="page250">
              <w:r>
                <w:rPr>
                  <w:rFonts w:ascii="Arial" w:cs="Arial" w:eastAsia="Arial" w:hAnsi="Arial"/>
                  <w:sz w:val="18"/>
                  <w:szCs w:val="18"/>
                  <w:color w:val="0000EE"/>
                </w:rPr>
                <w:t>Balance Sheet as of December 31, 2020 (As Restated)</w:t>
              </w:r>
            </w:hyperlink>
          </w:p>
        </w:tc>
        <w:tc>
          <w:tcPr>
            <w:tcW w:w="3400" w:type="dxa"/>
            <w:vAlign w:val="bottom"/>
            <w:gridSpan w:val="16"/>
          </w:tcPr>
          <w:p>
            <w:pPr>
              <w:spacing w:after="0"/>
              <w:rPr>
                <w:sz w:val="19"/>
                <w:szCs w:val="19"/>
                <w:color w:val="auto"/>
              </w:rPr>
            </w:pPr>
          </w:p>
        </w:tc>
        <w:tc>
          <w:tcPr>
            <w:tcW w:w="380" w:type="dxa"/>
            <w:vAlign w:val="bottom"/>
            <w:gridSpan w:val="3"/>
          </w:tcPr>
          <w:p>
            <w:pPr>
              <w:jc w:val="right"/>
              <w:spacing w:after="0"/>
              <w:rPr>
                <w:rFonts w:ascii="Arial" w:cs="Arial" w:eastAsia="Arial" w:hAnsi="Arial"/>
                <w:sz w:val="18"/>
                <w:szCs w:val="18"/>
                <w:color w:val="0000EE"/>
                <w:w w:val="97"/>
              </w:rPr>
            </w:pPr>
            <w:hyperlink w:anchor="page250">
              <w:r>
                <w:rPr>
                  <w:rFonts w:ascii="Arial" w:cs="Arial" w:eastAsia="Arial" w:hAnsi="Arial"/>
                  <w:sz w:val="18"/>
                  <w:szCs w:val="18"/>
                  <w:color w:val="0000EE"/>
                  <w:w w:val="97"/>
                </w:rPr>
                <w:t>F-68</w:t>
              </w:r>
            </w:hyperlink>
          </w:p>
        </w:tc>
        <w:tc>
          <w:tcPr>
            <w:tcW w:w="1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1260" w:type="dxa"/>
            <w:vAlign w:val="bottom"/>
          </w:tcPr>
          <w:p>
            <w:pPr>
              <w:spacing w:after="0"/>
              <w:rPr>
                <w:sz w:val="18"/>
                <w:szCs w:val="18"/>
                <w:color w:val="auto"/>
              </w:rPr>
            </w:pPr>
          </w:p>
        </w:tc>
        <w:tc>
          <w:tcPr>
            <w:tcW w:w="7620" w:type="dxa"/>
            <w:vAlign w:val="bottom"/>
            <w:tcBorders>
              <w:bottom w:val="single" w:sz="8" w:color="0000EE"/>
            </w:tcBorders>
            <w:gridSpan w:val="28"/>
            <w:shd w:val="clear" w:color="auto" w:fill="CCEEFF"/>
          </w:tcPr>
          <w:p>
            <w:pPr>
              <w:spacing w:after="0"/>
              <w:rPr>
                <w:rFonts w:ascii="Arial" w:cs="Arial" w:eastAsia="Arial" w:hAnsi="Arial"/>
                <w:sz w:val="18"/>
                <w:szCs w:val="18"/>
                <w:color w:val="0000EE"/>
                <w:w w:val="96"/>
              </w:rPr>
            </w:pPr>
            <w:hyperlink w:anchor="page251">
              <w:r>
                <w:rPr>
                  <w:rFonts w:ascii="Arial" w:cs="Arial" w:eastAsia="Arial" w:hAnsi="Arial"/>
                  <w:sz w:val="18"/>
                  <w:szCs w:val="18"/>
                  <w:color w:val="0000EE"/>
                  <w:w w:val="96"/>
                </w:rPr>
                <w:t>Statement of Operations for the Period From April 30, 2020 (Inception) through December 31, 2020</w:t>
              </w:r>
            </w:hyperlink>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196" w:lineRule="exact"/>
              <w:rPr>
                <w:rFonts w:ascii="Arial" w:cs="Arial" w:eastAsia="Arial" w:hAnsi="Arial"/>
                <w:sz w:val="18"/>
                <w:szCs w:val="18"/>
                <w:color w:val="0000EE"/>
                <w:w w:val="92"/>
              </w:rPr>
            </w:pPr>
            <w:hyperlink w:anchor="page251">
              <w:r>
                <w:rPr>
                  <w:rFonts w:ascii="Arial" w:cs="Arial" w:eastAsia="Arial" w:hAnsi="Arial"/>
                  <w:sz w:val="18"/>
                  <w:szCs w:val="18"/>
                  <w:color w:val="0000EE"/>
                  <w:w w:val="92"/>
                </w:rPr>
                <w:t>(As Restated)</w:t>
              </w:r>
            </w:hyperlink>
          </w:p>
        </w:tc>
        <w:tc>
          <w:tcPr>
            <w:tcW w:w="6600" w:type="dxa"/>
            <w:vAlign w:val="bottom"/>
            <w:gridSpan w:val="26"/>
            <w:shd w:val="clear" w:color="auto" w:fill="CCEEFF"/>
          </w:tcPr>
          <w:p>
            <w:pPr>
              <w:spacing w:after="0"/>
              <w:rPr>
                <w:sz w:val="17"/>
                <w:szCs w:val="17"/>
                <w:color w:val="auto"/>
              </w:rPr>
            </w:pPr>
          </w:p>
        </w:tc>
        <w:tc>
          <w:tcPr>
            <w:tcW w:w="380" w:type="dxa"/>
            <w:vAlign w:val="bottom"/>
            <w:gridSpan w:val="3"/>
            <w:shd w:val="clear" w:color="auto" w:fill="CCEEFF"/>
          </w:tcPr>
          <w:p>
            <w:pPr>
              <w:jc w:val="right"/>
              <w:spacing w:after="0" w:line="196" w:lineRule="exact"/>
              <w:rPr>
                <w:rFonts w:ascii="Arial" w:cs="Arial" w:eastAsia="Arial" w:hAnsi="Arial"/>
                <w:sz w:val="18"/>
                <w:szCs w:val="18"/>
                <w:color w:val="0000EE"/>
                <w:w w:val="97"/>
              </w:rPr>
            </w:pPr>
            <w:hyperlink w:anchor="page251">
              <w:r>
                <w:rPr>
                  <w:rFonts w:ascii="Arial" w:cs="Arial" w:eastAsia="Arial" w:hAnsi="Arial"/>
                  <w:sz w:val="18"/>
                  <w:szCs w:val="18"/>
                  <w:color w:val="0000EE"/>
                  <w:w w:val="97"/>
                </w:rPr>
                <w:t>F-69</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08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252">
              <w:r>
                <w:rPr>
                  <w:rFonts w:ascii="Arial" w:cs="Arial" w:eastAsia="Arial" w:hAnsi="Arial"/>
                  <w:sz w:val="18"/>
                  <w:szCs w:val="18"/>
                  <w:color w:val="0000EE"/>
                  <w:w w:val="96"/>
                </w:rPr>
                <w:t>Statement of Changes in Stockholders’ Equity for the Period From April 30, 2020 (Inception)</w:t>
              </w:r>
            </w:hyperlink>
          </w:p>
        </w:tc>
        <w:tc>
          <w:tcPr>
            <w:tcW w:w="740" w:type="dxa"/>
            <w:vAlign w:val="bottom"/>
            <w:gridSpan w:val="9"/>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40" w:type="dxa"/>
            <w:vAlign w:val="bottom"/>
            <w:gridSpan w:val="28"/>
          </w:tcPr>
          <w:p>
            <w:pPr>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through December 31, 2020 (As Restated)</w:t>
              </w:r>
            </w:hyperlink>
          </w:p>
        </w:tc>
        <w:tc>
          <w:tcPr>
            <w:tcW w:w="380" w:type="dxa"/>
            <w:vAlign w:val="bottom"/>
            <w:gridSpan w:val="3"/>
          </w:tcPr>
          <w:p>
            <w:pPr>
              <w:jc w:val="right"/>
              <w:spacing w:after="0" w:line="196" w:lineRule="exact"/>
              <w:rPr>
                <w:rFonts w:ascii="Arial" w:cs="Arial" w:eastAsia="Arial" w:hAnsi="Arial"/>
                <w:sz w:val="18"/>
                <w:szCs w:val="18"/>
                <w:color w:val="0000EE"/>
                <w:w w:val="97"/>
              </w:rPr>
            </w:pPr>
            <w:hyperlink w:anchor="page252">
              <w:r>
                <w:rPr>
                  <w:rFonts w:ascii="Arial" w:cs="Arial" w:eastAsia="Arial" w:hAnsi="Arial"/>
                  <w:sz w:val="18"/>
                  <w:szCs w:val="18"/>
                  <w:color w:val="0000EE"/>
                  <w:w w:val="97"/>
                </w:rPr>
                <w:t>F-70</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820" w:type="dxa"/>
            <w:vAlign w:val="bottom"/>
            <w:gridSpan w:val="29"/>
            <w:shd w:val="clear" w:color="auto" w:fill="CCEEFF"/>
          </w:tcPr>
          <w:p>
            <w:pPr>
              <w:spacing w:after="0"/>
              <w:rPr>
                <w:rFonts w:ascii="Arial" w:cs="Arial" w:eastAsia="Arial" w:hAnsi="Arial"/>
                <w:sz w:val="18"/>
                <w:szCs w:val="18"/>
                <w:color w:val="0000EE"/>
                <w:w w:val="97"/>
              </w:rPr>
            </w:pPr>
            <w:hyperlink w:anchor="page253">
              <w:r>
                <w:rPr>
                  <w:rFonts w:ascii="Arial" w:cs="Arial" w:eastAsia="Arial" w:hAnsi="Arial"/>
                  <w:sz w:val="18"/>
                  <w:szCs w:val="18"/>
                  <w:color w:val="0000EE"/>
                  <w:w w:val="97"/>
                </w:rPr>
                <w:t>Statement of Cash Flows for the Period From April 30, 2020 (Inception) through December 31, 2020</w:t>
              </w:r>
            </w:hyperlink>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4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w w:val="92"/>
              </w:rPr>
            </w:pPr>
            <w:hyperlink w:anchor="page253">
              <w:r>
                <w:rPr>
                  <w:rFonts w:ascii="Arial" w:cs="Arial" w:eastAsia="Arial" w:hAnsi="Arial"/>
                  <w:sz w:val="18"/>
                  <w:szCs w:val="18"/>
                  <w:color w:val="0000EE"/>
                  <w:w w:val="92"/>
                </w:rPr>
                <w:t>(As Restated)</w:t>
              </w:r>
            </w:hyperlink>
          </w:p>
        </w:tc>
        <w:tc>
          <w:tcPr>
            <w:tcW w:w="6400" w:type="dxa"/>
            <w:vAlign w:val="bottom"/>
            <w:tcBorders>
              <w:top w:val="single" w:sz="8" w:color="0000EE"/>
            </w:tcBorders>
            <w:gridSpan w:val="25"/>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3"/>
            <w:shd w:val="clear" w:color="auto" w:fill="CCEEFF"/>
          </w:tcPr>
          <w:p>
            <w:pPr>
              <w:jc w:val="right"/>
              <w:spacing w:after="0" w:line="196" w:lineRule="exact"/>
              <w:rPr>
                <w:rFonts w:ascii="Arial" w:cs="Arial" w:eastAsia="Arial" w:hAnsi="Arial"/>
                <w:sz w:val="18"/>
                <w:szCs w:val="18"/>
                <w:color w:val="0000EE"/>
                <w:w w:val="97"/>
              </w:rPr>
            </w:pPr>
            <w:hyperlink w:anchor="page253">
              <w:r>
                <w:rPr>
                  <w:rFonts w:ascii="Arial" w:cs="Arial" w:eastAsia="Arial" w:hAnsi="Arial"/>
                  <w:sz w:val="18"/>
                  <w:szCs w:val="18"/>
                  <w:color w:val="0000EE"/>
                  <w:w w:val="97"/>
                </w:rPr>
                <w:t>F-71</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1260" w:type="dxa"/>
            <w:vAlign w:val="bottom"/>
          </w:tcPr>
          <w:p>
            <w:pPr>
              <w:spacing w:after="0"/>
              <w:rPr>
                <w:sz w:val="19"/>
                <w:szCs w:val="19"/>
                <w:color w:val="auto"/>
              </w:rPr>
            </w:pPr>
          </w:p>
        </w:tc>
        <w:tc>
          <w:tcPr>
            <w:tcW w:w="7820" w:type="dxa"/>
            <w:vAlign w:val="bottom"/>
            <w:gridSpan w:val="29"/>
          </w:tcPr>
          <w:p>
            <w:pPr>
              <w:spacing w:after="0"/>
              <w:rPr>
                <w:rFonts w:ascii="Arial" w:cs="Arial" w:eastAsia="Arial" w:hAnsi="Arial"/>
                <w:sz w:val="18"/>
                <w:szCs w:val="18"/>
                <w:color w:val="0000EE"/>
              </w:rPr>
            </w:pPr>
            <w:hyperlink w:anchor="page254">
              <w:r>
                <w:rPr>
                  <w:rFonts w:ascii="Arial" w:cs="Arial" w:eastAsia="Arial" w:hAnsi="Arial"/>
                  <w:sz w:val="18"/>
                  <w:szCs w:val="18"/>
                  <w:color w:val="0000EE"/>
                </w:rPr>
                <w:t>Notes to Financial Statements</w:t>
              </w:r>
            </w:hyperlink>
          </w:p>
        </w:tc>
        <w:tc>
          <w:tcPr>
            <w:tcW w:w="380" w:type="dxa"/>
            <w:vAlign w:val="bottom"/>
            <w:gridSpan w:val="3"/>
          </w:tcPr>
          <w:p>
            <w:pPr>
              <w:jc w:val="right"/>
              <w:spacing w:after="0"/>
              <w:rPr>
                <w:rFonts w:ascii="Arial" w:cs="Arial" w:eastAsia="Arial" w:hAnsi="Arial"/>
                <w:sz w:val="18"/>
                <w:szCs w:val="18"/>
                <w:color w:val="0000EE"/>
                <w:w w:val="97"/>
              </w:rPr>
            </w:pPr>
            <w:hyperlink w:anchor="page254">
              <w:r>
                <w:rPr>
                  <w:rFonts w:ascii="Arial" w:cs="Arial" w:eastAsia="Arial" w:hAnsi="Arial"/>
                  <w:sz w:val="18"/>
                  <w:szCs w:val="18"/>
                  <w:color w:val="0000EE"/>
                  <w:w w:val="97"/>
                </w:rPr>
                <w:t>F-72</w:t>
              </w:r>
            </w:hyperlink>
          </w:p>
        </w:tc>
        <w:tc>
          <w:tcPr>
            <w:tcW w:w="1260" w:type="dxa"/>
            <w:vAlign w:val="bottom"/>
          </w:tcPr>
          <w:p>
            <w:pPr>
              <w:spacing w:after="0"/>
              <w:rPr>
                <w:sz w:val="19"/>
                <w:szCs w:val="19"/>
                <w:color w:val="auto"/>
              </w:rPr>
            </w:pPr>
          </w:p>
        </w:tc>
      </w:tr>
      <w:tr>
        <w:trPr>
          <w:trHeight w:val="21"/>
        </w:trPr>
        <w:tc>
          <w:tcPr>
            <w:tcW w:w="1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42"/>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900" w:type="dxa"/>
            <w:vAlign w:val="bottom"/>
            <w:gridSpan w:val="22"/>
            <w:shd w:val="clear" w:color="auto" w:fill="CCEEFF"/>
          </w:tcPr>
          <w:p>
            <w:pPr>
              <w:jc w:val="center"/>
              <w:ind w:right="2580"/>
              <w:spacing w:after="0"/>
              <w:rPr>
                <w:sz w:val="20"/>
                <w:szCs w:val="20"/>
                <w:color w:val="auto"/>
              </w:rPr>
            </w:pPr>
            <w:r>
              <w:rPr>
                <w:rFonts w:ascii="Arial" w:cs="Arial" w:eastAsia="Arial" w:hAnsi="Arial"/>
                <w:sz w:val="18"/>
                <w:szCs w:val="18"/>
                <w:color w:val="auto"/>
                <w:w w:val="99"/>
              </w:rPr>
              <w:t>Churchill Capital Corp IV</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44"/>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300" w:type="dxa"/>
            <w:vAlign w:val="bottom"/>
            <w:gridSpan w:val="24"/>
            <w:shd w:val="clear" w:color="auto" w:fill="CCEEFF"/>
          </w:tcPr>
          <w:p>
            <w:pPr>
              <w:jc w:val="center"/>
              <w:ind w:right="1140"/>
              <w:spacing w:after="0"/>
              <w:rPr>
                <w:sz w:val="20"/>
                <w:szCs w:val="20"/>
                <w:color w:val="auto"/>
              </w:rPr>
            </w:pPr>
            <w:r>
              <w:rPr>
                <w:rFonts w:ascii="Arial" w:cs="Arial" w:eastAsia="Arial" w:hAnsi="Arial"/>
                <w:sz w:val="18"/>
                <w:szCs w:val="18"/>
                <w:color w:val="auto"/>
                <w:w w:val="93"/>
              </w:rPr>
              <w:t>Unaudited Condensed Consolidated Financial Statements</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16"/>
        </w:trPr>
        <w:tc>
          <w:tcPr>
            <w:tcW w:w="1260" w:type="dxa"/>
            <w:vAlign w:val="bottom"/>
          </w:tcPr>
          <w:p>
            <w:pPr>
              <w:spacing w:after="0"/>
              <w:rPr>
                <w:sz w:val="18"/>
                <w:szCs w:val="18"/>
                <w:color w:val="auto"/>
              </w:rPr>
            </w:pPr>
          </w:p>
        </w:tc>
        <w:tc>
          <w:tcPr>
            <w:tcW w:w="7820" w:type="dxa"/>
            <w:vAlign w:val="bottom"/>
            <w:gridSpan w:val="29"/>
          </w:tcPr>
          <w:p>
            <w:pPr>
              <w:spacing w:after="0"/>
              <w:rPr>
                <w:rFonts w:ascii="Arial" w:cs="Arial" w:eastAsia="Arial" w:hAnsi="Arial"/>
                <w:sz w:val="18"/>
                <w:szCs w:val="18"/>
                <w:color w:val="0000EE"/>
              </w:rPr>
            </w:pPr>
            <w:hyperlink w:anchor="page274">
              <w:r>
                <w:rPr>
                  <w:rFonts w:ascii="Arial" w:cs="Arial" w:eastAsia="Arial" w:hAnsi="Arial"/>
                  <w:sz w:val="18"/>
                  <w:szCs w:val="18"/>
                  <w:color w:val="0000EE"/>
                </w:rPr>
                <w:t>Condensed Consolidated Balance Sheets as of June 30, 2021 (Unaudited) and December 31,</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56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9"/>
              </w:rPr>
            </w:pPr>
            <w:hyperlink w:anchor="page274">
              <w:r>
                <w:rPr>
                  <w:rFonts w:ascii="Arial" w:cs="Arial" w:eastAsia="Arial" w:hAnsi="Arial"/>
                  <w:sz w:val="18"/>
                  <w:szCs w:val="18"/>
                  <w:color w:val="0000EE"/>
                  <w:w w:val="89"/>
                </w:rPr>
                <w:t>2020</w:t>
              </w:r>
            </w:hyperlink>
          </w:p>
        </w:tc>
        <w:tc>
          <w:tcPr>
            <w:tcW w:w="6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jc w:val="right"/>
              <w:spacing w:after="0" w:line="196" w:lineRule="exact"/>
              <w:rPr>
                <w:rFonts w:ascii="Arial" w:cs="Arial" w:eastAsia="Arial" w:hAnsi="Arial"/>
                <w:sz w:val="18"/>
                <w:szCs w:val="18"/>
                <w:color w:val="0000EE"/>
                <w:w w:val="97"/>
              </w:rPr>
            </w:pPr>
            <w:hyperlink w:anchor="page274">
              <w:r>
                <w:rPr>
                  <w:rFonts w:ascii="Arial" w:cs="Arial" w:eastAsia="Arial" w:hAnsi="Arial"/>
                  <w:sz w:val="18"/>
                  <w:szCs w:val="18"/>
                  <w:color w:val="0000EE"/>
                  <w:w w:val="97"/>
                </w:rPr>
                <w:t>F-92</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240" w:type="dxa"/>
            <w:vAlign w:val="bottom"/>
            <w:tcBorders>
              <w:bottom w:val="single" w:sz="8" w:color="0000EE"/>
            </w:tcBorders>
            <w:gridSpan w:val="21"/>
            <w:shd w:val="clear" w:color="auto" w:fill="CCEEFF"/>
          </w:tcPr>
          <w:p>
            <w:pPr>
              <w:spacing w:after="0"/>
              <w:rPr>
                <w:rFonts w:ascii="Arial" w:cs="Arial" w:eastAsia="Arial" w:hAnsi="Arial"/>
                <w:sz w:val="18"/>
                <w:szCs w:val="18"/>
                <w:color w:val="0000EE"/>
                <w:w w:val="93"/>
              </w:rPr>
            </w:pPr>
            <w:hyperlink w:anchor="page275">
              <w:r>
                <w:rPr>
                  <w:rFonts w:ascii="Arial" w:cs="Arial" w:eastAsia="Arial" w:hAnsi="Arial"/>
                  <w:sz w:val="18"/>
                  <w:szCs w:val="18"/>
                  <w:color w:val="0000EE"/>
                  <w:w w:val="93"/>
                </w:rPr>
                <w:t>Condensed Consolidated Statement of Operations for the Three and Six Months Ended June 30,</w:t>
              </w:r>
            </w:hyperlink>
          </w:p>
        </w:tc>
        <w:tc>
          <w:tcPr>
            <w:tcW w:w="580" w:type="dxa"/>
            <w:vAlign w:val="bottom"/>
            <w:tcBorders>
              <w:bottom w:val="single" w:sz="8" w:color="CCEEFF"/>
            </w:tcBorders>
            <w:gridSpan w:val="8"/>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spacing w:after="0" w:line="196" w:lineRule="exact"/>
              <w:rPr>
                <w:rFonts w:ascii="Arial" w:cs="Arial" w:eastAsia="Arial" w:hAnsi="Arial"/>
                <w:sz w:val="18"/>
                <w:szCs w:val="18"/>
                <w:color w:val="0000EE"/>
                <w:w w:val="94"/>
              </w:rPr>
            </w:pPr>
            <w:hyperlink w:anchor="page275">
              <w:r>
                <w:rPr>
                  <w:rFonts w:ascii="Arial" w:cs="Arial" w:eastAsia="Arial" w:hAnsi="Arial"/>
                  <w:sz w:val="18"/>
                  <w:szCs w:val="18"/>
                  <w:color w:val="0000EE"/>
                  <w:w w:val="94"/>
                </w:rPr>
                <w:t>2021 (Unaudited)</w:t>
              </w:r>
            </w:hyperlink>
          </w:p>
        </w:tc>
        <w:tc>
          <w:tcPr>
            <w:tcW w:w="6300" w:type="dxa"/>
            <w:vAlign w:val="bottom"/>
            <w:gridSpan w:val="24"/>
            <w:shd w:val="clear" w:color="auto" w:fill="CCEEFF"/>
          </w:tcPr>
          <w:p>
            <w:pPr>
              <w:spacing w:after="0"/>
              <w:rPr>
                <w:sz w:val="17"/>
                <w:szCs w:val="17"/>
                <w:color w:val="auto"/>
              </w:rPr>
            </w:pPr>
          </w:p>
        </w:tc>
        <w:tc>
          <w:tcPr>
            <w:tcW w:w="380" w:type="dxa"/>
            <w:vAlign w:val="bottom"/>
            <w:gridSpan w:val="3"/>
            <w:shd w:val="clear" w:color="auto" w:fill="CCEEFF"/>
          </w:tcPr>
          <w:p>
            <w:pPr>
              <w:jc w:val="right"/>
              <w:spacing w:after="0" w:line="196" w:lineRule="exact"/>
              <w:rPr>
                <w:rFonts w:ascii="Arial" w:cs="Arial" w:eastAsia="Arial" w:hAnsi="Arial"/>
                <w:sz w:val="18"/>
                <w:szCs w:val="18"/>
                <w:color w:val="0000EE"/>
                <w:w w:val="97"/>
              </w:rPr>
            </w:pPr>
            <w:hyperlink w:anchor="page275">
              <w:r>
                <w:rPr>
                  <w:rFonts w:ascii="Arial" w:cs="Arial" w:eastAsia="Arial" w:hAnsi="Arial"/>
                  <w:sz w:val="18"/>
                  <w:szCs w:val="18"/>
                  <w:color w:val="0000EE"/>
                  <w:w w:val="97"/>
                </w:rPr>
                <w:t>F-93</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820" w:type="dxa"/>
            <w:vAlign w:val="bottom"/>
            <w:gridSpan w:val="29"/>
          </w:tcPr>
          <w:p>
            <w:pPr>
              <w:spacing w:after="0"/>
              <w:rPr>
                <w:rFonts w:ascii="Arial" w:cs="Arial" w:eastAsia="Arial" w:hAnsi="Arial"/>
                <w:sz w:val="18"/>
                <w:szCs w:val="18"/>
                <w:color w:val="0000EE"/>
              </w:rPr>
            </w:pPr>
            <w:hyperlink w:anchor="page276">
              <w:r>
                <w:rPr>
                  <w:rFonts w:ascii="Arial" w:cs="Arial" w:eastAsia="Arial" w:hAnsi="Arial"/>
                  <w:sz w:val="18"/>
                  <w:szCs w:val="18"/>
                  <w:color w:val="0000EE"/>
                </w:rPr>
                <w:t>Condensed Consolidated Statement of Changes in Stockholders’ Equity for the Three and Six</w:t>
              </w:r>
            </w:hyperlink>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76">
              <w:r>
                <w:rPr>
                  <w:rFonts w:ascii="Arial" w:cs="Arial" w:eastAsia="Arial" w:hAnsi="Arial"/>
                  <w:sz w:val="18"/>
                  <w:szCs w:val="18"/>
                  <w:color w:val="0000EE"/>
                </w:rPr>
                <w:t>Months Ended June 30, 2021 (Unaudited)</w:t>
              </w:r>
            </w:hyperlink>
          </w:p>
        </w:tc>
        <w:tc>
          <w:tcPr>
            <w:tcW w:w="760" w:type="dxa"/>
            <w:vAlign w:val="bottom"/>
            <w:gridSpan w:val="10"/>
          </w:tcPr>
          <w:p>
            <w:pPr>
              <w:spacing w:after="0"/>
              <w:rPr>
                <w:sz w:val="17"/>
                <w:szCs w:val="17"/>
                <w:color w:val="auto"/>
              </w:rPr>
            </w:pPr>
          </w:p>
        </w:tc>
        <w:tc>
          <w:tcPr>
            <w:tcW w:w="380" w:type="dxa"/>
            <w:vAlign w:val="bottom"/>
            <w:gridSpan w:val="3"/>
          </w:tcPr>
          <w:p>
            <w:pPr>
              <w:jc w:val="right"/>
              <w:spacing w:after="0" w:line="196" w:lineRule="exact"/>
              <w:rPr>
                <w:rFonts w:ascii="Arial" w:cs="Arial" w:eastAsia="Arial" w:hAnsi="Arial"/>
                <w:sz w:val="18"/>
                <w:szCs w:val="18"/>
                <w:color w:val="0000EE"/>
                <w:w w:val="97"/>
              </w:rPr>
            </w:pPr>
            <w:hyperlink w:anchor="page276">
              <w:r>
                <w:rPr>
                  <w:rFonts w:ascii="Arial" w:cs="Arial" w:eastAsia="Arial" w:hAnsi="Arial"/>
                  <w:sz w:val="18"/>
                  <w:szCs w:val="18"/>
                  <w:color w:val="0000EE"/>
                  <w:w w:val="97"/>
                </w:rPr>
                <w:t>F-94</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1260" w:type="dxa"/>
            <w:vAlign w:val="bottom"/>
          </w:tcPr>
          <w:p>
            <w:pPr>
              <w:spacing w:after="0"/>
              <w:rPr>
                <w:sz w:val="18"/>
                <w:szCs w:val="18"/>
                <w:color w:val="auto"/>
              </w:rPr>
            </w:pPr>
          </w:p>
        </w:tc>
        <w:tc>
          <w:tcPr>
            <w:tcW w:w="7820" w:type="dxa"/>
            <w:vAlign w:val="bottom"/>
            <w:gridSpan w:val="29"/>
            <w:shd w:val="clear" w:color="auto" w:fill="CCEEFF"/>
          </w:tcPr>
          <w:p>
            <w:pPr>
              <w:spacing w:after="0"/>
              <w:rPr>
                <w:rFonts w:ascii="Arial" w:cs="Arial" w:eastAsia="Arial" w:hAnsi="Arial"/>
                <w:sz w:val="18"/>
                <w:szCs w:val="18"/>
                <w:color w:val="0000EE"/>
              </w:rPr>
            </w:pPr>
            <w:hyperlink w:anchor="page277">
              <w:r>
                <w:rPr>
                  <w:rFonts w:ascii="Arial" w:cs="Arial" w:eastAsia="Arial" w:hAnsi="Arial"/>
                  <w:sz w:val="18"/>
                  <w:szCs w:val="18"/>
                  <w:color w:val="0000EE"/>
                </w:rPr>
                <w:t>Condensed Consolidated Statement of Cash Flows for the Three and Six Months Ended June 30,</w:t>
              </w:r>
            </w:hyperlink>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340" w:type="dxa"/>
            <w:vAlign w:val="bottom"/>
            <w:tcBorders>
              <w:top w:val="single" w:sz="8" w:color="0000EE"/>
            </w:tcBorders>
            <w:gridSpan w:val="4"/>
            <w:shd w:val="clear" w:color="auto" w:fill="CCEEFF"/>
          </w:tcPr>
          <w:p>
            <w:pPr>
              <w:spacing w:after="0" w:line="196" w:lineRule="exact"/>
              <w:rPr>
                <w:rFonts w:ascii="Arial" w:cs="Arial" w:eastAsia="Arial" w:hAnsi="Arial"/>
                <w:sz w:val="18"/>
                <w:szCs w:val="18"/>
                <w:color w:val="0000EE"/>
                <w:w w:val="94"/>
              </w:rPr>
            </w:pPr>
            <w:hyperlink w:anchor="page277">
              <w:r>
                <w:rPr>
                  <w:rFonts w:ascii="Arial" w:cs="Arial" w:eastAsia="Arial" w:hAnsi="Arial"/>
                  <w:sz w:val="18"/>
                  <w:szCs w:val="18"/>
                  <w:color w:val="0000EE"/>
                  <w:w w:val="94"/>
                </w:rPr>
                <w:t>2021 (Unaudited)</w:t>
              </w:r>
            </w:hyperlink>
          </w:p>
        </w:tc>
        <w:tc>
          <w:tcPr>
            <w:tcW w:w="5760" w:type="dxa"/>
            <w:vAlign w:val="bottom"/>
            <w:tcBorders>
              <w:top w:val="single" w:sz="8" w:color="0000EE"/>
            </w:tcBorders>
            <w:gridSpan w:val="17"/>
            <w:shd w:val="clear" w:color="auto" w:fill="CCEEFF"/>
          </w:tcPr>
          <w:p>
            <w:pPr>
              <w:spacing w:after="0"/>
              <w:rPr>
                <w:sz w:val="17"/>
                <w:szCs w:val="17"/>
                <w:color w:val="auto"/>
              </w:rPr>
            </w:pPr>
          </w:p>
        </w:tc>
        <w:tc>
          <w:tcPr>
            <w:tcW w:w="540" w:type="dxa"/>
            <w:vAlign w:val="bottom"/>
            <w:tcBorders>
              <w:top w:val="single" w:sz="8" w:color="CCEEFF"/>
            </w:tcBorders>
            <w:gridSpan w:val="7"/>
            <w:shd w:val="clear" w:color="auto" w:fill="CCEEFF"/>
          </w:tcPr>
          <w:p>
            <w:pPr>
              <w:spacing w:after="0"/>
              <w:rPr>
                <w:sz w:val="17"/>
                <w:szCs w:val="17"/>
                <w:color w:val="auto"/>
              </w:rPr>
            </w:pPr>
          </w:p>
        </w:tc>
        <w:tc>
          <w:tcPr>
            <w:tcW w:w="380" w:type="dxa"/>
            <w:vAlign w:val="bottom"/>
            <w:tcBorders>
              <w:top w:val="single" w:sz="8" w:color="CCEEFF"/>
            </w:tcBorders>
            <w:gridSpan w:val="3"/>
            <w:shd w:val="clear" w:color="auto" w:fill="CCEEFF"/>
          </w:tcPr>
          <w:p>
            <w:pPr>
              <w:jc w:val="right"/>
              <w:spacing w:after="0" w:line="196" w:lineRule="exact"/>
              <w:rPr>
                <w:rFonts w:ascii="Arial" w:cs="Arial" w:eastAsia="Arial" w:hAnsi="Arial"/>
                <w:sz w:val="18"/>
                <w:szCs w:val="18"/>
                <w:color w:val="0000EE"/>
                <w:w w:val="97"/>
              </w:rPr>
            </w:pPr>
            <w:hyperlink w:anchor="page277">
              <w:r>
                <w:rPr>
                  <w:rFonts w:ascii="Arial" w:cs="Arial" w:eastAsia="Arial" w:hAnsi="Arial"/>
                  <w:sz w:val="18"/>
                  <w:szCs w:val="18"/>
                  <w:color w:val="0000EE"/>
                  <w:w w:val="97"/>
                </w:rPr>
                <w:t>F-95</w:t>
              </w:r>
            </w:hyperlink>
          </w:p>
        </w:tc>
        <w:tc>
          <w:tcPr>
            <w:tcW w:w="1260" w:type="dxa"/>
            <w:vAlign w:val="bottom"/>
          </w:tcPr>
          <w:p>
            <w:pPr>
              <w:spacing w:after="0"/>
              <w:rPr>
                <w:sz w:val="17"/>
                <w:szCs w:val="17"/>
                <w:color w:val="auto"/>
              </w:rPr>
            </w:pPr>
          </w:p>
        </w:tc>
      </w:tr>
      <w:tr>
        <w:trPr>
          <w:trHeight w:val="34"/>
        </w:trPr>
        <w:tc>
          <w:tcPr>
            <w:tcW w:w="126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1260" w:type="dxa"/>
            <w:vAlign w:val="bottom"/>
          </w:tcPr>
          <w:p>
            <w:pPr>
              <w:spacing w:after="0"/>
              <w:rPr>
                <w:sz w:val="19"/>
                <w:szCs w:val="19"/>
                <w:color w:val="auto"/>
              </w:rPr>
            </w:pPr>
          </w:p>
        </w:tc>
        <w:tc>
          <w:tcPr>
            <w:tcW w:w="5140" w:type="dxa"/>
            <w:vAlign w:val="bottom"/>
            <w:gridSpan w:val="15"/>
          </w:tcPr>
          <w:p>
            <w:pPr>
              <w:spacing w:after="0"/>
              <w:rPr>
                <w:rFonts w:ascii="Arial" w:cs="Arial" w:eastAsia="Arial" w:hAnsi="Arial"/>
                <w:sz w:val="18"/>
                <w:szCs w:val="18"/>
                <w:color w:val="0000EE"/>
                <w:w w:val="93"/>
              </w:rPr>
            </w:pPr>
            <w:hyperlink w:anchor="page278">
              <w:r>
                <w:rPr>
                  <w:rFonts w:ascii="Arial" w:cs="Arial" w:eastAsia="Arial" w:hAnsi="Arial"/>
                  <w:sz w:val="18"/>
                  <w:szCs w:val="18"/>
                  <w:color w:val="0000EE"/>
                  <w:w w:val="93"/>
                </w:rPr>
                <w:t>Notes to Condensed Consolidated Financial Statements (Unaudited)</w:t>
              </w:r>
            </w:hyperlink>
          </w:p>
        </w:tc>
        <w:tc>
          <w:tcPr>
            <w:tcW w:w="2680" w:type="dxa"/>
            <w:vAlign w:val="bottom"/>
            <w:gridSpan w:val="14"/>
          </w:tcPr>
          <w:p>
            <w:pPr>
              <w:spacing w:after="0"/>
              <w:rPr>
                <w:sz w:val="19"/>
                <w:szCs w:val="19"/>
                <w:color w:val="auto"/>
              </w:rPr>
            </w:pPr>
          </w:p>
        </w:tc>
        <w:tc>
          <w:tcPr>
            <w:tcW w:w="380" w:type="dxa"/>
            <w:vAlign w:val="bottom"/>
            <w:gridSpan w:val="3"/>
          </w:tcPr>
          <w:p>
            <w:pPr>
              <w:jc w:val="right"/>
              <w:spacing w:after="0"/>
              <w:rPr>
                <w:rFonts w:ascii="Arial" w:cs="Arial" w:eastAsia="Arial" w:hAnsi="Arial"/>
                <w:sz w:val="18"/>
                <w:szCs w:val="18"/>
                <w:color w:val="0000EE"/>
                <w:w w:val="97"/>
              </w:rPr>
            </w:pPr>
            <w:hyperlink w:anchor="page278">
              <w:r>
                <w:rPr>
                  <w:rFonts w:ascii="Arial" w:cs="Arial" w:eastAsia="Arial" w:hAnsi="Arial"/>
                  <w:sz w:val="18"/>
                  <w:szCs w:val="18"/>
                  <w:color w:val="0000EE"/>
                  <w:w w:val="97"/>
                </w:rPr>
                <w:t>F-96</w:t>
              </w:r>
            </w:hyperlink>
          </w:p>
        </w:tc>
        <w:tc>
          <w:tcPr>
            <w:tcW w:w="1260" w:type="dxa"/>
            <w:vAlign w:val="bottom"/>
          </w:tcPr>
          <w:p>
            <w:pPr>
              <w:spacing w:after="0"/>
              <w:rPr>
                <w:sz w:val="19"/>
                <w:szCs w:val="19"/>
                <w:color w:val="auto"/>
              </w:rPr>
            </w:pPr>
          </w:p>
        </w:tc>
      </w:tr>
      <w:tr>
        <w:trPr>
          <w:trHeight w:val="614"/>
        </w:trPr>
        <w:tc>
          <w:tcPr>
            <w:tcW w:w="1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gridSpan w:val="4"/>
          </w:tcPr>
          <w:p>
            <w:pPr>
              <w:jc w:val="center"/>
              <w:ind w:right="860"/>
              <w:spacing w:after="0"/>
              <w:rPr>
                <w:sz w:val="20"/>
                <w:szCs w:val="20"/>
                <w:color w:val="auto"/>
              </w:rPr>
            </w:pPr>
            <w:r>
              <w:rPr>
                <w:rFonts w:ascii="Arial" w:cs="Arial" w:eastAsia="Arial" w:hAnsi="Arial"/>
                <w:sz w:val="18"/>
                <w:szCs w:val="18"/>
                <w:color w:val="auto"/>
                <w:w w:val="88"/>
              </w:rPr>
              <w:t>F-1</w:t>
            </w:r>
          </w:p>
        </w:tc>
        <w:tc>
          <w:tcPr>
            <w:tcW w:w="2680" w:type="dxa"/>
            <w:vAlign w:val="bottom"/>
            <w:gridSpan w:val="14"/>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-7423150</wp:posOffset>
            </wp:positionV>
            <wp:extent cx="52120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84" w:name="page185"/>
    <w:bookmarkEnd w:id="184"/>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Atieva, Inc.</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have audited the accompanying consolidated balance sheets of Atieva, Inc. (a Cayman Islands corporation) and subsidiaries (the “Company”) as of December 31, 2020 and 2019, the related consolidated statements of operations and comprehensive loss, statements of convertible preferred shares and shareholders’ deficit, and cash flows for each of the two years in the period ended December 31, 2020, and the related notes (collectively referred to as the “financial statements”). In our opinion, the consolidated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11"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GRANT THORNTON LLP</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2020.</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ATIEVA, INC. AND SUBSIDIARIES</w:t>
      </w:r>
    </w:p>
    <w:p>
      <w:pPr>
        <w:spacing w:after="0" w:line="14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BALANCE SHEETS</w:t>
      </w:r>
    </w:p>
    <w:p>
      <w:pPr>
        <w:spacing w:after="0" w:line="7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7"/>
          </w:tcPr>
          <w:p>
            <w:pPr>
              <w:ind w:left="2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9"/>
        </w:trPr>
        <w:tc>
          <w:tcPr>
            <w:tcW w:w="6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3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spacing w:after="0" w:line="202" w:lineRule="exact"/>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614,412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351,684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Restricted cash, current portion</w:t>
            </w:r>
          </w:p>
        </w:tc>
        <w:tc>
          <w:tcPr>
            <w:tcW w:w="80" w:type="dxa"/>
            <w:vAlign w:val="bottom"/>
          </w:tcPr>
          <w:p>
            <w:pPr>
              <w:spacing w:after="0"/>
              <w:rPr>
                <w:sz w:val="17"/>
                <w:szCs w:val="17"/>
                <w:color w:val="auto"/>
              </w:rPr>
            </w:pPr>
          </w:p>
        </w:tc>
        <w:tc>
          <w:tcPr>
            <w:tcW w:w="9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11,278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19,767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7"/>
                <w:szCs w:val="17"/>
                <w:color w:val="auto"/>
              </w:rPr>
            </w:pPr>
          </w:p>
        </w:tc>
        <w:tc>
          <w:tcPr>
            <w:tcW w:w="9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505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1,043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7"/>
                <w:szCs w:val="17"/>
                <w:color w:val="auto"/>
              </w:rPr>
            </w:pPr>
          </w:p>
        </w:tc>
        <w:tc>
          <w:tcPr>
            <w:tcW w:w="9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21,840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29,610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13,218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662,556</w:t>
            </w:r>
          </w:p>
        </w:tc>
        <w:tc>
          <w:tcPr>
            <w:tcW w:w="1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423,236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713,274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142,813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spacing w:after="0" w:line="202" w:lineRule="exact"/>
              <w:rPr>
                <w:sz w:val="20"/>
                <w:szCs w:val="20"/>
                <w:color w:val="auto"/>
              </w:rPr>
            </w:pPr>
            <w:r>
              <w:rPr>
                <w:rFonts w:ascii="Arial" w:cs="Arial" w:eastAsia="Arial" w:hAnsi="Arial"/>
                <w:sz w:val="18"/>
                <w:szCs w:val="18"/>
                <w:color w:val="auto"/>
              </w:rPr>
              <w:t>Security deposits</w:t>
            </w:r>
          </w:p>
        </w:tc>
        <w:tc>
          <w:tcPr>
            <w:tcW w:w="80" w:type="dxa"/>
            <w:vAlign w:val="bottom"/>
          </w:tcPr>
          <w:p>
            <w:pPr>
              <w:spacing w:after="0"/>
              <w:rPr>
                <w:sz w:val="17"/>
                <w:szCs w:val="17"/>
                <w:color w:val="auto"/>
              </w:rPr>
            </w:pPr>
          </w:p>
        </w:tc>
        <w:tc>
          <w:tcPr>
            <w:tcW w:w="9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3,901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Restricted cash, less current portion</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14,728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8,222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4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1,402,681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579,602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3"/>
            <w:vMerge w:val="restart"/>
          </w:tcPr>
          <w:p>
            <w:pPr>
              <w:spacing w:after="0" w:line="185" w:lineRule="exact"/>
              <w:rPr>
                <w:sz w:val="20"/>
                <w:szCs w:val="20"/>
                <w:color w:val="auto"/>
              </w:rPr>
            </w:pPr>
            <w:r>
              <w:rPr>
                <w:rFonts w:ascii="Arial" w:cs="Arial" w:eastAsia="Arial" w:hAnsi="Arial"/>
                <w:sz w:val="18"/>
                <w:szCs w:val="18"/>
                <w:b w:val="1"/>
                <w:bCs w:val="1"/>
                <w:color w:val="auto"/>
                <w:w w:val="99"/>
              </w:rPr>
              <w:t>LIABILITIES, CONVERTIBLE PREFERRED SHARES AND SHAREHOLDERS’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4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6400" w:type="dxa"/>
            <w:vAlign w:val="bottom"/>
            <w:gridSpan w:val="3"/>
          </w:tcPr>
          <w:p>
            <w:pPr>
              <w:ind w:left="18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17,333</w:t>
            </w: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12,656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compensation</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16,197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Other accrued liabilities</w:t>
            </w:r>
          </w:p>
        </w:tc>
        <w:tc>
          <w:tcPr>
            <w:tcW w:w="80" w:type="dxa"/>
            <w:vAlign w:val="bottom"/>
          </w:tcPr>
          <w:p>
            <w:pPr>
              <w:spacing w:after="0"/>
              <w:rPr>
                <w:sz w:val="17"/>
                <w:szCs w:val="17"/>
                <w:color w:val="auto"/>
              </w:rPr>
            </w:pPr>
          </w:p>
        </w:tc>
        <w:tc>
          <w:tcPr>
            <w:tcW w:w="9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146,083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46,079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5,670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185,283</w:t>
            </w:r>
          </w:p>
        </w:tc>
        <w:tc>
          <w:tcPr>
            <w:tcW w:w="1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65,858</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Contingent forward contract liability</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30,844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tcPr>
          <w:p>
            <w:pPr>
              <w:spacing w:after="0" w:line="202" w:lineRule="exact"/>
              <w:rPr>
                <w:sz w:val="20"/>
                <w:szCs w:val="20"/>
                <w:color w:val="auto"/>
              </w:rPr>
            </w:pPr>
            <w:r>
              <w:rPr>
                <w:rFonts w:ascii="Arial" w:cs="Arial" w:eastAsia="Arial" w:hAnsi="Arial"/>
                <w:sz w:val="18"/>
                <w:szCs w:val="18"/>
                <w:color w:val="auto"/>
              </w:rPr>
              <w:t>Convertible preferred share warrant liability</w:t>
            </w:r>
          </w:p>
        </w:tc>
        <w:tc>
          <w:tcPr>
            <w:tcW w:w="80" w:type="dxa"/>
            <w:vAlign w:val="bottom"/>
          </w:tcPr>
          <w:p>
            <w:pPr>
              <w:spacing w:after="0"/>
              <w:rPr>
                <w:sz w:val="17"/>
                <w:szCs w:val="17"/>
                <w:color w:val="auto"/>
              </w:rPr>
            </w:pPr>
          </w:p>
        </w:tc>
        <w:tc>
          <w:tcPr>
            <w:tcW w:w="9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2,960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1,755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38,905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27,793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Income tax liabilities</w:t>
            </w:r>
          </w:p>
        </w:tc>
        <w:tc>
          <w:tcPr>
            <w:tcW w:w="8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CONVERTIBLE PREFERRED SHARES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gridSpan w:val="3"/>
          </w:tcPr>
          <w:p>
            <w:pPr>
              <w:spacing w:after="0" w:line="201" w:lineRule="exact"/>
              <w:rPr>
                <w:sz w:val="20"/>
                <w:szCs w:val="20"/>
                <w:color w:val="auto"/>
              </w:rPr>
            </w:pPr>
            <w:r>
              <w:rPr>
                <w:rFonts w:ascii="Arial" w:cs="Arial" w:eastAsia="Arial" w:hAnsi="Arial"/>
                <w:sz w:val="18"/>
                <w:szCs w:val="18"/>
                <w:color w:val="auto"/>
              </w:rPr>
              <w:t>Convertible preferred shares, $0.0001 par value; 400,510,507 and 286,632,918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ind w:left="180"/>
              <w:spacing w:after="0"/>
              <w:rPr>
                <w:sz w:val="20"/>
                <w:szCs w:val="20"/>
                <w:color w:val="auto"/>
              </w:rPr>
            </w:pPr>
            <w:r>
              <w:rPr>
                <w:rFonts w:ascii="Arial" w:cs="Arial" w:eastAsia="Arial" w:hAnsi="Arial"/>
                <w:sz w:val="18"/>
                <w:szCs w:val="18"/>
                <w:color w:val="auto"/>
                <w:w w:val="96"/>
              </w:rPr>
              <w:t>shares authorized as of December 31, 2020 and 2019, respectively; 362,011,991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ind w:left="180"/>
              <w:spacing w:after="0"/>
              <w:rPr>
                <w:sz w:val="20"/>
                <w:szCs w:val="20"/>
                <w:color w:val="auto"/>
              </w:rPr>
            </w:pPr>
            <w:r>
              <w:rPr>
                <w:rFonts w:ascii="Arial" w:cs="Arial" w:eastAsia="Arial" w:hAnsi="Arial"/>
                <w:sz w:val="18"/>
                <w:szCs w:val="18"/>
                <w:color w:val="auto"/>
                <w:w w:val="98"/>
              </w:rPr>
              <w:t>and 190,084,166 shares issued and outstanding as of December 31, 2020 and</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ind w:left="180"/>
              <w:spacing w:after="0"/>
              <w:rPr>
                <w:sz w:val="20"/>
                <w:szCs w:val="20"/>
                <w:color w:val="auto"/>
              </w:rPr>
            </w:pPr>
            <w:r>
              <w:rPr>
                <w:rFonts w:ascii="Arial" w:cs="Arial" w:eastAsia="Arial" w:hAnsi="Arial"/>
                <w:sz w:val="18"/>
                <w:szCs w:val="18"/>
                <w:color w:val="auto"/>
                <w:w w:val="99"/>
              </w:rPr>
              <w:t>2019, respectively; liquidation preference of $3,497,913, and $1,084,191 as of</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ind w:left="180"/>
              <w:spacing w:after="0"/>
              <w:rPr>
                <w:sz w:val="20"/>
                <w:szCs w:val="20"/>
                <w:color w:val="auto"/>
              </w:rPr>
            </w:pPr>
            <w:r>
              <w:rPr>
                <w:rFonts w:ascii="Arial" w:cs="Arial" w:eastAsia="Arial" w:hAnsi="Arial"/>
                <w:sz w:val="18"/>
                <w:szCs w:val="18"/>
                <w:color w:val="auto"/>
              </w:rPr>
              <w:t>December 31, 2020 and 2019, respectively</w:t>
            </w:r>
          </w:p>
        </w:tc>
        <w:tc>
          <w:tcPr>
            <w:tcW w:w="80" w:type="dxa"/>
            <w:vAlign w:val="bottom"/>
          </w:tcPr>
          <w:p>
            <w:pPr>
              <w:spacing w:after="0"/>
              <w:rPr>
                <w:sz w:val="20"/>
                <w:szCs w:val="20"/>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w w:val="94"/>
              </w:rPr>
              <w:t>2,494,076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1,074,010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SHAREHOLDERS’ DEFICIT:</w:t>
            </w: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gridSpan w:val="3"/>
          </w:tcPr>
          <w:p>
            <w:pPr>
              <w:spacing w:after="0" w:line="201" w:lineRule="exact"/>
              <w:rPr>
                <w:sz w:val="20"/>
                <w:szCs w:val="20"/>
                <w:color w:val="auto"/>
              </w:rPr>
            </w:pPr>
            <w:r>
              <w:rPr>
                <w:rFonts w:ascii="Arial" w:cs="Arial" w:eastAsia="Arial" w:hAnsi="Arial"/>
                <w:sz w:val="18"/>
                <w:szCs w:val="18"/>
                <w:color w:val="auto"/>
              </w:rPr>
              <w:t>Common shares, par value $0.0001; 450,000,098 and 335,130,459 shares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ind w:left="180"/>
              <w:spacing w:after="0"/>
              <w:rPr>
                <w:sz w:val="20"/>
                <w:szCs w:val="20"/>
                <w:color w:val="auto"/>
              </w:rPr>
            </w:pPr>
            <w:r>
              <w:rPr>
                <w:rFonts w:ascii="Arial" w:cs="Arial" w:eastAsia="Arial" w:hAnsi="Arial"/>
                <w:sz w:val="18"/>
                <w:szCs w:val="18"/>
                <w:color w:val="auto"/>
              </w:rPr>
              <w:t>authorized as of December 31, 2020 and 2019, respectively; 10,889,451 and</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ind w:left="180"/>
              <w:spacing w:after="0"/>
              <w:rPr>
                <w:sz w:val="20"/>
                <w:szCs w:val="20"/>
                <w:color w:val="auto"/>
              </w:rPr>
            </w:pPr>
            <w:r>
              <w:rPr>
                <w:rFonts w:ascii="Arial" w:cs="Arial" w:eastAsia="Arial" w:hAnsi="Arial"/>
                <w:sz w:val="18"/>
                <w:szCs w:val="18"/>
                <w:color w:val="auto"/>
              </w:rPr>
              <w:t>8,051,722 shares issued and outstanding as of December 2020 and 2019,</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ind w:left="18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38,115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16,432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9"/>
              </w:rPr>
              <w:t>(1,356,893)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(637,513)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deficit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(1,318,777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(621,080)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260" w:type="dxa"/>
            <w:vAlign w:val="bottom"/>
          </w:tcPr>
          <w:p>
            <w:pPr>
              <w:spacing w:after="0" w:line="191" w:lineRule="exact"/>
              <w:rPr>
                <w:sz w:val="20"/>
                <w:szCs w:val="20"/>
                <w:color w:val="auto"/>
              </w:rPr>
            </w:pPr>
            <w:r>
              <w:rPr>
                <w:rFonts w:ascii="Arial" w:cs="Arial" w:eastAsia="Arial" w:hAnsi="Arial"/>
                <w:sz w:val="18"/>
                <w:szCs w:val="18"/>
                <w:b w:val="1"/>
                <w:bCs w:val="1"/>
                <w:color w:val="auto"/>
              </w:rPr>
              <w:t>TOTAL LIABILITIES, CONVERTIBLE PREFERRED SHARES AND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vMerge w:val="restart"/>
          </w:tcPr>
          <w:p>
            <w:pPr>
              <w:jc w:val="right"/>
              <w:ind w:right="41"/>
              <w:spacing w:after="0"/>
              <w:rPr>
                <w:sz w:val="20"/>
                <w:szCs w:val="20"/>
                <w:color w:val="auto"/>
              </w:rPr>
            </w:pPr>
            <w:r>
              <w:rPr>
                <w:rFonts w:ascii="Arial" w:cs="Arial" w:eastAsia="Arial" w:hAnsi="Arial"/>
                <w:sz w:val="18"/>
                <w:szCs w:val="18"/>
                <w:b w:val="1"/>
                <w:bCs w:val="1"/>
                <w:color w:val="auto"/>
                <w:w w:val="94"/>
              </w:rPr>
              <w:t>1,402,681</w:t>
            </w:r>
          </w:p>
        </w:tc>
        <w:tc>
          <w:tcPr>
            <w:tcW w:w="20" w:type="dxa"/>
            <w:vAlign w:val="bottom"/>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579,602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400" w:type="dxa"/>
            <w:vAlign w:val="bottom"/>
            <w:gridSpan w:val="3"/>
          </w:tcPr>
          <w:p>
            <w:pPr>
              <w:ind w:left="180"/>
              <w:spacing w:after="0"/>
              <w:rPr>
                <w:sz w:val="20"/>
                <w:szCs w:val="20"/>
                <w:color w:val="auto"/>
              </w:rPr>
            </w:pPr>
            <w:r>
              <w:rPr>
                <w:rFonts w:ascii="Arial" w:cs="Arial" w:eastAsia="Arial" w:hAnsi="Arial"/>
                <w:sz w:val="18"/>
                <w:szCs w:val="18"/>
                <w:b w:val="1"/>
                <w:bCs w:val="1"/>
                <w:color w:val="auto"/>
              </w:rPr>
              <w:t>SHAREHOLDERS’ DEFICIT</w:t>
            </w:r>
          </w:p>
        </w:tc>
        <w:tc>
          <w:tcPr>
            <w:tcW w:w="8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-453390</wp:posOffset>
            </wp:positionV>
            <wp:extent cx="468884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-1405255</wp:posOffset>
            </wp:positionV>
            <wp:extent cx="468884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-2502535</wp:posOffset>
            </wp:positionV>
            <wp:extent cx="468884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-3034030</wp:posOffset>
            </wp:positionV>
            <wp:extent cx="468884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-4268470</wp:posOffset>
            </wp:positionV>
            <wp:extent cx="468884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-4799965</wp:posOffset>
            </wp:positionV>
            <wp:extent cx="468884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-6111240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-6111240</wp:posOffset>
            </wp:positionV>
            <wp:extent cx="342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26"/>
        </w:trPr>
        <w:tc>
          <w:tcPr>
            <w:tcW w:w="6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34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57"/>
        </w:trPr>
        <w:tc>
          <w:tcPr>
            <w:tcW w:w="6340" w:type="dxa"/>
            <w:vAlign w:val="bottom"/>
            <w:tcBorders>
              <w:top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Pr>
          <w:p>
            <w:pPr>
              <w:spacing w:after="0"/>
              <w:rPr>
                <w:sz w:val="20"/>
                <w:szCs w:val="20"/>
                <w:color w:val="auto"/>
              </w:rPr>
            </w:pPr>
            <w:r>
              <w:rPr>
                <w:rFonts w:ascii="Arial" w:cs="Arial" w:eastAsia="Arial" w:hAnsi="Arial"/>
                <w:sz w:val="18"/>
                <w:szCs w:val="18"/>
                <w:b w:val="1"/>
                <w:bCs w:val="1"/>
                <w:color w:val="auto"/>
              </w:rPr>
              <w:t>Other expenses: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511,110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89,023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38,375</w:t>
            </w:r>
          </w:p>
        </w:tc>
        <w:tc>
          <w:tcPr>
            <w:tcW w:w="0" w:type="dxa"/>
            <w:vAlign w:val="bottom"/>
          </w:tcPr>
          <w:p>
            <w:pPr>
              <w:spacing w:after="0"/>
              <w:rPr>
                <w:sz w:val="1"/>
                <w:szCs w:val="1"/>
                <w:color w:val="auto"/>
              </w:rPr>
            </w:pPr>
          </w:p>
        </w:tc>
      </w:tr>
      <w:tr>
        <w:trPr>
          <w:trHeight w:val="263"/>
        </w:trPr>
        <w:tc>
          <w:tcPr>
            <w:tcW w:w="6340" w:type="dxa"/>
            <w:vAlign w:val="bottom"/>
            <w:tcBorders>
              <w:top w:val="single" w:sz="8" w:color="CCEEFF"/>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600,133</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(599,227)</w:t>
            </w: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(257,934)</w:t>
            </w:r>
          </w:p>
        </w:tc>
        <w:tc>
          <w:tcPr>
            <w:tcW w:w="0" w:type="dxa"/>
            <w:vAlign w:val="bottom"/>
          </w:tcPr>
          <w:p>
            <w:pPr>
              <w:spacing w:after="0"/>
              <w:rPr>
                <w:sz w:val="1"/>
                <w:szCs w:val="1"/>
                <w:color w:val="auto"/>
              </w:rPr>
            </w:pPr>
          </w:p>
        </w:tc>
      </w:tr>
      <w:tr>
        <w:trPr>
          <w:trHeight w:val="256"/>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Pr>
          <w:p>
            <w:pPr>
              <w:ind w:left="180"/>
              <w:spacing w:after="0"/>
              <w:rPr>
                <w:sz w:val="20"/>
                <w:szCs w:val="20"/>
                <w:color w:val="auto"/>
              </w:rPr>
            </w:pPr>
            <w:r>
              <w:rPr>
                <w:rFonts w:ascii="Arial" w:cs="Arial" w:eastAsia="Arial" w:hAnsi="Arial"/>
                <w:sz w:val="18"/>
                <w:szCs w:val="18"/>
                <w:color w:val="auto"/>
              </w:rPr>
              <w:t>Change in fair value of forward contracts</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(118,382)</w:t>
            </w: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(15,053)</w:t>
            </w:r>
          </w:p>
        </w:tc>
        <w:tc>
          <w:tcPr>
            <w:tcW w:w="0" w:type="dxa"/>
            <w:vAlign w:val="bottom"/>
          </w:tcPr>
          <w:p>
            <w:pPr>
              <w:spacing w:after="0"/>
              <w:rPr>
                <w:sz w:val="1"/>
                <w:szCs w:val="1"/>
                <w:color w:val="auto"/>
              </w:rPr>
            </w:pPr>
          </w:p>
        </w:tc>
      </w:tr>
      <w:tr>
        <w:trPr>
          <w:trHeight w:val="257"/>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convertible preferred share warrant liability</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(8,547)</w:t>
            </w:r>
          </w:p>
        </w:tc>
        <w:tc>
          <w:tcPr>
            <w:tcW w:w="0" w:type="dxa"/>
            <w:vAlign w:val="bottom"/>
          </w:tcPr>
          <w:p>
            <w:pPr>
              <w:spacing w:after="0"/>
              <w:rPr>
                <w:sz w:val="1"/>
                <w:szCs w:val="1"/>
                <w:color w:val="auto"/>
              </w:rPr>
            </w:pPr>
          </w:p>
        </w:tc>
      </w:tr>
      <w:tr>
        <w:trPr>
          <w:trHeight w:val="263"/>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34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(120,341)</w:t>
            </w:r>
          </w:p>
        </w:tc>
        <w:tc>
          <w:tcPr>
            <w:tcW w:w="10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(19,400)</w:t>
            </w:r>
          </w:p>
        </w:tc>
        <w:tc>
          <w:tcPr>
            <w:tcW w:w="0" w:type="dxa"/>
            <w:vAlign w:val="bottom"/>
          </w:tcPr>
          <w:p>
            <w:pPr>
              <w:spacing w:after="0"/>
              <w:rPr>
                <w:sz w:val="1"/>
                <w:szCs w:val="1"/>
                <w:color w:val="auto"/>
              </w:rPr>
            </w:pP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(benefit) for income taxes</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(719,568)</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(277,334)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340" w:type="dxa"/>
            <w:vAlign w:val="bottom"/>
          </w:tcPr>
          <w:p>
            <w:pPr>
              <w:ind w:left="18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(719,380)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(277,357)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6340" w:type="dxa"/>
            <w:vAlign w:val="bottom"/>
          </w:tcPr>
          <w:p>
            <w:pPr>
              <w:ind w:left="180"/>
              <w:spacing w:after="0"/>
              <w:rPr>
                <w:sz w:val="20"/>
                <w:szCs w:val="20"/>
                <w:color w:val="auto"/>
              </w:rPr>
            </w:pPr>
            <w:r>
              <w:rPr>
                <w:rFonts w:ascii="Arial" w:cs="Arial" w:eastAsia="Arial" w:hAnsi="Arial"/>
                <w:sz w:val="18"/>
                <w:szCs w:val="18"/>
                <w:color w:val="auto"/>
              </w:rPr>
              <w:t>Deemed contribution related to repurchase of Series B convertible preferred</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40" w:type="dxa"/>
            <w:vAlign w:val="bottom"/>
          </w:tcPr>
          <w:p>
            <w:pPr>
              <w:ind w:left="36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Deemed contribution related to repurchase of Series C convertible preferred</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4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12,784</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34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(705,596)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(269,422)</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attributable to common shareholders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shares used in computing net loss per share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180"/>
              <w:spacing w:after="0"/>
              <w:rPr>
                <w:sz w:val="20"/>
                <w:szCs w:val="20"/>
                <w:color w:val="auto"/>
              </w:rPr>
            </w:pPr>
            <w:r>
              <w:rPr>
                <w:rFonts w:ascii="Arial" w:cs="Arial" w:eastAsia="Arial" w:hAnsi="Arial"/>
                <w:sz w:val="18"/>
                <w:szCs w:val="18"/>
                <w:color w:val="auto"/>
              </w:rPr>
              <w:t>common shareholders – basic and diluted</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9,389,540</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7,789,421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-1508125</wp:posOffset>
            </wp:positionV>
            <wp:extent cx="468884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6888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-1859915</wp:posOffset>
            </wp:positionV>
            <wp:extent cx="468884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-3213735</wp:posOffset>
            </wp:positionV>
            <wp:extent cx="468884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-3882390</wp:posOffset>
            </wp:positionV>
            <wp:extent cx="468884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-4225290</wp:posOffset>
            </wp:positionV>
            <wp:extent cx="13716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-4225290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ATIEVA, INC. AND SUBSIDIARIES</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CONSOLIDATED STATEMENTS OF CONVERTIBLE PREFERRED SHARES AND SHAREHOLDERS’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DEFICIT</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500" w:type="dxa"/>
        <w:tblCellMar>
          <w:top w:w="0" w:type="dxa"/>
          <w:left w:w="0" w:type="dxa"/>
          <w:bottom w:w="0" w:type="dxa"/>
          <w:right w:w="0" w:type="dxa"/>
        </w:tblCellMar>
      </w:tblPr>
      <w:tr>
        <w:trPr>
          <w:trHeight w:val="23"/>
        </w:trPr>
        <w:tc>
          <w:tcPr>
            <w:tcW w:w="3000" w:type="dxa"/>
            <w:vAlign w:val="bottom"/>
          </w:tcPr>
          <w:p>
            <w:pPr>
              <w:spacing w:after="0" w:line="20" w:lineRule="exact"/>
              <w:rPr>
                <w:sz w:val="1"/>
                <w:szCs w:val="1"/>
                <w:color w:val="auto"/>
              </w:rPr>
            </w:pPr>
          </w:p>
        </w:tc>
        <w:tc>
          <w:tcPr>
            <w:tcW w:w="202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9"/>
        </w:trPr>
        <w:tc>
          <w:tcPr>
            <w:tcW w:w="3000" w:type="dxa"/>
            <w:vAlign w:val="bottom"/>
          </w:tcPr>
          <w:p>
            <w:pPr>
              <w:spacing w:after="0"/>
              <w:rPr>
                <w:sz w:val="12"/>
                <w:szCs w:val="12"/>
                <w:color w:val="auto"/>
              </w:rPr>
            </w:pPr>
          </w:p>
        </w:tc>
        <w:tc>
          <w:tcPr>
            <w:tcW w:w="2020" w:type="dxa"/>
            <w:vAlign w:val="bottom"/>
            <w:gridSpan w:val="5"/>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000" w:type="dxa"/>
            <w:vAlign w:val="bottom"/>
          </w:tcPr>
          <w:p>
            <w:pPr>
              <w:spacing w:after="0"/>
              <w:rPr>
                <w:sz w:val="7"/>
                <w:szCs w:val="7"/>
                <w:color w:val="auto"/>
              </w:rPr>
            </w:pPr>
          </w:p>
        </w:tc>
        <w:tc>
          <w:tcPr>
            <w:tcW w:w="202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Preferred Shares</w:t>
            </w:r>
          </w:p>
        </w:tc>
        <w:tc>
          <w:tcPr>
            <w:tcW w:w="20" w:type="dxa"/>
            <w:vAlign w:val="bottom"/>
            <w:shd w:val="clear" w:color="auto" w:fill="000000"/>
          </w:tcPr>
          <w:p>
            <w:pPr>
              <w:spacing w:after="0"/>
              <w:rPr>
                <w:sz w:val="7"/>
                <w:szCs w:val="7"/>
                <w:color w:val="auto"/>
              </w:rPr>
            </w:pPr>
          </w:p>
        </w:tc>
        <w:tc>
          <w:tcPr>
            <w:tcW w:w="80" w:type="dxa"/>
            <w:vAlign w:val="bottom"/>
          </w:tcPr>
          <w:p>
            <w:pPr>
              <w:spacing w:after="0"/>
              <w:rPr>
                <w:sz w:val="7"/>
                <w:szCs w:val="7"/>
                <w:color w:val="auto"/>
              </w:rPr>
            </w:pPr>
          </w:p>
        </w:tc>
        <w:tc>
          <w:tcPr>
            <w:tcW w:w="1740" w:type="dxa"/>
            <w:vAlign w:val="bottom"/>
            <w:gridSpan w:val="7"/>
            <w:vMerge w:val="restart"/>
          </w:tcPr>
          <w:p>
            <w:pPr>
              <w:ind w:left="260"/>
              <w:spacing w:after="0"/>
              <w:rPr>
                <w:sz w:val="20"/>
                <w:szCs w:val="20"/>
                <w:color w:val="auto"/>
              </w:rPr>
            </w:pPr>
            <w:r>
              <w:rPr>
                <w:rFonts w:ascii="Arial" w:cs="Arial" w:eastAsia="Arial" w:hAnsi="Arial"/>
                <w:sz w:val="14"/>
                <w:szCs w:val="14"/>
                <w:b w:val="1"/>
                <w:bCs w:val="1"/>
                <w:color w:val="auto"/>
              </w:rPr>
              <w:t>Common Shares</w:t>
            </w:r>
          </w:p>
        </w:tc>
        <w:tc>
          <w:tcPr>
            <w:tcW w:w="8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000" w:type="dxa"/>
            <w:vAlign w:val="bottom"/>
          </w:tcPr>
          <w:p>
            <w:pPr>
              <w:spacing w:after="0"/>
              <w:rPr>
                <w:sz w:val="9"/>
                <w:szCs w:val="9"/>
                <w:color w:val="auto"/>
              </w:rPr>
            </w:pPr>
          </w:p>
        </w:tc>
        <w:tc>
          <w:tcPr>
            <w:tcW w:w="2020" w:type="dxa"/>
            <w:vAlign w:val="bottom"/>
            <w:gridSpan w:val="5"/>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gridSpan w:val="7"/>
            <w:vMerge w:val="continue"/>
          </w:tcPr>
          <w:p>
            <w:pPr>
              <w:spacing w:after="0"/>
              <w:rPr>
                <w:sz w:val="9"/>
                <w:szCs w:val="9"/>
                <w:color w:val="auto"/>
              </w:rPr>
            </w:pPr>
          </w:p>
        </w:tc>
        <w:tc>
          <w:tcPr>
            <w:tcW w:w="880" w:type="dxa"/>
            <w:vAlign w:val="bottom"/>
            <w:gridSpan w:val="3"/>
            <w:vMerge w:val="restart"/>
          </w:tcPr>
          <w:p>
            <w:pPr>
              <w:jc w:val="center"/>
              <w:ind w:right="280"/>
              <w:spacing w:after="0" w:line="125" w:lineRule="exact"/>
              <w:rPr>
                <w:sz w:val="20"/>
                <w:szCs w:val="20"/>
                <w:color w:val="auto"/>
              </w:rPr>
            </w:pPr>
            <w:r>
              <w:rPr>
                <w:rFonts w:ascii="Arial" w:cs="Arial" w:eastAsia="Arial" w:hAnsi="Arial"/>
                <w:sz w:val="14"/>
                <w:szCs w:val="14"/>
                <w:b w:val="1"/>
                <w:bCs w:val="1"/>
                <w:color w:val="auto"/>
                <w:w w:val="94"/>
              </w:rPr>
              <w:t>Paid-In</w:t>
            </w:r>
          </w:p>
        </w:tc>
        <w:tc>
          <w:tcPr>
            <w:tcW w:w="1100" w:type="dxa"/>
            <w:vAlign w:val="bottom"/>
            <w:gridSpan w:val="3"/>
            <w:vMerge w:val="restart"/>
          </w:tcPr>
          <w:p>
            <w:pPr>
              <w:ind w:left="20"/>
              <w:spacing w:after="0" w:line="125" w:lineRule="exact"/>
              <w:rPr>
                <w:sz w:val="20"/>
                <w:szCs w:val="20"/>
                <w:color w:val="auto"/>
              </w:rPr>
            </w:pPr>
            <w:r>
              <w:rPr>
                <w:rFonts w:ascii="Arial" w:cs="Arial" w:eastAsia="Arial" w:hAnsi="Arial"/>
                <w:sz w:val="14"/>
                <w:szCs w:val="14"/>
                <w:b w:val="1"/>
                <w:bCs w:val="1"/>
                <w:color w:val="auto"/>
              </w:rPr>
              <w:t>Accumulated</w:t>
            </w:r>
          </w:p>
        </w:tc>
        <w:tc>
          <w:tcPr>
            <w:tcW w:w="940" w:type="dxa"/>
            <w:vAlign w:val="bottom"/>
            <w:gridSpan w:val="3"/>
            <w:vMerge w:val="restart"/>
          </w:tcPr>
          <w:p>
            <w:pPr>
              <w:ind w:left="20"/>
              <w:spacing w:after="0" w:line="125" w:lineRule="exact"/>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00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5"/>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6"/>
        </w:trPr>
        <w:tc>
          <w:tcPr>
            <w:tcW w:w="30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51,909,271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259,960</w:t>
            </w:r>
          </w:p>
        </w:tc>
        <w:tc>
          <w:tcPr>
            <w:tcW w:w="20" w:type="dxa"/>
            <w:vAlign w:val="bottom"/>
            <w:shd w:val="clear" w:color="auto" w:fill="000000"/>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7,626,961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(360,156)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(359,860)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(277,357)</w:t>
            </w:r>
          </w:p>
        </w:tc>
        <w:tc>
          <w:tcPr>
            <w:tcW w:w="1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(277,357)</w:t>
            </w:r>
          </w:p>
        </w:tc>
        <w:tc>
          <w:tcPr>
            <w:tcW w:w="0" w:type="dxa"/>
            <w:vAlign w:val="bottom"/>
          </w:tcPr>
          <w:p>
            <w:pPr>
              <w:spacing w:after="0"/>
              <w:rPr>
                <w:sz w:val="1"/>
                <w:szCs w:val="1"/>
                <w:color w:val="auto"/>
              </w:rPr>
            </w:pPr>
          </w:p>
        </w:tc>
      </w:tr>
      <w:tr>
        <w:trPr>
          <w:trHeight w:val="229"/>
        </w:trPr>
        <w:tc>
          <w:tcPr>
            <w:tcW w:w="3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Series C</w:t>
            </w: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convertible preferred shares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(3,571,429)</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(47,531)</w:t>
            </w:r>
          </w:p>
        </w:tc>
        <w:tc>
          <w:tcPr>
            <w:tcW w:w="20" w:type="dxa"/>
            <w:vAlign w:val="bottom"/>
            <w:shd w:val="clear" w:color="auto" w:fill="000000"/>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(2,469)</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Extinguishment of Series C</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360"/>
              <w:spacing w:after="0"/>
              <w:rPr>
                <w:sz w:val="20"/>
                <w:szCs w:val="20"/>
                <w:color w:val="auto"/>
              </w:rPr>
            </w:pPr>
            <w:r>
              <w:rPr>
                <w:rFonts w:ascii="Arial" w:cs="Arial" w:eastAsia="Arial" w:hAnsi="Arial"/>
                <w:sz w:val="18"/>
                <w:szCs w:val="18"/>
                <w:color w:val="auto"/>
              </w:rPr>
              <w:t>convertible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360"/>
              <w:spacing w:after="0"/>
              <w:rPr>
                <w:sz w:val="20"/>
                <w:szCs w:val="20"/>
                <w:color w:val="auto"/>
              </w:rPr>
            </w:pPr>
            <w:r>
              <w:rPr>
                <w:rFonts w:ascii="Arial" w:cs="Arial" w:eastAsia="Arial" w:hAnsi="Arial"/>
                <w:sz w:val="18"/>
                <w:szCs w:val="18"/>
                <w:color w:val="auto"/>
              </w:rPr>
              <w:t>preferred shares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(10,404)</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10,404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10,404</w:t>
            </w:r>
          </w:p>
        </w:tc>
        <w:tc>
          <w:tcPr>
            <w:tcW w:w="0" w:type="dxa"/>
            <w:vAlign w:val="bottom"/>
          </w:tcPr>
          <w:p>
            <w:pPr>
              <w:spacing w:after="0"/>
              <w:rPr>
                <w:sz w:val="1"/>
                <w:szCs w:val="1"/>
                <w:color w:val="auto"/>
              </w:rPr>
            </w:pPr>
          </w:p>
        </w:tc>
      </w:tr>
      <w:tr>
        <w:trPr>
          <w:trHeight w:val="235"/>
        </w:trPr>
        <w:tc>
          <w:tcPr>
            <w:tcW w:w="3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Series D convertible</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 shares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141,746,324</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871,985</w:t>
            </w:r>
          </w:p>
        </w:tc>
        <w:tc>
          <w:tcPr>
            <w:tcW w:w="20" w:type="dxa"/>
            <w:vAlign w:val="bottom"/>
            <w:shd w:val="clear" w:color="auto" w:fill="000000"/>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00" w:type="dxa"/>
            <w:vAlign w:val="bottom"/>
          </w:tcPr>
          <w:p>
            <w:pPr>
              <w:ind w:left="180"/>
              <w:spacing w:after="0"/>
              <w:rPr>
                <w:sz w:val="20"/>
                <w:szCs w:val="20"/>
                <w:color w:val="auto"/>
              </w:rPr>
            </w:pPr>
            <w:r>
              <w:rPr>
                <w:rFonts w:ascii="Arial" w:cs="Arial" w:eastAsia="Arial" w:hAnsi="Arial"/>
                <w:sz w:val="18"/>
                <w:szCs w:val="18"/>
                <w:color w:val="auto"/>
              </w:rPr>
              <w:t>Exercise of share options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424,761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483</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63"/>
        </w:trPr>
        <w:tc>
          <w:tcPr>
            <w:tcW w:w="3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2"/>
                <w:szCs w:val="22"/>
                <w:color w:val="auto"/>
              </w:rPr>
            </w:pPr>
          </w:p>
        </w:tc>
        <w:tc>
          <w:tcPr>
            <w:tcW w:w="80" w:type="dxa"/>
            <w:vAlign w:val="bottom"/>
            <w:tcBorders>
              <w:left w:val="single" w:sz="8" w:color="CCEEFF"/>
            </w:tcBorders>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8"/>
                <w:szCs w:val="18"/>
                <w:color w:val="auto"/>
              </w:rPr>
              <w:t>Balance as of December 31, 2019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190,084,166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1,074,010</w:t>
            </w: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8,051,722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16,432</w:t>
            </w:r>
          </w:p>
        </w:tc>
        <w:tc>
          <w:tcPr>
            <w:tcW w:w="2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(637,513)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(621,080)</w:t>
            </w:r>
          </w:p>
        </w:tc>
        <w:tc>
          <w:tcPr>
            <w:tcW w:w="0" w:type="dxa"/>
            <w:vAlign w:val="bottom"/>
          </w:tcPr>
          <w:p>
            <w:pPr>
              <w:spacing w:after="0"/>
              <w:rPr>
                <w:sz w:val="1"/>
                <w:szCs w:val="1"/>
                <w:color w:val="auto"/>
              </w:rPr>
            </w:pPr>
          </w:p>
        </w:tc>
      </w:tr>
      <w:tr>
        <w:trPr>
          <w:trHeight w:val="257"/>
        </w:trPr>
        <w:tc>
          <w:tcPr>
            <w:tcW w:w="3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2"/>
                <w:szCs w:val="22"/>
                <w:color w:val="auto"/>
              </w:rPr>
            </w:pPr>
          </w:p>
        </w:tc>
        <w:tc>
          <w:tcPr>
            <w:tcW w:w="80" w:type="dxa"/>
            <w:vAlign w:val="bottom"/>
            <w:tcBorders>
              <w:left w:val="single" w:sz="8" w:color="CCEEFF"/>
            </w:tcBorders>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(719,380)</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(719,380)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Extinguishment and</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360"/>
              <w:spacing w:after="0"/>
              <w:rPr>
                <w:sz w:val="20"/>
                <w:szCs w:val="20"/>
                <w:color w:val="auto"/>
              </w:rPr>
            </w:pPr>
            <w:r>
              <w:rPr>
                <w:rFonts w:ascii="Arial" w:cs="Arial" w:eastAsia="Arial" w:hAnsi="Arial"/>
                <w:sz w:val="18"/>
                <w:szCs w:val="18"/>
                <w:color w:val="auto"/>
              </w:rPr>
              <w:t>reclassification of Series B</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360"/>
              <w:spacing w:after="0"/>
              <w:rPr>
                <w:sz w:val="20"/>
                <w:szCs w:val="20"/>
                <w:color w:val="auto"/>
              </w:rPr>
            </w:pPr>
            <w:r>
              <w:rPr>
                <w:rFonts w:ascii="Arial" w:cs="Arial" w:eastAsia="Arial" w:hAnsi="Arial"/>
                <w:sz w:val="18"/>
                <w:szCs w:val="18"/>
                <w:color w:val="auto"/>
              </w:rPr>
              <w:t>convertible preferred shares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5"/>
        </w:trPr>
        <w:tc>
          <w:tcPr>
            <w:tcW w:w="3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Series C</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convertible preferred shares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(4,352,265)</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(24,885)</w:t>
            </w:r>
          </w:p>
        </w:tc>
        <w:tc>
          <w:tcPr>
            <w:tcW w:w="20" w:type="dxa"/>
            <w:vAlign w:val="bottom"/>
            <w:shd w:val="clear" w:color="auto" w:fill="000000"/>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12,784</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Issuance of Series D convertible</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360"/>
              <w:spacing w:after="0"/>
              <w:rPr>
                <w:sz w:val="20"/>
                <w:szCs w:val="20"/>
                <w:color w:val="auto"/>
              </w:rPr>
            </w:pPr>
            <w:r>
              <w:rPr>
                <w:rFonts w:ascii="Arial" w:cs="Arial" w:eastAsia="Arial" w:hAnsi="Arial"/>
                <w:sz w:val="18"/>
                <w:szCs w:val="18"/>
                <w:color w:val="auto"/>
              </w:rPr>
              <w:t>preferred shares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62,402,501</w:t>
            </w: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400,000</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Series D contingent</w:t>
            </w: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forward contract liability</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39,563</w:t>
            </w:r>
          </w:p>
        </w:tc>
        <w:tc>
          <w:tcPr>
            <w:tcW w:w="20" w:type="dxa"/>
            <w:vAlign w:val="bottom"/>
            <w:shd w:val="clear" w:color="auto" w:fill="000000"/>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000" w:type="dxa"/>
            <w:vAlign w:val="bottom"/>
          </w:tcPr>
          <w:p>
            <w:pPr>
              <w:ind w:left="180"/>
              <w:spacing w:after="0"/>
              <w:rPr>
                <w:sz w:val="20"/>
                <w:szCs w:val="20"/>
                <w:color w:val="auto"/>
              </w:rPr>
            </w:pPr>
            <w:r>
              <w:rPr>
                <w:rFonts w:ascii="Arial" w:cs="Arial" w:eastAsia="Arial" w:hAnsi="Arial"/>
                <w:sz w:val="18"/>
                <w:szCs w:val="18"/>
                <w:color w:val="auto"/>
              </w:rPr>
              <w:t>Issuance of Series E convertible</w:t>
            </w: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360"/>
              <w:spacing w:after="0"/>
              <w:rPr>
                <w:sz w:val="20"/>
                <w:szCs w:val="20"/>
                <w:color w:val="auto"/>
              </w:rPr>
            </w:pPr>
            <w:r>
              <w:rPr>
                <w:rFonts w:ascii="Arial" w:cs="Arial" w:eastAsia="Arial" w:hAnsi="Arial"/>
                <w:sz w:val="18"/>
                <w:szCs w:val="18"/>
                <w:color w:val="auto"/>
              </w:rPr>
              <w:t>preferred shares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113,877,589</w:t>
            </w: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898,932</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Series E contingent</w:t>
            </w: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forward contract liability</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110,456</w:t>
            </w:r>
          </w:p>
        </w:tc>
        <w:tc>
          <w:tcPr>
            <w:tcW w:w="20" w:type="dxa"/>
            <w:vAlign w:val="bottom"/>
            <w:shd w:val="clear" w:color="auto" w:fill="000000"/>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180"/>
              <w:spacing w:after="0"/>
              <w:rPr>
                <w:sz w:val="20"/>
                <w:szCs w:val="20"/>
                <w:color w:val="auto"/>
              </w:rPr>
            </w:pPr>
            <w:r>
              <w:rPr>
                <w:rFonts w:ascii="Arial" w:cs="Arial" w:eastAsia="Arial" w:hAnsi="Arial"/>
                <w:sz w:val="18"/>
                <w:szCs w:val="18"/>
                <w:color w:val="auto"/>
              </w:rPr>
              <w:t>Exercise of share options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2,837,729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3,285</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77"/>
        </w:trPr>
        <w:tc>
          <w:tcPr>
            <w:tcW w:w="3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280" w:type="dxa"/>
            <w:vAlign w:val="bottom"/>
            <w:tcBorders>
              <w:left w:val="single" w:sz="8" w:color="CCEEFF"/>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362,011,991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2,494,076</w:t>
            </w:r>
          </w:p>
        </w:tc>
        <w:tc>
          <w:tcPr>
            <w:tcW w:w="20" w:type="dxa"/>
            <w:vAlign w:val="bottom"/>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10,889,451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0"/>
              </w:rPr>
              <w:t>38,115</w:t>
            </w:r>
          </w:p>
        </w:tc>
        <w:tc>
          <w:tcPr>
            <w:tcW w:w="2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(1,356,893)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(1,318,777)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4083050</wp:posOffset>
            </wp:positionH>
            <wp:positionV relativeFrom="paragraph">
              <wp:posOffset>-4577080</wp:posOffset>
            </wp:positionV>
            <wp:extent cx="12001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-4577080</wp:posOffset>
            </wp:positionV>
            <wp:extent cx="11112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-4577080</wp:posOffset>
            </wp:positionV>
            <wp:extent cx="561467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6146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9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132" w:right="1039" w:bottom="1440" w:gutter="0" w:footer="0" w:header="0"/>
        </w:sectPr>
      </w:pPr>
    </w:p>
    <w:bookmarkStart w:id="188" w:name="page189"/>
    <w:bookmarkEnd w:id="188"/>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 thousands)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83"/>
        </w:trPr>
        <w:tc>
          <w:tcPr>
            <w:tcW w:w="65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60" w:type="dxa"/>
            <w:vAlign w:val="bottom"/>
          </w:tcPr>
          <w:p>
            <w:pPr>
              <w:spacing w:after="0"/>
              <w:rPr>
                <w:sz w:val="20"/>
                <w:szCs w:val="20"/>
                <w:color w:val="auto"/>
              </w:rPr>
            </w:pPr>
            <w:r>
              <w:rPr>
                <w:rFonts w:ascii="Arial" w:cs="Arial" w:eastAsia="Arial" w:hAnsi="Arial"/>
                <w:sz w:val="14"/>
                <w:szCs w:val="14"/>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(719,380)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3"/>
              </w:rPr>
              <w:t>(277,357)</w:t>
            </w:r>
          </w:p>
        </w:tc>
        <w:tc>
          <w:tcPr>
            <w:tcW w:w="0" w:type="dxa"/>
            <w:vAlign w:val="bottom"/>
          </w:tcPr>
          <w:p>
            <w:pPr>
              <w:spacing w:after="0"/>
              <w:rPr>
                <w:sz w:val="1"/>
                <w:szCs w:val="1"/>
                <w:color w:val="auto"/>
              </w:rPr>
            </w:pPr>
          </w:p>
        </w:tc>
      </w:tr>
      <w:tr>
        <w:trPr>
          <w:trHeight w:val="175"/>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10,217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4,614</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7,719</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tcPr>
          <w:p>
            <w:pPr>
              <w:ind w:left="140"/>
              <w:spacing w:after="0"/>
              <w:rPr>
                <w:sz w:val="20"/>
                <w:szCs w:val="20"/>
                <w:color w:val="auto"/>
              </w:rPr>
            </w:pPr>
            <w:r>
              <w:rPr>
                <w:rFonts w:ascii="Arial" w:cs="Arial" w:eastAsia="Arial" w:hAnsi="Arial"/>
                <w:sz w:val="14"/>
                <w:szCs w:val="14"/>
                <w:color w:val="auto"/>
              </w:rPr>
              <w:t>Loss on disposal of property and equipment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debt discount</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3,394</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Change in fair value of contingent forward contracts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118,382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15,053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in fair value of warrants</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(359)</w:t>
            </w:r>
          </w:p>
        </w:tc>
        <w:tc>
          <w:tcPr>
            <w:tcW w:w="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7,770</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(27,590)</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7,360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(5,010)</w:t>
            </w: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noncurrent assets and security deposit</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2,866</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6,143</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(69,861)</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5,843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13,249</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2,774</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Other current liabilities and accrued liabilities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53,454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28,658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used in operating activities</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(570,196)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(235,299)</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property, equipment, and software</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(459,582)</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(104,290)</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tcPr>
          <w:p>
            <w:pPr>
              <w:ind w:left="28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(459,582)</w:t>
            </w:r>
          </w:p>
        </w:tc>
        <w:tc>
          <w:tcPr>
            <w:tcW w:w="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3"/>
              </w:rPr>
              <w:t>(104,290)</w:t>
            </w:r>
          </w:p>
        </w:tc>
        <w:tc>
          <w:tcPr>
            <w:tcW w:w="0" w:type="dxa"/>
            <w:vAlign w:val="bottom"/>
          </w:tcPr>
          <w:p>
            <w:pPr>
              <w:spacing w:after="0"/>
              <w:rPr>
                <w:sz w:val="1"/>
                <w:szCs w:val="1"/>
                <w:color w:val="auto"/>
              </w:rPr>
            </w:pPr>
          </w:p>
        </w:tc>
      </w:tr>
      <w:tr>
        <w:trPr>
          <w:trHeight w:val="183"/>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Proceeds from issuance of convertible note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70,949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for Capital leases</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(364)</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Repurchase of Series C convertible preferred shares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(12,101)</w:t>
            </w:r>
          </w:p>
        </w:tc>
        <w:tc>
          <w:tcPr>
            <w:tcW w:w="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Series D convertible preferred shares</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600,000</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Proceeds from issuance of Series E convertible preferred shares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899,725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exercise of share options</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3,285</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tcPr>
          <w:p>
            <w:pPr>
              <w:ind w:left="280"/>
              <w:spacing w:after="0"/>
              <w:rPr>
                <w:sz w:val="20"/>
                <w:szCs w:val="20"/>
                <w:color w:val="auto"/>
              </w:rPr>
            </w:pPr>
            <w:r>
              <w:rPr>
                <w:rFonts w:ascii="Arial" w:cs="Arial" w:eastAsia="Arial" w:hAnsi="Arial"/>
                <w:sz w:val="14"/>
                <w:szCs w:val="14"/>
                <w:color w:val="auto"/>
              </w:rPr>
              <w:t>Net cash provided by financing activities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9"/>
              </w:rPr>
              <w:t>1,290,545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621,432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Net increase in cash, cash equivalents, and restricted cash</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260,767</w:t>
            </w: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281,843</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4"/>
                <w:szCs w:val="14"/>
                <w:color w:val="auto"/>
              </w:rPr>
              <w:t>Beginning cash, cash equivalents, and restricted cash</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379,651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97,808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Ending cash, cash equivalents, and restricted cash</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640,418</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379,651</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Reconciliation of cash, cash equivalents, and restricted cash</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614,412</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351,684</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26,006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27,967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cash, cash equivalents, and restricted cash, end of period</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640,418</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379,651</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interest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activity:</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included in accounts payable and accrued expense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117,946</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32,863</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4"/>
                <w:szCs w:val="14"/>
                <w:color w:val="auto"/>
              </w:rPr>
              <w:t>Property and equipment acquired through capital leases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3,289</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Issuance of contingent forward contracts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4"/>
                <w:szCs w:val="14"/>
                <w:color w:val="auto"/>
              </w:rPr>
              <w:t>Extinguishment of Series B convertible preferred shares included in additional paid-in capital</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Extinguishment of Series B convertible preferred shares included in accrued liabilities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4"/>
                <w:szCs w:val="14"/>
                <w:color w:val="auto"/>
              </w:rPr>
              <w:t>Settlement of Series D convertible preferred shares contingent forward contract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39,563</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Settlement of Series E convertible preferred shares contingent forward contract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110,456</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4"/>
                <w:szCs w:val="14"/>
                <w:color w:val="auto"/>
              </w:rPr>
              <w:t>Convertible Notes converted into Series D convertible preferred shares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300,000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Unamortized Convertible Notes debt issuance cost and debt discount converted into Series D convertible</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(36,797)</w:t>
            </w:r>
          </w:p>
        </w:tc>
        <w:tc>
          <w:tcPr>
            <w:tcW w:w="6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shares</w:t>
            </w:r>
          </w:p>
        </w:tc>
        <w:tc>
          <w:tcPr>
            <w:tcW w:w="240" w:type="dxa"/>
            <w:vAlign w:val="bottom"/>
            <w:gridSpan w:val="2"/>
            <w:vMerge w:val="continue"/>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4"/>
                <w:szCs w:val="14"/>
                <w:color w:val="auto"/>
              </w:rPr>
              <w:t>Accrued interest of Convertible Notes converted to Series D convertible preferred shares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8,747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Deferred financing cost reclassed to convertible preferred shares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10,253</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-1927860</wp:posOffset>
            </wp:positionV>
            <wp:extent cx="52120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-2451100</wp:posOffset>
            </wp:positionV>
            <wp:extent cx="52120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-2699385</wp:posOffset>
            </wp:positionV>
            <wp:extent cx="52120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-2828290</wp:posOffset>
            </wp:positionV>
            <wp:extent cx="254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-3676650</wp:posOffset>
            </wp:positionV>
            <wp:extent cx="52120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-3805555</wp:posOffset>
            </wp:positionV>
            <wp:extent cx="2540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-4053840</wp:posOffset>
            </wp:positionV>
            <wp:extent cx="254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-4182745</wp:posOffset>
            </wp:positionV>
            <wp:extent cx="52120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-6299835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-6299835</wp:posOffset>
            </wp:positionV>
            <wp:extent cx="342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The precursor of Atieva, Inc. (DBA Lucid Motors) was originally incorporated in the state of Delaware in December 2007 (“Atieva Delaware”). Atieva Delaware designed, developed, and built energy storage systems for electric vehicles and supplied automakers with the battery pack system needed to power hybrid, plug-in, and electric vehicles. In December 2009, Atieva Delaware and a newly incorporated Cayman Islands company (“Atieva Cayman”) entered into a share exchange agreement (the “Share Exchange Agreement”). Under the Share Exchange Agreement, (a) each holder of Atieva Delaware common shares exchanged such shares for shares of Atieva Cayman’s par value $0.0001 common shares (the “Common Shares”) on a one -for-one basis, and (b) each holder of Atieva Delaware Series A shares exchanged such shares for Atieva Cayman Series A shares on a one-for-one basis. Upon completion of the share exchange, Atieva Delaware was renamed as Atieva USA, Inc. with Atieva Cayman retaining the name of Atieva, Inc.</w:t>
      </w:r>
    </w:p>
    <w:p>
      <w:pPr>
        <w:spacing w:after="0" w:line="113"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Subsequent to the share exchange transaction, Atieva Delaware distributed 100% of its wholly owned subsidiaries in Hong Kong and Shanghai, China (“Atieva Hong Kong” and “Atieva Shanghai,” respectively) to Atieva Cayman in December 2010. In addition, Atieva Delaware registered a branch office in Taiwan in May 2008. In 2014, Atieva Cayman and its subsidiaries (the “Company” or “our”) changed its business model to focus on the design and development of high-performance fully electric vehicles and advanced electric vehicle powertrain components.</w:t>
      </w:r>
    </w:p>
    <w:p>
      <w:pPr>
        <w:spacing w:after="0" w:line="12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As part of the build- out of the Company’s retail stores and service centers for distribution of vehicles to customers, the Company changed Atieva Delaware’s legal name to Lucid USA, Inc., and incorporated new subsidiaries in the U.S. and Canada, including Lucid Group USA, Inc., a Delaware corporation in</w:t>
      </w:r>
    </w:p>
    <w:p>
      <w:pPr>
        <w:ind w:left="1260" w:right="959"/>
        <w:spacing w:after="0" w:line="239" w:lineRule="auto"/>
        <w:rPr>
          <w:sz w:val="20"/>
          <w:szCs w:val="20"/>
          <w:color w:val="auto"/>
        </w:rPr>
      </w:pPr>
      <w:r>
        <w:rPr>
          <w:rFonts w:ascii="Arial" w:cs="Arial" w:eastAsia="Arial" w:hAnsi="Arial"/>
          <w:sz w:val="18"/>
          <w:szCs w:val="18"/>
          <w:color w:val="auto"/>
        </w:rPr>
        <w:t>August 2020, and Lucid Motors Canada ULC, a British Columbia unlimited liability company and an indirect, wholly-owned subsidiary of Lucid Group USA, Inc. in December 2020. The Company is headquartered in Newark, California and has various other global office locations.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Going Concern</w:t>
      </w:r>
    </w:p>
    <w:p>
      <w:pPr>
        <w:spacing w:after="0" w:line="148" w:lineRule="exact"/>
        <w:rPr>
          <w:sz w:val="20"/>
          <w:szCs w:val="20"/>
          <w:color w:val="auto"/>
        </w:rPr>
      </w:pPr>
    </w:p>
    <w:p>
      <w:pPr>
        <w:ind w:left="1260" w:right="1119" w:firstLine="360"/>
        <w:spacing w:after="0" w:line="261" w:lineRule="auto"/>
        <w:rPr>
          <w:sz w:val="20"/>
          <w:szCs w:val="20"/>
          <w:color w:val="auto"/>
        </w:rPr>
      </w:pPr>
      <w:r>
        <w:rPr>
          <w:rFonts w:ascii="Arial" w:cs="Arial" w:eastAsia="Arial" w:hAnsi="Arial"/>
          <w:sz w:val="18"/>
          <w:szCs w:val="18"/>
          <w:color w:val="auto"/>
        </w:rPr>
        <w:t>The Company devotes its efforts to business planning, research and development, recruiting of management and technical staff, acquiring operating assets, and raising capital.</w:t>
      </w:r>
    </w:p>
    <w:p>
      <w:pPr>
        <w:spacing w:after="0" w:line="103"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From inception through December 31, 2020, the Company has incurred operating losses and negative cash flows from operating activities. For the years ended December 31, 2020 and 2019, the Company has incurred operating losses, including net losses of $719.4 million and $277.4 million, respectively. The Company has an accumulated deficit of $1.4 billion as of December 31, 2020.</w:t>
      </w:r>
    </w:p>
    <w:p>
      <w:pPr>
        <w:spacing w:after="0" w:line="12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As of the end of 2020, the Company was finalizing construction of its newly built manufacturing plant in Casa Grande, Arizona (the “Arizona plant”). The Company plans to begin selling its first vehicle, the Lucid Air, in the second half of 2021, along with the continued expansion of the Arizona plant and build-out of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were not identified and confirmed.</w:t>
      </w:r>
    </w:p>
    <w:p>
      <w:pPr>
        <w:spacing w:after="0" w:line="113"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Company’s existing sources of liquidity include cash and cash equivalents. Historically, the Company has been able to obtain debt and equity financing as disclosed in these consolidated financial statements. The Company has funded operations primarily with issuances of convertible preferred shares, convertible notes, long-term debt and net proceeds from revenues. As discussed in Note 15 — Subsequent Events, on February 22, 2021, Churchill Capital Corp IV (“CCIV”) (NYSE: CCIV), a special purpose acquisition company or SPAC, announced that it had entered into a definitive agreement with the Company for a merger that would result in the Company becoming a wholly owned subsidiary of CCIV. If such merger is ultimately completed, the Company would effectively comprise all of CCIV’s material operations. Upon completion</w:t>
      </w:r>
    </w:p>
    <w:p>
      <w:pPr>
        <w:sectPr>
          <w:pgSz w:w="11900" w:h="16838" w:orient="portrait"/>
          <w:cols w:equalWidth="0" w:num="1">
            <w:col w:w="9879"/>
          </w:cols>
          <w:pgMar w:left="580" w:top="132" w:right="1440" w:bottom="1440" w:gutter="0" w:footer="0" w:header="0"/>
        </w:sectPr>
      </w:pPr>
    </w:p>
    <w:p>
      <w:pPr>
        <w:spacing w:after="0" w:line="380"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0" w:name="page191"/>
    <w:bookmarkEnd w:id="190"/>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1019"/>
        <w:spacing w:after="0" w:line="277" w:lineRule="auto"/>
        <w:rPr>
          <w:sz w:val="20"/>
          <w:szCs w:val="20"/>
          <w:color w:val="auto"/>
        </w:rPr>
      </w:pPr>
      <w:r>
        <w:rPr>
          <w:rFonts w:ascii="Arial" w:cs="Arial" w:eastAsia="Arial" w:hAnsi="Arial"/>
          <w:sz w:val="18"/>
          <w:szCs w:val="18"/>
          <w:color w:val="auto"/>
        </w:rPr>
        <w:t>of the merger, the Company expects to receive a minimum of $2.8 billion of incremental cash from a combination of cash at CCIV and a “Private Investor in Public Entity” (PIPE) investment.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Significant Risks and Uncertainties</w:t>
      </w:r>
    </w:p>
    <w:p>
      <w:pPr>
        <w:spacing w:after="0" w:line="148"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The Company’s current business activities consist of research and development efforts to design and develop a high-performance fully electric vehicle and advanced electric vehicle powertrain components, including battery pack systems; building of the Company’s production operations in Casa Grande, Arizona; and build-out of the Company’s retail stores and service centers for distribution of the vehicles to customers.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its ability to access potential markets, and secure long-term financing.</w:t>
      </w:r>
    </w:p>
    <w:p>
      <w:pPr>
        <w:spacing w:after="0" w:line="113"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The Company participates in a dynamic high 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pacing w:after="0" w:line="110"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In late 2019, a novel strain of coronavirus (COVID-19) began to affect the population of China and expanded into a worldwide pandemic during 2020, leading to significant business and supply chain disruption, as well as broad-based changes in supply and demand. The Company’s operations have experienced disruptions, such as temporary closure of its offices, and those of its customers and suppliers, and product research and development. The Company was able to proceed with the construction of the Arizona plant while still meeting all COVID-19 restrictions and required safety measures. The extent of the impact of COVID-19 on the Company’s operational and financial performance will depend on future developments, including the duration and spread of the outbreak. Nevertheless, COVID-19 presents a material uncertainty and risk with respect to the Company, its performance, and its financial results and could adversely affect the Company’s financial position and results of operations.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 and Preparation</w:t>
      </w:r>
    </w:p>
    <w:p>
      <w:pPr>
        <w:spacing w:after="0" w:line="148"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The accompanying consolidated financial statements have been prepared pursuant to generally accepted accounting principles generally accepted in the United States of America (“U.S. GAAP”) as determined by the Financial Accounting Standards Board (“FASB”) Accounting Standards Codification (“ASC”) and pursuant to the regulations of the U.S. Securities and Exchange Commission (“SEC”).The consolidated financial statements as of and for the years ended December 31, 2020 and 2019 include the accounts of Atieva Cayman and its wholly owned subsidiaries. All significant intercompany balances accounts and transactions have been eliminated in the consolidated financial statements.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Segment Reporting</w:t>
      </w:r>
    </w:p>
    <w:p>
      <w:pPr>
        <w:spacing w:after="0" w:line="162"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segment and one reportable segment, as the CODM reviews financial information presented on a consolidated basis for purposes of making operating decisions, allocating resources, and evaluating financial performance.</w:t>
      </w:r>
    </w:p>
    <w:p>
      <w:pPr>
        <w:sectPr>
          <w:pgSz w:w="11900" w:h="16838" w:orient="portrait"/>
          <w:cols w:equalWidth="0" w:num="1">
            <w:col w:w="9879"/>
          </w:cols>
          <w:pgMar w:left="580" w:top="132" w:right="1440" w:bottom="1440" w:gutter="0" w:footer="0" w:header="0"/>
        </w:sectPr>
      </w:pPr>
    </w:p>
    <w:p>
      <w:pPr>
        <w:spacing w:after="0" w:line="35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1" w:name="page192"/>
    <w:bookmarkEnd w:id="191"/>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left="1260" w:right="559" w:firstLine="360"/>
        <w:spacing w:after="0" w:line="26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the determination of the useful lives of property and equipment, fair values of warrants, fair value of contingent forward contracts liability, fair values of common shares, accounting for income taxes, and share-based compensation expense.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62"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Company considers all highly liquid investments with an original or remaining maturity at the date of purchase of three months or less to be cash equivalents.</w:t>
      </w:r>
    </w:p>
    <w:p>
      <w:pPr>
        <w:spacing w:after="0" w:line="103" w:lineRule="exact"/>
        <w:rPr>
          <w:sz w:val="20"/>
          <w:szCs w:val="20"/>
          <w:color w:val="auto"/>
        </w:rPr>
      </w:pPr>
    </w:p>
    <w:p>
      <w:pPr>
        <w:ind w:left="1260" w:right="899" w:firstLine="360"/>
        <w:spacing w:after="0" w:line="271" w:lineRule="auto"/>
        <w:rPr>
          <w:sz w:val="20"/>
          <w:szCs w:val="20"/>
          <w:color w:val="auto"/>
        </w:rPr>
      </w:pPr>
      <w:r>
        <w:rPr>
          <w:rFonts w:ascii="Arial" w:cs="Arial" w:eastAsia="Arial" w:hAnsi="Arial"/>
          <w:sz w:val="17"/>
          <w:szCs w:val="17"/>
          <w:color w:val="auto"/>
        </w:rPr>
        <w:t>The Company has restricted cash in current assets of $11.3 million and $19.8 million as of December 31, 2020 and 2019, respectively, consisting of customer reservation payments for electric vehicles of $0.5 million and $0.3 million and the escrow deposit for building of the Arizona plant of $</w:t>
      </w:r>
    </w:p>
    <w:p>
      <w:pPr>
        <w:ind w:left="1260" w:right="459"/>
        <w:spacing w:after="0" w:line="252" w:lineRule="auto"/>
        <w:rPr>
          <w:sz w:val="20"/>
          <w:szCs w:val="20"/>
          <w:color w:val="auto"/>
        </w:rPr>
      </w:pPr>
      <w:r>
        <w:rPr>
          <w:rFonts w:ascii="Arial" w:cs="Arial" w:eastAsia="Arial" w:hAnsi="Arial"/>
          <w:sz w:val="18"/>
          <w:szCs w:val="18"/>
          <w:color w:val="auto"/>
        </w:rPr>
        <w:t>10.8 million and $19.5 million as of December 31, 2020 and 2019, respectively. As of December 31, 2020 and 2019, the Company has $14.7 million and $8.2 million, respectively, held in long-term restricted cash consisting of $5.0 million and $5.0 million, respectively, for the letter of credit required by the landlord for the headquarter facility in Newark, California, $8.0 million and $1.5 million, respectively, in letter of credit required by the landlord for the retail locations, and $1.7 million and $1.7 million, respectively, in escrow deposit required under the escrow agreement for the lease with Pinal county, Arizona, related to the Arizona plant.</w:t>
      </w:r>
    </w:p>
    <w:p>
      <w:pPr>
        <w:spacing w:after="0" w:line="111"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The following table provides a reconciliation of cash and restricted cash to amounts shown in the statements of cash flows (in thousands):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8"/>
        </w:trPr>
        <w:tc>
          <w:tcPr>
            <w:tcW w:w="5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2019</w:t>
            </w:r>
          </w:p>
        </w:tc>
      </w:tr>
      <w:tr>
        <w:trPr>
          <w:trHeight w:val="25"/>
        </w:trPr>
        <w:tc>
          <w:tcPr>
            <w:tcW w:w="5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$614,412</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$351,684</w:t>
            </w:r>
          </w:p>
        </w:tc>
      </w:tr>
      <w:tr>
        <w:trPr>
          <w:trHeight w:val="256"/>
        </w:trPr>
        <w:tc>
          <w:tcPr>
            <w:tcW w:w="5880" w:type="dxa"/>
            <w:vAlign w:val="bottom"/>
            <w:gridSpan w:val="2"/>
          </w:tcPr>
          <w:p>
            <w:pPr>
              <w:spacing w:after="0"/>
              <w:rPr>
                <w:sz w:val="20"/>
                <w:szCs w:val="20"/>
                <w:color w:val="auto"/>
              </w:rPr>
            </w:pPr>
            <w:r>
              <w:rPr>
                <w:rFonts w:ascii="Arial" w:cs="Arial" w:eastAsia="Arial" w:hAnsi="Arial"/>
                <w:sz w:val="18"/>
                <w:szCs w:val="18"/>
                <w:color w:val="auto"/>
              </w:rPr>
              <w:t>Restricted cash, current portion</w:t>
            </w:r>
          </w:p>
        </w:tc>
        <w:tc>
          <w:tcPr>
            <w:tcW w:w="680" w:type="dxa"/>
            <w:vAlign w:val="bottom"/>
          </w:tcPr>
          <w:p>
            <w:pPr>
              <w:jc w:val="right"/>
              <w:spacing w:after="0"/>
              <w:rPr>
                <w:sz w:val="20"/>
                <w:szCs w:val="20"/>
                <w:color w:val="auto"/>
              </w:rPr>
            </w:pPr>
            <w:r>
              <w:rPr>
                <w:rFonts w:ascii="Arial" w:cs="Arial" w:eastAsia="Arial" w:hAnsi="Arial"/>
                <w:sz w:val="18"/>
                <w:szCs w:val="18"/>
                <w:color w:val="auto"/>
              </w:rPr>
              <w:t>11,278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19,767</w:t>
            </w:r>
          </w:p>
        </w:tc>
      </w:tr>
      <w:tr>
        <w:trPr>
          <w:trHeight w:val="26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less current portion</w:t>
            </w: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r>
      <w:tr>
        <w:trPr>
          <w:trHeight w:val="270"/>
        </w:trPr>
        <w:tc>
          <w:tcPr>
            <w:tcW w:w="5880" w:type="dxa"/>
            <w:vAlign w:val="bottom"/>
            <w:gridSpan w:val="2"/>
          </w:tcPr>
          <w:p>
            <w:pPr>
              <w:spacing w:after="0"/>
              <w:rPr>
                <w:sz w:val="20"/>
                <w:szCs w:val="20"/>
                <w:color w:val="auto"/>
              </w:rPr>
            </w:pPr>
            <w:r>
              <w:rPr>
                <w:rFonts w:ascii="Arial" w:cs="Arial" w:eastAsia="Arial" w:hAnsi="Arial"/>
                <w:sz w:val="18"/>
                <w:szCs w:val="18"/>
                <w:color w:val="auto"/>
              </w:rPr>
              <w:t>Total cash and restricted cash</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$640,418</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$379,651</w:t>
            </w: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-719455</wp:posOffset>
            </wp:positionV>
            <wp:extent cx="1371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-719455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Accounts receivable consist of current trade receivables from a single customer. The Company records accounts receivable at their net realizable value. Management’s estimate for expected credit losses for outstanding accounts receivable are based on historical write-off experience, an analysis of the aging of outstanding receivables, customer payment patterns, and the establishment of specific reserves for customers in an adverse financial condition. Adjustments are made based upon the Company’s expectations of changes in macroeconomic conditions that may impact the collectability of outstanding receivables. The Company also considers current market conditions and reasonable and supportable forecasts of future economic conditions to inform adjustments to historical loss data. The Company reassesses the adequacy of estimated credit losses each reporting period. At December 31, 2020 and 2019, the Company did not record an allowance for doubtful accounts.</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2" w:name="page193"/>
    <w:bookmarkEnd w:id="192"/>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Short-Term Investments</w:t>
      </w:r>
    </w:p>
    <w:p>
      <w:pPr>
        <w:spacing w:after="0" w:line="148"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Investments with original or remaining maturities of more than three months at the time of purchase are generally classified as short-term investments and consist of time deposits. The Company’s short-term investments consist of certificates of deposit totaling $0.5 million as of December 31, 2020 and 2019.</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short-term investments, and accounts receivable. The Company places its cash primarily with domestic financial institutions that are federally insured within statutory limits, but at times its deposits may exceed federally insured limits. Further, accounts receivable consists of current trade receivables from a single customer as of December 31, 2020 and 2019, and all of the Company’s revenue is from the same customer for the years ended December 31, 2020 and 2019.</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Plant, and Equipment</w:t>
      </w:r>
    </w:p>
    <w:p>
      <w:pPr>
        <w:spacing w:after="0" w:line="162"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Property, plant, and equipment are stated at cost, less accumulated depreciation and amortization for leasehold improvements. Depreciation is recorded using the straight-line method over the estimated useful lives of the related assets. The Company generally uses the following estimated useful lives for each asset category:</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w w:val="90"/>
              </w:rPr>
              <w:t>Life (years)</w:t>
            </w:r>
          </w:p>
        </w:tc>
      </w:tr>
      <w:tr>
        <w:trPr>
          <w:trHeight w:val="26"/>
        </w:trPr>
        <w:tc>
          <w:tcPr>
            <w:tcW w:w="2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50"/>
        </w:trPr>
        <w:tc>
          <w:tcPr>
            <w:tcW w:w="3020" w:type="dxa"/>
            <w:vAlign w:val="bottom"/>
            <w:gridSpan w:val="2"/>
          </w:tcPr>
          <w:p>
            <w:pPr>
              <w:spacing w:after="0"/>
              <w:rPr>
                <w:sz w:val="20"/>
                <w:szCs w:val="20"/>
                <w:color w:val="auto"/>
              </w:rPr>
            </w:pPr>
            <w:r>
              <w:rPr>
                <w:rFonts w:ascii="Arial" w:cs="Arial" w:eastAsia="Arial" w:hAnsi="Arial"/>
                <w:sz w:val="18"/>
                <w:szCs w:val="18"/>
                <w:color w:val="auto"/>
              </w:rPr>
              <w:t>Machinery</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56"/>
        </w:trPr>
        <w:tc>
          <w:tcPr>
            <w:tcW w:w="3020" w:type="dxa"/>
            <w:vAlign w:val="bottom"/>
            <w:gridSpan w:val="2"/>
          </w:tcPr>
          <w:p>
            <w:pPr>
              <w:spacing w:after="0"/>
              <w:rPr>
                <w:sz w:val="20"/>
                <w:szCs w:val="20"/>
                <w:color w:val="auto"/>
              </w:rPr>
            </w:pPr>
            <w:r>
              <w:rPr>
                <w:rFonts w:ascii="Arial" w:cs="Arial" w:eastAsia="Arial" w:hAnsi="Arial"/>
                <w:sz w:val="18"/>
                <w:szCs w:val="18"/>
                <w:color w:val="auto"/>
              </w:rPr>
              <w:t>Computer equipment and software</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57"/>
        </w:trPr>
        <w:tc>
          <w:tcPr>
            <w:tcW w:w="30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56"/>
        </w:trPr>
        <w:tc>
          <w:tcPr>
            <w:tcW w:w="30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51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180" w:type="dxa"/>
            <w:vAlign w:val="bottom"/>
          </w:tcPr>
          <w:p>
            <w:pPr>
              <w:jc w:val="center"/>
              <w:spacing w:after="0"/>
              <w:rPr>
                <w:sz w:val="20"/>
                <w:szCs w:val="20"/>
                <w:color w:val="auto"/>
              </w:rPr>
            </w:pPr>
            <w:r>
              <w:rPr>
                <w:rFonts w:ascii="Arial" w:cs="Arial" w:eastAsia="Arial" w:hAnsi="Arial"/>
                <w:sz w:val="18"/>
                <w:szCs w:val="18"/>
                <w:color w:val="auto"/>
                <w:w w:val="93"/>
              </w:rPr>
              <w:t>Shorter of the lease term and the estimated useful lives of the assets</w:t>
            </w:r>
          </w:p>
        </w:tc>
      </w:tr>
    </w:tbl>
    <w:p>
      <w:pPr>
        <w:spacing w:after="0" w:line="161"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Expenditures for repair and maintenance costs are expensed as incurred, and expenditures for major renewals and improvements that increase functionality of the asset are capitalized and depreciated ratably over the identified useful life. Upon disposition or retirement of property and equipment, the related cost and accumulated depreciation and amortization are removed, and any gain or loss is reflected in operations. The Company recorded a disposition loss on fixed assets of $0.1 million for the year ended December 31, 2020 and an immaterial loss for the year ended December 31, 2019.</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Inventory</w:t>
      </w:r>
    </w:p>
    <w:p>
      <w:pPr>
        <w:spacing w:after="0" w:line="162"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Inventory, consisting of raw materials, work in progress and finished goods is stated at the lower of cost or net realizable value. Costs are computed under the standard cost method, which approximates actual costs determined on a first-in, first-out basis. Net realizable value is determined as estimated selling prices in the ordinary course of business, less reasonably predictable costs of disposal and transportation. The cost basis of the Company’s inventory is reduced for any products that are considered to be held in excess of demand or obsolete based upon assumptions about future demand and market conditions.</w:t>
      </w:r>
    </w:p>
    <w:p>
      <w:pPr>
        <w:spacing w:after="0" w:line="110" w:lineRule="exact"/>
        <w:rPr>
          <w:sz w:val="20"/>
          <w:szCs w:val="20"/>
          <w:color w:val="auto"/>
        </w:rPr>
      </w:pPr>
    </w:p>
    <w:p>
      <w:pPr>
        <w:jc w:val="both"/>
        <w:ind w:left="1260" w:right="439" w:firstLine="360"/>
        <w:spacing w:after="0" w:line="286" w:lineRule="auto"/>
        <w:rPr>
          <w:sz w:val="20"/>
          <w:szCs w:val="20"/>
          <w:color w:val="auto"/>
        </w:rPr>
      </w:pPr>
      <w:r>
        <w:rPr>
          <w:rFonts w:ascii="Arial" w:cs="Arial" w:eastAsia="Arial" w:hAnsi="Arial"/>
          <w:sz w:val="17"/>
          <w:szCs w:val="17"/>
          <w:color w:val="auto"/>
        </w:rPr>
        <w:t>The Company also reviews the status of the inventory periodically to determine whether a lower of cost or net realizable value analysis needs to be performed based on market pricing. The Company’s inventory is associated with battery pack system projects with its customer and consists of the following (in thousands):</w:t>
      </w:r>
    </w:p>
    <w:p>
      <w:pPr>
        <w:spacing w:after="0" w:line="3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90"/>
              </w:rPr>
              <w:t>December 31,</w:t>
            </w:r>
          </w:p>
        </w:tc>
      </w:tr>
      <w:tr>
        <w:trPr>
          <w:trHeight w:val="26"/>
        </w:trPr>
        <w:tc>
          <w:tcPr>
            <w:tcW w:w="63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7"/>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r>
      <w:tr>
        <w:trPr>
          <w:trHeight w:val="26"/>
        </w:trPr>
        <w:tc>
          <w:tcPr>
            <w:tcW w:w="6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$205</w:t>
            </w:r>
          </w:p>
        </w:tc>
      </w:tr>
      <w:tr>
        <w:trPr>
          <w:trHeight w:val="257"/>
        </w:trPr>
        <w:tc>
          <w:tcPr>
            <w:tcW w:w="6380" w:type="dxa"/>
            <w:vAlign w:val="bottom"/>
          </w:tcPr>
          <w:p>
            <w:pPr>
              <w:spacing w:after="0"/>
              <w:rPr>
                <w:sz w:val="20"/>
                <w:szCs w:val="20"/>
                <w:color w:val="auto"/>
              </w:rPr>
            </w:pPr>
            <w:r>
              <w:rPr>
                <w:rFonts w:ascii="Arial" w:cs="Arial" w:eastAsia="Arial" w:hAnsi="Arial"/>
                <w:sz w:val="18"/>
                <w:szCs w:val="18"/>
                <w:color w:val="auto"/>
              </w:rPr>
              <w:t>Work in progress</w:t>
            </w: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63"/>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70"/>
        </w:trPr>
        <w:tc>
          <w:tcPr>
            <w:tcW w:w="6380" w:type="dxa"/>
            <w:vAlign w:val="bottom"/>
          </w:tcPr>
          <w:p>
            <w:pPr>
              <w:spacing w:after="0"/>
              <w:rPr>
                <w:sz w:val="20"/>
                <w:szCs w:val="20"/>
                <w:color w:val="auto"/>
              </w:rPr>
            </w:pPr>
            <w:r>
              <w:rPr>
                <w:rFonts w:ascii="Arial" w:cs="Arial" w:eastAsia="Arial" w:hAnsi="Arial"/>
                <w:sz w:val="18"/>
                <w:szCs w:val="18"/>
                <w:color w:val="auto"/>
              </w:rPr>
              <w:t>Total inventory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1,043</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$684</w:t>
            </w:r>
          </w:p>
        </w:tc>
      </w:tr>
      <w:tr>
        <w:trPr>
          <w:trHeight w:val="21"/>
        </w:trPr>
        <w:tc>
          <w:tcPr>
            <w:tcW w:w="6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-719455</wp:posOffset>
            </wp:positionV>
            <wp:extent cx="1371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-719455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did not adjust the cost basis of its inventory as of December 31, 2020 and 2019.</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Impairment of Long-Lived Assets</w:t>
      </w:r>
    </w:p>
    <w:p>
      <w:pPr>
        <w:spacing w:after="0" w:line="162" w:lineRule="exact"/>
        <w:rPr>
          <w:sz w:val="20"/>
          <w:szCs w:val="20"/>
          <w:color w:val="auto"/>
        </w:rPr>
      </w:pPr>
    </w:p>
    <w:p>
      <w:pPr>
        <w:ind w:left="1260" w:right="419" w:firstLine="360"/>
        <w:spacing w:after="0" w:line="274" w:lineRule="auto"/>
        <w:rPr>
          <w:sz w:val="20"/>
          <w:szCs w:val="20"/>
          <w:color w:val="auto"/>
        </w:rPr>
      </w:pPr>
      <w:r>
        <w:rPr>
          <w:rFonts w:ascii="Arial" w:cs="Arial" w:eastAsia="Arial" w:hAnsi="Arial"/>
          <w:sz w:val="16"/>
          <w:szCs w:val="16"/>
          <w:color w:val="auto"/>
        </w:rPr>
        <w:t>Long- lived assets, such as property, plant and equipment are reviewed for impairment whenever events or changes in circumstances indicate that the carrying amount of an asset may not be recoverable. If circumstances require a long -lived asset or asset group be tested for potential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the carrying amount of the underlying asset exceeds its fair value. No impairment loss was recognized for the years ended December 31, 2020 and 2019.</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Currency</w:t>
      </w:r>
    </w:p>
    <w:p>
      <w:pPr>
        <w:spacing w:after="0" w:line="16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US dollar is the functional currency of the Company’s consolidated subsidiaries operating outside of the US. Monetary assets and liabilities of these subsidiaries are remeasured into US dollars from the local currency at rates in effect at period-end and nonmonetary assets and liabilities are remeasured at historical rates. Expenses incurred in currencies other than the US dollar (the functional currency) are remeasured at average exchange rates in effect during each period. Foreign currency gains and losses from remeasurement are included within other income (expense) — net in the Company’s consolidated statements of operations, and the Company recorded a foreign currency loss of $2.5 million for the year ended December 31, 2020 mainly due to the currency fluctuations of Euro, Japanese yen, and South Korean won, and an immaterial loss for the year ended December 31, 2019.</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48" w:lineRule="exact"/>
        <w:rPr>
          <w:sz w:val="20"/>
          <w:szCs w:val="20"/>
          <w:color w:val="auto"/>
        </w:rPr>
      </w:pPr>
    </w:p>
    <w:p>
      <w:pPr>
        <w:jc w:val="both"/>
        <w:ind w:left="1260" w:right="439" w:firstLine="360"/>
        <w:spacing w:after="0" w:line="291" w:lineRule="auto"/>
        <w:rPr>
          <w:sz w:val="20"/>
          <w:szCs w:val="20"/>
          <w:color w:val="auto"/>
        </w:rPr>
      </w:pPr>
      <w:r>
        <w:rPr>
          <w:rFonts w:ascii="Arial" w:cs="Arial" w:eastAsia="Arial" w:hAnsi="Arial"/>
          <w:sz w:val="17"/>
          <w:szCs w:val="17"/>
          <w:color w:val="auto"/>
        </w:rPr>
        <w:t>On January 1, 2019 the Company adopted ASU No. 2014 -09, Revenue from Contracts with Customers (“Topic 606”) using the modified retrospective method which did not result in an adjustment upon adoption.</w:t>
      </w:r>
    </w:p>
    <w:p>
      <w:pPr>
        <w:spacing w:after="0" w:line="79" w:lineRule="exact"/>
        <w:rPr>
          <w:sz w:val="20"/>
          <w:szCs w:val="20"/>
          <w:color w:val="auto"/>
        </w:rPr>
      </w:pPr>
    </w:p>
    <w:p>
      <w:pPr>
        <w:jc w:val="both"/>
        <w:ind w:left="1260" w:right="439" w:firstLine="360"/>
        <w:spacing w:after="0" w:line="243" w:lineRule="auto"/>
        <w:rPr>
          <w:sz w:val="20"/>
          <w:szCs w:val="20"/>
          <w:color w:val="auto"/>
        </w:rPr>
      </w:pPr>
      <w:r>
        <w:rPr>
          <w:rFonts w:ascii="Arial" w:cs="Arial" w:eastAsia="Arial" w:hAnsi="Arial"/>
          <w:sz w:val="18"/>
          <w:szCs w:val="18"/>
          <w:color w:val="auto"/>
        </w:rPr>
        <w:t>The Company follows a five-step process in which the Company identifies the contract, identifies the related performance obligations, determines the transaction price, allocates the contract transaction price to the identified performance obligations, and recognizes revenue when (or as) the performance obligations are transferred to the customer.</w:t>
      </w:r>
    </w:p>
    <w:p>
      <w:pPr>
        <w:spacing w:after="0" w:line="120"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The Company’s revenue consists of the sales of battery pack systems, supplies and related services for vehicles. The Company identifies the sale of battery pack systems and the related supplies as a performance obligation to be recognized at the point in time when control is transferred to the customer. Control transfers to the customer when the product is delivered to the customer as the customer can then direct the use and obtain substantially all of the remaining benefits from the asset at that point in time. Shipping and handling provided by Company is considered a fulfillment activity.</w:t>
      </w:r>
    </w:p>
    <w:p>
      <w:pPr>
        <w:spacing w:after="0" w:line="108"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7"/>
          <w:szCs w:val="17"/>
          <w:color w:val="auto"/>
        </w:rPr>
        <w:t>While customers generally have the right to return defective or non -conforming products, past experience has demonstrated that product returns have been immaterial. Customer remedies may include either a cash refund or an exchange of the returned product. As a result, the right of return and related refund liability for non-conforming or defective goods is estimated and recorded as a reduction in revenue, if necessary. Payment for the products sold are made upon invoice or in accordance with payment terms customary to the business. The Company’s contracts do not contain significant financing components.</w:t>
      </w:r>
    </w:p>
    <w:p>
      <w:pPr>
        <w:sectPr>
          <w:pgSz w:w="11900" w:h="16838" w:orient="portrait"/>
          <w:cols w:equalWidth="0" w:num="1">
            <w:col w:w="9879"/>
          </w:cols>
          <w:pgMar w:left="580" w:top="132"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4" w:name="page195"/>
    <w:bookmarkEnd w:id="194"/>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Customer contracts generally do not include more than one performance obligation. If a contract were to contain more than one performance obligation, the Company shall allocate the contract’s transaction price to each performance obligation based on its relative standalone selling price. The standalone selling price for each distinct good is generally determined by directly observable data.</w:t>
      </w:r>
    </w:p>
    <w:p>
      <w:pPr>
        <w:spacing w:after="0" w:line="107"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The Company does not have any remaining performance obligations or contract assets and liabilities as of December 31, 2020 and 2019.</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Cost of Revenue</w:t>
      </w:r>
    </w:p>
    <w:p>
      <w:pPr>
        <w:spacing w:after="0" w:line="162"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Cost of revenue includes direct parts, material and labor costs, manufacturing overhead, including amortized tooling costs, shipping and logistic costs, and reserves for estimated warranty expenses related to its battery packs. Cost of revenue also includes adjustments to warranty expense and charges to write down the carrying value of inventory when it exceeds its estimated net realizable value or to provide for obsolete and on-hand inventory in excess of forecasted demand.</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Warranties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Company provides a manufacturer’s warranty on all battery packs it sells and accrues a warranty reserve for such battery packs, as applicable. These estimates are based on actual claims incurred to date and an estimate of the nature, frequency and costs of future claims. Current estimates of the warranty reserve are immaterial, but changes to the Company’s historical or projected warranty experience may cause material changes to the warranty reserve in the future. The portion of the warranty reserve expected to be incurred within the next 12 months is included within accrued liabilities and other, while the remaining balance is included within other long-term liabilities in the consolidated balance sheets. The Company recorded warranty expense of zero and $0.1 million as a component of cost of revenue in the consolidated statements of operations for the years ended December 31, 2020 and 2019, respectively.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The Company accounts for income taxes in accordance with FASB Accounting Standards Codification (ASC) 740, Accounting for Income Taxes, which requires an asset and liability approach. The Company utilizes the liability method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w:t>
      </w:r>
    </w:p>
    <w:p>
      <w:pPr>
        <w:spacing w:after="0" w:line="12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The Company recognizes deferred tax assets to the extent that these assets are more likely than not to be realized. In making such a determination, all available positive and negative evidence are considered, including future reversals of existing taxable temporary differences, projected future taxable income, tax-planning strategies, and results of recent operations. If it is determined that deferred tax assets would be realized in the future in excess of their net recorded amount, an adjustment would be made to the deferred tax asset valuation allowance, which would reduce the provision for income taxes.</w:t>
      </w:r>
    </w:p>
    <w:p>
      <w:pPr>
        <w:spacing w:after="0" w:line="10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7"/>
          <w:szCs w:val="17"/>
          <w:color w:val="auto"/>
        </w:rPr>
        <w:t>The Company records uncertain tax positions in accordance with ASC 740 on the basis of a two-step process which includes (1) determining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93"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The Company’s policy is to recognize interest related to unrecognized tax benefits in other income (expense) — net and to recognize penalties in general and administrative expenses in the consolidated statements of operations. Accrued interest and penalties are included within income tax liabilities in the consolidated balance sheets.</w:t>
      </w: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Share-Based Compensation</w:t>
      </w:r>
    </w:p>
    <w:p>
      <w:pPr>
        <w:spacing w:after="0" w:line="148"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Share-based compensation expense related to share-based awards granted to employees is measured and recognized in the Company’s consolidated financial statements based on fair value. Share-based compensation expense, net of estimated forfeitures, is recognized on a straight-line basis over the requisite service period for each employee share option expected to vest. The fair value of each share option granted to employees and nonemployees is estimated on the grant date using the Black-Scholes option-pricing model. For nonemployee share options, the fair value is remeasured as the share options vest, and the resulting change in fair value, if any, is recognized in the consolidated statements of operations during the period the related services are rendered.</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Comprehensive Income (Loss)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Comprehensive loss is composed of two components: net loss and other comprehensive income (loss). Other comprehensive income (loss) refers to revenue, expenses, gains, and losses that under US GAAP are recorded as an element of shareholders’ equity (deficit) but are excluded from net loss. For the years ended December 31, 2020 and 2019, as there are no activities that impacted comprehensive income (loss), there are no differences between comprehensive loss and net loss reported in the Company’s consolidated statements of operations.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Research and development expenses consist primarily of personnel-related expenses, contractor fees, engineering design and testing expenses, and allocated facilities cost. Substantially all of the Company’s research and development expenses are related to developing new products and services and improving existing products and services. Research and development expenses have been expensed as incurred and included in the consolidated statements of operations.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General, and Administrative</w:t>
      </w:r>
    </w:p>
    <w:p>
      <w:pPr>
        <w:spacing w:after="0" w:line="148" w:lineRule="exact"/>
        <w:rPr>
          <w:sz w:val="20"/>
          <w:szCs w:val="20"/>
          <w:color w:val="auto"/>
        </w:rPr>
      </w:pPr>
    </w:p>
    <w:p>
      <w:pPr>
        <w:ind w:left="1260" w:right="1199" w:firstLine="360"/>
        <w:spacing w:after="0" w:line="308" w:lineRule="auto"/>
        <w:rPr>
          <w:sz w:val="20"/>
          <w:szCs w:val="20"/>
          <w:color w:val="auto"/>
        </w:rPr>
      </w:pPr>
      <w:r>
        <w:rPr>
          <w:rFonts w:ascii="Arial" w:cs="Arial" w:eastAsia="Arial" w:hAnsi="Arial"/>
          <w:sz w:val="17"/>
          <w:szCs w:val="17"/>
          <w:color w:val="auto"/>
        </w:rPr>
        <w:t>Selling, general and administrative expense consist of personnel and facilities costs related to marketing, sales, finance, human resources, information technology, and legal departments.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Advertising</w:t>
      </w:r>
    </w:p>
    <w:p>
      <w:pPr>
        <w:spacing w:after="0" w:line="162"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Advertising is expensed as incurred and is included in sales and marketing expenses in the consolidated statements of operations. These costs were immaterial for the years ended December 31, 2020 and 2019, respectively.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An arrangement is or contains a lease if there are specified assets and the right to control the use of a specified asset is conveyed for a period in exchange for consideration. Upon lease inception, the Company classifies leases as either operating or capital leases. Leases are classified as capital leases when the terms of the lease transfers substantially all of the risks and rewards of ownership to the lessee. All other leases are classified as operating leases.</w:t>
      </w:r>
    </w:p>
    <w:p>
      <w:pPr>
        <w:spacing w:after="0" w:line="107"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6"/>
          <w:szCs w:val="16"/>
          <w:color w:val="auto"/>
        </w:rPr>
        <w:t>Operating leases are not recognized on the consolidated balance sheets. For capital leases, the Company recognizes capital lease assets and corresponding lease liabilities within the consolidated balance sheets at lease commencement at the present value of the rental payments. The Company recognizes rent expense on a straight-line basis in the statements of operations for operating leases. For capital leases, the Company recognizes interest expense associated with the capital lease liability and depreciation expense associated with the capital lease asset. For capital lease assets and leasehold improvements, the estimated useful lives are limited to the shorter of the useful life of the asset or the term of the lease.</w:t>
      </w:r>
    </w:p>
    <w:p>
      <w:pPr>
        <w:sectPr>
          <w:pgSz w:w="11900" w:h="16838" w:orient="portrait"/>
          <w:cols w:equalWidth="0" w:num="1">
            <w:col w:w="9879"/>
          </w:cols>
          <w:pgMar w:left="580" w:top="132"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6" w:name="page197"/>
    <w:bookmarkEnd w:id="196"/>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color w:val="auto"/>
        </w:rPr>
        <w:t>The Company enters into operating and capital leases associated with its office space, manufacturing and retail facilities, and equipment. On certain of its operating lease agreements, the Company may receive rent holidays and other incentives, which are recognized over the lease term through rent expense. The difference between rent expense and the cash paid under the lease agreement is recorded as deferred rent. Lease incentives, including tenant improvement allowances, are also recorded as deferred rent and amortized on a straight-line basis over the lease term. The Company recorded deferred rent under other short-term and long-term liabilities in the consolidated balance sheets as of December 31, 2020 and 2019.</w:t>
      </w:r>
    </w:p>
    <w:p>
      <w:pPr>
        <w:spacing w:after="0" w:line="99"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If the term of the lease does not exceed 12 months, the Company elects to record the rental expense in the period it is incurred, and no deferred rent will be recorded.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Commitments and Contingencies</w:t>
      </w:r>
    </w:p>
    <w:p>
      <w:pPr>
        <w:spacing w:after="0" w:line="162" w:lineRule="exact"/>
        <w:rPr>
          <w:sz w:val="20"/>
          <w:szCs w:val="20"/>
          <w:color w:val="auto"/>
        </w:rPr>
      </w:pPr>
    </w:p>
    <w:p>
      <w:pPr>
        <w:ind w:left="1260" w:right="619" w:firstLine="360"/>
        <w:spacing w:after="0" w:line="241"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the Company accrues for the minimum amount within the range. Legal costs incurred in connection with loss contingencies are expensed as incurred.</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Loss Per Share</w:t>
      </w:r>
    </w:p>
    <w:p>
      <w:pPr>
        <w:spacing w:after="0" w:line="162"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Basic and diluted net loss per share attributable to common shareholders is computed in conformity with the two-class method required for participating securities. The Company considers all series of its convertible preferred shares to be participating securities as the holders of such shares have the right to receive nonforfeitable dividends on a pari passu basis in the event that a dividend is paid on common shares. Under the two-class method, the net loss attributable to common shareholders is not allocated to the convertible preferred shares as the preferred shareholders do not have a contractual obligation to share in the Company’s losses.</w:t>
      </w:r>
    </w:p>
    <w:p>
      <w:pPr>
        <w:spacing w:after="0" w:line="110"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Basic net loss per share is computed by dividing net loss attributable to common shareholders by the weighted-average number of shares of common shares outstanding during the period. Diluted net loss per share is computed by giving effect to all potentially dilutive common share equivalents to the extent they are dilutive. For purposes of this calculation, convertible preferred shares, share options, convertible and convertible preferred share warrants are considered to be common share equivalents but have been excluded from the calculation of diluted net loss per share attributable to common shareholders as their effect is anti-dilutive for all periods presented.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62"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In June 2016, the Financial Accounting Standards Board (“FASB”) issued Accounting Standards Update (“ASU”) 2016-13, Financial Instruments — Credit Losses (Topic 326): Measurement of Credit Losses on Financial Instruments, to update the methodology used to measure current expected credit losses (“CECL”). This ASU applies to financial assets measured at amortized cost, including loans, net investments in leases, and trade accounts receivable as well as certain off-balance sheet credit exposures, such as loan commitments and guarantees. The Company adopted this ASU starting on January 1, 2020 using the modified retrospective transition method through a cumulative-effect adjustment to retained earnings in the period of adoption. The adoption of this ASU did not have impact to the consolidated financial statements and related disclosures.</w:t>
      </w:r>
    </w:p>
    <w:p>
      <w:pPr>
        <w:spacing w:after="0" w:line="124" w:lineRule="exact"/>
        <w:rPr>
          <w:sz w:val="20"/>
          <w:szCs w:val="20"/>
          <w:color w:val="auto"/>
        </w:rPr>
      </w:pPr>
    </w:p>
    <w:p>
      <w:pPr>
        <w:ind w:left="1260" w:right="579" w:firstLine="360"/>
        <w:spacing w:after="0" w:line="239" w:lineRule="auto"/>
        <w:rPr>
          <w:sz w:val="20"/>
          <w:szCs w:val="20"/>
          <w:color w:val="auto"/>
        </w:rPr>
      </w:pPr>
      <w:r>
        <w:rPr>
          <w:rFonts w:ascii="Arial" w:cs="Arial" w:eastAsia="Arial" w:hAnsi="Arial"/>
          <w:sz w:val="18"/>
          <w:szCs w:val="18"/>
          <w:color w:val="auto"/>
        </w:rPr>
        <w:t>In June 2018, the FASB issued ASU No. 2018-07, Compensation Stock Compensation (Topic 718): Improvements to Non- employee Share-Based Payment Accounting, which expands the scope of Topic 718 to include share-based payment transactions for acquiring goods and services from nonemployees, with certain exceptions. For nonpublic entities, the amendments are effective for fiscal years beginning after December 15, 2019, and interim periods within fiscal years beginning after December 15, 2020. Early adoption is permitted if financial statements have not yet been issued (for public business entities) or have not yet been</w:t>
      </w:r>
    </w:p>
    <w:p>
      <w:pPr>
        <w:sectPr>
          <w:pgSz w:w="11900" w:h="16838" w:orient="portrait"/>
          <w:cols w:equalWidth="0" w:num="1">
            <w:col w:w="9879"/>
          </w:cols>
          <w:pgMar w:left="580" w:top="132"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7" w:name="page198"/>
    <w:bookmarkEnd w:id="197"/>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519"/>
        <w:spacing w:after="0" w:line="263" w:lineRule="auto"/>
        <w:rPr>
          <w:sz w:val="20"/>
          <w:szCs w:val="20"/>
          <w:color w:val="auto"/>
        </w:rPr>
      </w:pPr>
      <w:r>
        <w:rPr>
          <w:rFonts w:ascii="Arial" w:cs="Arial" w:eastAsia="Arial" w:hAnsi="Arial"/>
          <w:sz w:val="18"/>
          <w:szCs w:val="18"/>
          <w:color w:val="auto"/>
        </w:rPr>
        <w:t>made available for issuance (for all other entities). The Company adopted this ASU starting on January 1, 2020. The adoption of this ASU did not have a material impact to the consolidated financial statements and related disclosures.</w:t>
      </w:r>
    </w:p>
    <w:p>
      <w:pPr>
        <w:spacing w:after="0" w:line="103"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In August 2018, FASB issued ASU No. 2018-13, Fair Value Measurement (Topic 820): Disclosure Framework-Changes to the Disclosure Requirements for Fair Value Measurement. ASU No. 2018-13 modifies the disclosure requirements for fair value measurements. The new guidance is effective for fiscal years, and interim periods within those fiscal years, beginning after December 15, 2019, and early adoption is permitted. ASU No. 2018-13 requires that certain of the amendments be applied prospectively, while other amendments should be applied retrospectively to all periods presented. ASU No. 2018-13 is effective for the Company in its fiscal year 2021. The Company adopted this ASU starting on January 1, 2020. The adoption of this ASU did not have a material impact to the consolidated financial statements and related disclosures.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In February 2016, the FASB issued ASU No. 2016-02, Leases (Topic 842). The guidance outlines a comprehensive model for entities to use in accounting for leases and supersedes most current lease accounting guidance, including industry-specific guidance. The core principle of the new lease accounting model is that lessees are required, among other things, to recognize lease assets and lease liabilities in the consolidated balance sheets for those leases classified as operating leases under previous authoritative guidance. The guidance also introduces new disclosure requirements for leasing arrangements. In July 2018, the FASB issued ASU No. 2018-10, Leases (Topic 842), Codification Improvements to Topic 842, Leases, and ASU No. 2018-11, Leases (Topic 842), Targeted Improvements. ASU No. 2018-11 provides a new transition method in which an entity can initially apply the new lease standards at the adoption date and recognize a cumulative effect adjustment to the opening balance of retained earnings in the period of adoption. These standards will be effective for the Company for fiscal years beginning after December 15, 2021, and interim periods within fiscal years beginning after December 15, 2022 and early adoption is permitted. The Company will apply the new transition method prescribed by ASU No. 2018-11 at the adoption date. The Company is currently evaluating the impact of this standard on its consolidated financial statements and related disclosures.</w:t>
      </w:r>
    </w:p>
    <w:p>
      <w:pPr>
        <w:spacing w:after="0" w:line="128" w:lineRule="exact"/>
        <w:rPr>
          <w:sz w:val="20"/>
          <w:szCs w:val="20"/>
          <w:color w:val="auto"/>
        </w:rPr>
      </w:pPr>
    </w:p>
    <w:p>
      <w:pPr>
        <w:ind w:left="1260" w:right="579" w:firstLine="360"/>
        <w:spacing w:after="0" w:line="271"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removes certain exceptions for recognizing deferred taxes for investments, performing intra period allocation, and calculating income taxes in interim periods. The ASU also adds guidance to reduce complexity in certain areas, including recognizing deferred taxes for tax goodwill and allocating taxes to members of a consolidated group. The guidance is effective for the Company beginning in the first quarter of fiscal year 2022, with early adoption permitted. The Company expects the new guidance will have an immaterial impact on its consolidated financial statements and intends to adopt the guidance when it becomes effective in the first quarter of fiscal year 2022.</w:t>
      </w:r>
    </w:p>
    <w:p>
      <w:pPr>
        <w:spacing w:after="0" w:line="97"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In August 2020, the FASB issued ASU No. 2020-06, Debt — Debt with Conversion and Other Options (Subtopic 470-20) and Derivatives and Hedging — Contracts in Entity’s Own Equity (Subtopic 815-40): Accounting for Convertible Instruments and Contracts in an Entity’s Own Equity, which simplifies the accounting for certain financial instruments with characteristics of liabilities and equity, including convertible instruments, and amends existing earnings-per-share, or EPS, guidance by requiring that an entity use the if-converted method when calculating diluted EPS for convertible instruments. ASU 2020-06 is effective for fiscal years beginning after December 15, 2021, including interim periods within those fiscal years, with early adoption permitted for fiscal years beginning after December 15, 2020, including interim periods within those fiscal years. We plan to adopt ASU 2020-06 effective January 1, 2022 and are currently evaluating the effect ASU 2020-06 will have on our consolidated financial statements and related disclosures.</w:t>
      </w: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BALANCE SHEETS COMPONENTS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Prepaid Expenses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Prepaid expenses as of December 31, 2020 and 2019 were as follows (in thousands):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42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60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8"/>
        </w:trPr>
        <w:tc>
          <w:tcPr>
            <w:tcW w:w="6060" w:type="dxa"/>
            <w:vAlign w:val="bottom"/>
          </w:tcPr>
          <w:p>
            <w:pPr>
              <w:spacing w:after="0"/>
              <w:rPr>
                <w:sz w:val="17"/>
                <w:szCs w:val="17"/>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2019</w:t>
            </w:r>
          </w:p>
        </w:tc>
      </w:tr>
      <w:tr>
        <w:trPr>
          <w:trHeight w:val="26"/>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Engineering, design, and testing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$14,871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r>
      <w:tr>
        <w:trPr>
          <w:trHeight w:val="257"/>
        </w:trPr>
        <w:tc>
          <w:tcPr>
            <w:tcW w:w="6060" w:type="dxa"/>
            <w:vAlign w:val="bottom"/>
          </w:tcPr>
          <w:p>
            <w:pPr>
              <w:spacing w:after="0"/>
              <w:rPr>
                <w:sz w:val="20"/>
                <w:szCs w:val="20"/>
                <w:color w:val="auto"/>
              </w:rPr>
            </w:pPr>
            <w:r>
              <w:rPr>
                <w:rFonts w:ascii="Arial" w:cs="Arial" w:eastAsia="Arial" w:hAnsi="Arial"/>
                <w:sz w:val="18"/>
                <w:szCs w:val="18"/>
                <w:color w:val="auto"/>
              </w:rPr>
              <w:t>Software subscriptions</w:t>
            </w:r>
          </w:p>
        </w:tc>
        <w:tc>
          <w:tcPr>
            <w:tcW w:w="600" w:type="dxa"/>
            <w:vAlign w:val="bottom"/>
          </w:tcPr>
          <w:p>
            <w:pPr>
              <w:jc w:val="right"/>
              <w:spacing w:after="0"/>
              <w:rPr>
                <w:sz w:val="20"/>
                <w:szCs w:val="20"/>
                <w:color w:val="auto"/>
              </w:rPr>
            </w:pPr>
            <w:r>
              <w:rPr>
                <w:rFonts w:ascii="Arial" w:cs="Arial" w:eastAsia="Arial" w:hAnsi="Arial"/>
                <w:sz w:val="18"/>
                <w:szCs w:val="18"/>
                <w:color w:val="auto"/>
              </w:rPr>
              <w:t>4,531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5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Prepayments for Arizona manufacturing equipment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13,895</w:t>
            </w:r>
          </w:p>
        </w:tc>
      </w:tr>
      <w:tr>
        <w:trPr>
          <w:trHeight w:val="257"/>
        </w:trPr>
        <w:tc>
          <w:tcPr>
            <w:tcW w:w="6060" w:type="dxa"/>
            <w:vAlign w:val="bottom"/>
          </w:tcPr>
          <w:p>
            <w:pPr>
              <w:spacing w:after="0"/>
              <w:rPr>
                <w:sz w:val="20"/>
                <w:szCs w:val="20"/>
                <w:color w:val="auto"/>
              </w:rPr>
            </w:pPr>
            <w:r>
              <w:rPr>
                <w:rFonts w:ascii="Arial" w:cs="Arial" w:eastAsia="Arial" w:hAnsi="Arial"/>
                <w:sz w:val="18"/>
                <w:szCs w:val="18"/>
                <w:color w:val="auto"/>
              </w:rPr>
              <w:t>Vehicle engineering</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4,855</w:t>
            </w:r>
          </w:p>
        </w:tc>
      </w:tr>
      <w:tr>
        <w:trPr>
          <w:trHeight w:val="263"/>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63"/>
        </w:trPr>
        <w:tc>
          <w:tcPr>
            <w:tcW w:w="6060" w:type="dxa"/>
            <w:vAlign w:val="bottom"/>
          </w:tcPr>
          <w:p>
            <w:pPr>
              <w:spacing w:after="0"/>
              <w:rPr>
                <w:sz w:val="20"/>
                <w:szCs w:val="20"/>
                <w:color w:val="auto"/>
              </w:rPr>
            </w:pPr>
            <w:r>
              <w:rPr>
                <w:rFonts w:ascii="Arial" w:cs="Arial" w:eastAsia="Arial" w:hAnsi="Arial"/>
                <w:sz w:val="18"/>
                <w:szCs w:val="18"/>
                <w:color w:val="auto"/>
              </w:rPr>
              <w:t>Total prepaid expenses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$21,840</w:t>
            </w:r>
          </w:p>
        </w:tc>
        <w:tc>
          <w:tcPr>
            <w:tcW w:w="2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29,610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-1019175</wp:posOffset>
            </wp:positionV>
            <wp:extent cx="436308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Current Assets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current assets as of December 31, 2020 and 2019 were as follows (in thousands):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420" w:type="dxa"/>
            <w:vAlign w:val="bottom"/>
            <w:gridSpan w:val="3"/>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60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6060" w:type="dxa"/>
            <w:vAlign w:val="bottom"/>
          </w:tcPr>
          <w:p>
            <w:pPr>
              <w:spacing w:after="0"/>
              <w:rPr>
                <w:sz w:val="17"/>
                <w:szCs w:val="17"/>
                <w:color w:val="auto"/>
              </w:rPr>
            </w:pPr>
          </w:p>
        </w:tc>
        <w:tc>
          <w:tcPr>
            <w:tcW w:w="600" w:type="dxa"/>
            <w:vAlign w:val="bottom"/>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2019</w:t>
            </w:r>
          </w:p>
        </w:tc>
      </w:tr>
      <w:tr>
        <w:trPr>
          <w:trHeight w:val="26"/>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Tenant allowance receivable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$12,905</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$20,463</w:t>
            </w:r>
          </w:p>
        </w:tc>
      </w:tr>
      <w:tr>
        <w:trPr>
          <w:trHeight w:val="263"/>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95"/>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current assets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$13,218</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$20,578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7197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-556260</wp:posOffset>
            </wp:positionV>
            <wp:extent cx="436308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Accrued and Long-term Liabilities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accrued liabilities as of December 31, 2020 and 2019 were as follows (in thousands):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59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5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r>
      <w:tr>
        <w:trPr>
          <w:trHeight w:val="25"/>
        </w:trPr>
        <w:tc>
          <w:tcPr>
            <w:tcW w:w="5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of Arizona plant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43,115</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$27,906</w:t>
            </w:r>
          </w:p>
        </w:tc>
      </w:tr>
      <w:tr>
        <w:trPr>
          <w:trHeight w:val="256"/>
        </w:trPr>
        <w:tc>
          <w:tcPr>
            <w:tcW w:w="5980" w:type="dxa"/>
            <w:vAlign w:val="bottom"/>
            <w:gridSpan w:val="2"/>
          </w:tcPr>
          <w:p>
            <w:pPr>
              <w:spacing w:after="0"/>
              <w:rPr>
                <w:sz w:val="20"/>
                <w:szCs w:val="20"/>
                <w:color w:val="auto"/>
              </w:rPr>
            </w:pPr>
            <w:r>
              <w:rPr>
                <w:rFonts w:ascii="Arial" w:cs="Arial" w:eastAsia="Arial" w:hAnsi="Arial"/>
                <w:sz w:val="18"/>
                <w:szCs w:val="18"/>
                <w:color w:val="auto"/>
              </w:rPr>
              <w:t>Engineering, design, and testing</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42,518</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11,179</w:t>
            </w:r>
          </w:p>
        </w:tc>
      </w:tr>
      <w:tr>
        <w:trPr>
          <w:trHeight w:val="25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Tooling</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15,243</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57"/>
        </w:trPr>
        <w:tc>
          <w:tcPr>
            <w:tcW w:w="598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9,083</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1,155</w:t>
            </w:r>
          </w:p>
        </w:tc>
      </w:tr>
      <w:tr>
        <w:trPr>
          <w:trHeight w:val="25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convertible preferred shares repurchase liability</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33,124</w:t>
            </w:r>
          </w:p>
        </w:tc>
        <w:tc>
          <w:tcPr>
            <w:tcW w:w="2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5,701</w:t>
            </w:r>
          </w:p>
        </w:tc>
      </w:tr>
      <w:tr>
        <w:trPr>
          <w:trHeight w:val="295"/>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accrued liabilities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146,083</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$46,079</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7197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36308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09" w:lineRule="exact"/>
        <w:rPr>
          <w:sz w:val="20"/>
          <w:szCs w:val="20"/>
          <w:color w:val="auto"/>
        </w:rPr>
      </w:pPr>
    </w:p>
    <w:p>
      <w:pPr>
        <w:jc w:val="right"/>
        <w:ind w:right="1199"/>
        <w:spacing w:after="0"/>
        <w:rPr>
          <w:sz w:val="20"/>
          <w:szCs w:val="20"/>
          <w:color w:val="auto"/>
        </w:rPr>
      </w:pPr>
      <w:r>
        <w:rPr>
          <w:rFonts w:ascii="Arial" w:cs="Arial" w:eastAsia="Arial" w:hAnsi="Arial"/>
          <w:sz w:val="18"/>
          <w:szCs w:val="18"/>
          <w:color w:val="auto"/>
        </w:rPr>
        <w:t>Other long-term liabilities as of December 31, 2020 and 2019 were as follows (in thousands):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42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60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6060" w:type="dxa"/>
            <w:vAlign w:val="bottom"/>
          </w:tcPr>
          <w:p>
            <w:pPr>
              <w:spacing w:after="0"/>
              <w:rPr>
                <w:sz w:val="17"/>
                <w:szCs w:val="17"/>
                <w:color w:val="auto"/>
              </w:rPr>
            </w:pP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2019</w:t>
            </w:r>
          </w:p>
        </w:tc>
      </w:tr>
      <w:tr>
        <w:trPr>
          <w:trHeight w:val="25"/>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$28,881</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$26,175</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Customer deposits</w:t>
            </w:r>
          </w:p>
        </w:tc>
        <w:tc>
          <w:tcPr>
            <w:tcW w:w="600" w:type="dxa"/>
            <w:vAlign w:val="bottom"/>
          </w:tcPr>
          <w:p>
            <w:pPr>
              <w:jc w:val="right"/>
              <w:spacing w:after="0"/>
              <w:rPr>
                <w:sz w:val="20"/>
                <w:szCs w:val="20"/>
                <w:color w:val="auto"/>
              </w:rPr>
            </w:pPr>
            <w:r>
              <w:rPr>
                <w:rFonts w:ascii="Arial" w:cs="Arial" w:eastAsia="Arial" w:hAnsi="Arial"/>
                <w:sz w:val="18"/>
                <w:szCs w:val="18"/>
                <w:color w:val="auto"/>
              </w:rPr>
              <w:t>8,028</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1,374</w:t>
            </w:r>
          </w:p>
        </w:tc>
      </w:tr>
      <w:tr>
        <w:trPr>
          <w:trHeight w:val="263"/>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70"/>
        </w:trPr>
        <w:tc>
          <w:tcPr>
            <w:tcW w:w="6060" w:type="dxa"/>
            <w:vAlign w:val="bottom"/>
          </w:tcPr>
          <w:p>
            <w:pPr>
              <w:spacing w:after="0"/>
              <w:rPr>
                <w:sz w:val="20"/>
                <w:szCs w:val="20"/>
                <w:color w:val="auto"/>
              </w:rPr>
            </w:pPr>
            <w:r>
              <w:rPr>
                <w:rFonts w:ascii="Arial" w:cs="Arial" w:eastAsia="Arial" w:hAnsi="Arial"/>
                <w:sz w:val="18"/>
                <w:szCs w:val="18"/>
                <w:color w:val="auto"/>
              </w:rPr>
              <w:t>Total other long-term liabilities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$38,905</w:t>
            </w:r>
          </w:p>
        </w:tc>
        <w:tc>
          <w:tcPr>
            <w:tcW w:w="220" w:type="dxa"/>
            <w:vAlign w:val="bottom"/>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$27,793</w:t>
            </w:r>
          </w:p>
        </w:tc>
      </w:tr>
      <w:tr>
        <w:trPr>
          <w:trHeight w:val="21"/>
        </w:trPr>
        <w:tc>
          <w:tcPr>
            <w:tcW w:w="6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-685165</wp:posOffset>
            </wp:positionV>
            <wp:extent cx="436308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9" w:name="page200"/>
    <w:bookmarkEnd w:id="199"/>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Plant, and Equipment, net</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Property, plant, and equipment as of December 31, 2020 and 2019 were as follows (in thousands):</w:t>
      </w:r>
    </w:p>
    <w:p>
      <w:pPr>
        <w:spacing w:after="0" w:line="18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6"/>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5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5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6"/>
        </w:trPr>
        <w:tc>
          <w:tcPr>
            <w:tcW w:w="5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57"/>
        </w:trPr>
        <w:tc>
          <w:tcPr>
            <w:tcW w:w="5880" w:type="dxa"/>
            <w:vAlign w:val="bottom"/>
            <w:gridSpan w:val="2"/>
          </w:tcPr>
          <w:p>
            <w:pPr>
              <w:spacing w:after="0"/>
              <w:rPr>
                <w:sz w:val="20"/>
                <w:szCs w:val="20"/>
                <w:color w:val="auto"/>
              </w:rPr>
            </w:pPr>
            <w:r>
              <w:rPr>
                <w:rFonts w:ascii="Arial" w:cs="Arial" w:eastAsia="Arial" w:hAnsi="Arial"/>
                <w:sz w:val="18"/>
                <w:szCs w:val="18"/>
                <w:color w:val="auto"/>
              </w:rPr>
              <w:t>Machinery</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28,830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13,127</w:t>
            </w:r>
          </w:p>
        </w:tc>
        <w:tc>
          <w:tcPr>
            <w:tcW w:w="60" w:type="dxa"/>
            <w:vAlign w:val="bottom"/>
          </w:tcPr>
          <w:p>
            <w:pPr>
              <w:spacing w:after="0"/>
              <w:rPr>
                <w:sz w:val="22"/>
                <w:szCs w:val="22"/>
                <w:color w:val="auto"/>
              </w:rPr>
            </w:pP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15,716</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w:t>
            </w:r>
          </w:p>
        </w:tc>
        <w:tc>
          <w:tcPr>
            <w:tcW w:w="60" w:type="dxa"/>
            <w:vAlign w:val="bottom"/>
          </w:tcPr>
          <w:p>
            <w:pPr>
              <w:spacing w:after="0"/>
              <w:rPr>
                <w:sz w:val="22"/>
                <w:szCs w:val="22"/>
                <w:color w:val="auto"/>
              </w:rPr>
            </w:pPr>
          </w:p>
        </w:tc>
      </w:tr>
      <w:tr>
        <w:trPr>
          <w:trHeight w:val="257"/>
        </w:trPr>
        <w:tc>
          <w:tcPr>
            <w:tcW w:w="58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47,187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10,441</w:t>
            </w:r>
          </w:p>
        </w:tc>
        <w:tc>
          <w:tcPr>
            <w:tcW w:w="60" w:type="dxa"/>
            <w:vAlign w:val="bottom"/>
          </w:tcPr>
          <w:p>
            <w:pPr>
              <w:spacing w:after="0"/>
              <w:rPr>
                <w:sz w:val="22"/>
                <w:szCs w:val="22"/>
                <w:color w:val="auto"/>
              </w:rPr>
            </w:pPr>
          </w:p>
        </w:tc>
      </w:tr>
      <w:tr>
        <w:trPr>
          <w:trHeight w:val="25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60" w:type="dxa"/>
            <w:vAlign w:val="bottom"/>
          </w:tcPr>
          <w:p>
            <w:pPr>
              <w:spacing w:after="0"/>
              <w:rPr>
                <w:sz w:val="22"/>
                <w:szCs w:val="22"/>
                <w:color w:val="auto"/>
              </w:rPr>
            </w:pPr>
          </w:p>
        </w:tc>
      </w:tr>
      <w:tr>
        <w:trPr>
          <w:trHeight w:val="256"/>
        </w:trPr>
        <w:tc>
          <w:tcPr>
            <w:tcW w:w="588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3,908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619</w:t>
            </w:r>
          </w:p>
        </w:tc>
        <w:tc>
          <w:tcPr>
            <w:tcW w:w="60" w:type="dxa"/>
            <w:vAlign w:val="bottom"/>
          </w:tcPr>
          <w:p>
            <w:pPr>
              <w:spacing w:after="0"/>
              <w:rPr>
                <w:sz w:val="22"/>
                <w:szCs w:val="22"/>
                <w:color w:val="auto"/>
              </w:rPr>
            </w:pPr>
          </w:p>
        </w:tc>
      </w:tr>
      <w:tr>
        <w:trPr>
          <w:trHeight w:val="26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636,851</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119,739</w:t>
            </w:r>
          </w:p>
        </w:tc>
        <w:tc>
          <w:tcPr>
            <w:tcW w:w="60" w:type="dxa"/>
            <w:vAlign w:val="bottom"/>
          </w:tcPr>
          <w:p>
            <w:pPr>
              <w:spacing w:after="0"/>
              <w:rPr>
                <w:sz w:val="22"/>
                <w:szCs w:val="22"/>
                <w:color w:val="auto"/>
              </w:rPr>
            </w:pPr>
          </w:p>
        </w:tc>
      </w:tr>
      <w:tr>
        <w:trPr>
          <w:trHeight w:val="256"/>
        </w:trPr>
        <w:tc>
          <w:tcPr>
            <w:tcW w:w="5880" w:type="dxa"/>
            <w:vAlign w:val="bottom"/>
            <w:gridSpan w:val="2"/>
          </w:tcPr>
          <w:p>
            <w:pPr>
              <w:spacing w:after="0"/>
              <w:rPr>
                <w:sz w:val="20"/>
                <w:szCs w:val="20"/>
                <w:color w:val="auto"/>
              </w:rPr>
            </w:pPr>
            <w:r>
              <w:rPr>
                <w:rFonts w:ascii="Arial" w:cs="Arial" w:eastAsia="Arial" w:hAnsi="Arial"/>
                <w:sz w:val="18"/>
                <w:szCs w:val="18"/>
                <w:color w:val="auto"/>
              </w:rPr>
              <w:t>Total property, plant, and equipment</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738,039</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157,367</w:t>
            </w:r>
          </w:p>
        </w:tc>
        <w:tc>
          <w:tcPr>
            <w:tcW w:w="60" w:type="dxa"/>
            <w:vAlign w:val="bottom"/>
          </w:tcPr>
          <w:p>
            <w:pPr>
              <w:spacing w:after="0"/>
              <w:rPr>
                <w:sz w:val="22"/>
                <w:szCs w:val="22"/>
                <w:color w:val="auto"/>
              </w:rPr>
            </w:pPr>
          </w:p>
        </w:tc>
      </w:tr>
      <w:tr>
        <w:trPr>
          <w:trHeight w:val="26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(24,771)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(14,554)</w:t>
            </w:r>
          </w:p>
        </w:tc>
        <w:tc>
          <w:tcPr>
            <w:tcW w:w="60" w:type="dxa"/>
            <w:vAlign w:val="bottom"/>
          </w:tcPr>
          <w:p>
            <w:pPr>
              <w:spacing w:after="0"/>
              <w:rPr>
                <w:sz w:val="22"/>
                <w:szCs w:val="22"/>
                <w:color w:val="auto"/>
              </w:rPr>
            </w:pPr>
          </w:p>
        </w:tc>
      </w:tr>
      <w:tr>
        <w:trPr>
          <w:trHeight w:val="270"/>
        </w:trPr>
        <w:tc>
          <w:tcPr>
            <w:tcW w:w="58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Property, plant, and equipment –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713,274</w:t>
            </w: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142,813</w:t>
            </w:r>
          </w:p>
        </w:tc>
        <w:tc>
          <w:tcPr>
            <w:tcW w:w="60" w:type="dxa"/>
            <w:vAlign w:val="bottom"/>
          </w:tcPr>
          <w:p>
            <w:pPr>
              <w:spacing w:after="0"/>
              <w:rPr>
                <w:sz w:val="23"/>
                <w:szCs w:val="23"/>
                <w:color w:val="auto"/>
              </w:rPr>
            </w:pPr>
          </w:p>
        </w:tc>
      </w:tr>
      <w:tr>
        <w:trPr>
          <w:trHeight w:val="21"/>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-1713865</wp:posOffset>
            </wp:positionV>
            <wp:extent cx="430339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303395" cy="8890"/>
                    </a:xfrm>
                    <a:prstGeom prst="rect">
                      <a:avLst/>
                    </a:prstGeom>
                    <a:noFill/>
                  </pic:spPr>
                </pic:pic>
              </a:graphicData>
            </a:graphic>
          </wp:anchor>
        </w:drawing>
      </w:r>
    </w:p>
    <w:p>
      <w:pPr>
        <w:spacing w:after="0" w:line="19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December 31,</w:t>
            </w:r>
          </w:p>
        </w:tc>
      </w:tr>
      <w:tr>
        <w:trPr>
          <w:trHeight w:val="25"/>
        </w:trPr>
        <w:tc>
          <w:tcPr>
            <w:tcW w:w="5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8"/>
        </w:trPr>
        <w:tc>
          <w:tcPr>
            <w:tcW w:w="5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r>
      <w:tr>
        <w:trPr>
          <w:trHeight w:val="25"/>
        </w:trPr>
        <w:tc>
          <w:tcPr>
            <w:tcW w:w="5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Tooling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$203,241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27,025</w:t>
            </w:r>
          </w:p>
        </w:tc>
      </w:tr>
      <w:tr>
        <w:trPr>
          <w:trHeight w:val="257"/>
        </w:trPr>
        <w:tc>
          <w:tcPr>
            <w:tcW w:w="5900" w:type="dxa"/>
            <w:vAlign w:val="bottom"/>
            <w:gridSpan w:val="2"/>
          </w:tcPr>
          <w:p>
            <w:pPr>
              <w:spacing w:after="0"/>
              <w:rPr>
                <w:sz w:val="20"/>
                <w:szCs w:val="20"/>
                <w:color w:val="auto"/>
              </w:rPr>
            </w:pPr>
            <w:r>
              <w:rPr>
                <w:rFonts w:ascii="Arial" w:cs="Arial" w:eastAsia="Arial" w:hAnsi="Arial"/>
                <w:sz w:val="18"/>
                <w:szCs w:val="18"/>
                <w:color w:val="auto"/>
              </w:rPr>
              <w:t>Construction of Arizona plant</w:t>
            </w:r>
          </w:p>
        </w:tc>
        <w:tc>
          <w:tcPr>
            <w:tcW w:w="680" w:type="dxa"/>
            <w:vAlign w:val="bottom"/>
          </w:tcPr>
          <w:p>
            <w:pPr>
              <w:jc w:val="right"/>
              <w:spacing w:after="0"/>
              <w:rPr>
                <w:sz w:val="20"/>
                <w:szCs w:val="20"/>
                <w:color w:val="auto"/>
              </w:rPr>
            </w:pPr>
            <w:r>
              <w:rPr>
                <w:rFonts w:ascii="Arial" w:cs="Arial" w:eastAsia="Arial" w:hAnsi="Arial"/>
                <w:sz w:val="18"/>
                <w:szCs w:val="18"/>
                <w:color w:val="auto"/>
              </w:rPr>
              <w:t>171,532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59,842</w:t>
            </w:r>
          </w:p>
        </w:tc>
      </w:tr>
      <w:tr>
        <w:trPr>
          <w:trHeight w:val="25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22,667</w:t>
            </w:r>
          </w:p>
        </w:tc>
      </w:tr>
      <w:tr>
        <w:trPr>
          <w:trHeight w:val="264"/>
        </w:trPr>
        <w:tc>
          <w:tcPr>
            <w:tcW w:w="5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Machinery and equipment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211,288</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w:t>
            </w:r>
          </w:p>
        </w:tc>
      </w:tr>
      <w:tr>
        <w:trPr>
          <w:trHeight w:val="295"/>
        </w:trPr>
        <w:tc>
          <w:tcPr>
            <w:tcW w:w="5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construction in progress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$636,851</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119,739</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2054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32054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31165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311650" cy="8890"/>
                    </a:xfrm>
                    <a:prstGeom prst="rect">
                      <a:avLst/>
                    </a:prstGeom>
                    <a:noFill/>
                  </pic:spPr>
                </pic:pic>
              </a:graphicData>
            </a:graphic>
          </wp:anchor>
        </w:drawing>
      </w:r>
    </w:p>
    <w:p>
      <w:pPr>
        <w:spacing w:after="0" w:line="195"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Depreciation and amortization expense for the years ended December 31, 2020 and 2019, was approximately $10.2 million and $3.8 million, respectively, including capital lease depreciation expense of approximately $0.5 million and $0.2 million, respectively.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FAIR VALUE OF FINANCIAL INSTRUMENTS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The accounting standard established a fair value hierarchy, which requires an entity to maximize the use of observable inputs, where available. This hierarchy prioritizes the inputs into three broad levels as follows:</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0" w:name="page201"/>
    <w:bookmarkEnd w:id="200"/>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9" w:lineRule="exact"/>
        <w:rPr>
          <w:sz w:val="20"/>
          <w:szCs w:val="20"/>
          <w:color w:val="auto"/>
        </w:rPr>
      </w:pPr>
    </w:p>
    <w:p>
      <w:pPr>
        <w:ind w:left="1800" w:right="559" w:hanging="180"/>
        <w:spacing w:after="0" w:line="277" w:lineRule="auto"/>
        <w:tabs>
          <w:tab w:leader="none" w:pos="18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that are accessible at the measurement date for identical assets or liabilities.</w:t>
      </w:r>
    </w:p>
    <w:p>
      <w:pPr>
        <w:spacing w:after="0" w:line="89"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92" w:lineRule="exact"/>
        <w:rPr>
          <w:rFonts w:ascii="Arial" w:cs="Arial" w:eastAsia="Arial" w:hAnsi="Arial"/>
          <w:sz w:val="18"/>
          <w:szCs w:val="18"/>
          <w:color w:val="auto"/>
        </w:rPr>
      </w:pPr>
    </w:p>
    <w:p>
      <w:pPr>
        <w:ind w:left="1800" w:right="679" w:hanging="180"/>
        <w:spacing w:after="0" w:line="257" w:lineRule="auto"/>
        <w:tabs>
          <w:tab w:leader="none" w:pos="18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Level 3 — 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might result in a significantly higher or lower measurement.</w:t>
      </w:r>
    </w:p>
    <w:p>
      <w:pPr>
        <w:spacing w:after="0" w:line="12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Level 1 investments consist solely of short-term and long-term restricted cash valued at amortized cost that approximates fair value. Level 2 investments consist solely of certificate of deposits. Level 3 liabilities consist of convertible preferred share warrant liability and contingent forward contract liability, in which the fair value was measured upon issuance and is remeasured at each reporting date. The valuation methodology and underlying assumptions are discussed further in Note 6 “Contingent Forward Contracts” and Note 7 “Convertible Preferred Share Warrant Liability”.</w:t>
      </w:r>
    </w:p>
    <w:p>
      <w:pPr>
        <w:spacing w:after="0" w:line="111"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The following table sets forth the Company’s financial assets and liabilities subject to fair value measurements on a recurring basis by level within the fair value hierarchy as of December 31, 2020 (in thousands):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6"/>
                <w:szCs w:val="16"/>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Total</w:t>
            </w:r>
          </w:p>
        </w:tc>
      </w:tr>
      <w:tr>
        <w:trPr>
          <w:trHeight w:val="25"/>
        </w:trPr>
        <w:tc>
          <w:tcPr>
            <w:tcW w:w="5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5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57"/>
        </w:trPr>
        <w:tc>
          <w:tcPr>
            <w:tcW w:w="5400" w:type="dxa"/>
            <w:vAlign w:val="bottom"/>
          </w:tcPr>
          <w:p>
            <w:pPr>
              <w:spacing w:after="0"/>
              <w:rPr>
                <w:sz w:val="20"/>
                <w:szCs w:val="20"/>
                <w:color w:val="auto"/>
              </w:rPr>
            </w:pPr>
            <w:r>
              <w:rPr>
                <w:rFonts w:ascii="Arial" w:cs="Arial" w:eastAsia="Arial" w:hAnsi="Arial"/>
                <w:sz w:val="18"/>
                <w:szCs w:val="18"/>
                <w:color w:val="auto"/>
              </w:rPr>
              <w:t>Short-term investment–</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6"/>
        </w:trPr>
        <w:tc>
          <w:tcPr>
            <w:tcW w:w="5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505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57"/>
        </w:trPr>
        <w:tc>
          <w:tcPr>
            <w:tcW w:w="5400" w:type="dxa"/>
            <w:vAlign w:val="bottom"/>
          </w:tcPr>
          <w:p>
            <w:pPr>
              <w:ind w:left="180"/>
              <w:spacing w:after="0"/>
              <w:rPr>
                <w:sz w:val="20"/>
                <w:szCs w:val="20"/>
                <w:color w:val="auto"/>
              </w:rPr>
            </w:pPr>
            <w:r>
              <w:rPr>
                <w:rFonts w:ascii="Arial" w:cs="Arial" w:eastAsia="Arial" w:hAnsi="Arial"/>
                <w:sz w:val="18"/>
                <w:szCs w:val="18"/>
                <w:color w:val="auto"/>
              </w:rPr>
              <w:t>Restricted cash – short term</w:t>
            </w:r>
          </w:p>
        </w:tc>
        <w:tc>
          <w:tcPr>
            <w:tcW w:w="10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11,278</w:t>
            </w:r>
          </w:p>
        </w:tc>
        <w:tc>
          <w:tcPr>
            <w:tcW w:w="80" w:type="dxa"/>
            <w:vAlign w:val="bottom"/>
          </w:tcPr>
          <w:p>
            <w:pPr>
              <w:spacing w:after="0"/>
              <w:rPr>
                <w:sz w:val="22"/>
                <w:szCs w:val="2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11,278</w:t>
            </w:r>
          </w:p>
        </w:tc>
      </w:tr>
      <w:tr>
        <w:trPr>
          <w:trHeight w:val="263"/>
        </w:trPr>
        <w:tc>
          <w:tcPr>
            <w:tcW w:w="5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 long term</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14,728</w:t>
            </w:r>
          </w:p>
        </w:tc>
        <w:tc>
          <w:tcPr>
            <w:tcW w:w="2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14,728</w:t>
            </w:r>
          </w:p>
        </w:tc>
      </w:tr>
      <w:tr>
        <w:trPr>
          <w:trHeight w:val="20"/>
        </w:trPr>
        <w:tc>
          <w:tcPr>
            <w:tcW w:w="5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26,006</w:t>
            </w:r>
          </w:p>
        </w:tc>
        <w:tc>
          <w:tcPr>
            <w:tcW w:w="2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6"/>
              </w:rPr>
              <w:t>505</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26,511</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63"/>
        </w:trPr>
        <w:tc>
          <w:tcPr>
            <w:tcW w:w="5400" w:type="dxa"/>
            <w:vAlign w:val="bottom"/>
          </w:tcPr>
          <w:p>
            <w:pPr>
              <w:ind w:left="180"/>
              <w:spacing w:after="0"/>
              <w:rPr>
                <w:sz w:val="20"/>
                <w:szCs w:val="20"/>
                <w:color w:val="auto"/>
              </w:rPr>
            </w:pPr>
            <w:r>
              <w:rPr>
                <w:rFonts w:ascii="Arial" w:cs="Arial" w:eastAsia="Arial" w:hAnsi="Arial"/>
                <w:sz w:val="18"/>
                <w:szCs w:val="18"/>
                <w:color w:val="auto"/>
              </w:rPr>
              <w:t>Convertible preferred share warrant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2,960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2,960</w:t>
            </w:r>
          </w:p>
        </w:tc>
      </w:tr>
      <w:tr>
        <w:trPr>
          <w:trHeight w:val="20"/>
        </w:trPr>
        <w:tc>
          <w:tcPr>
            <w:tcW w:w="5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90"/>
        </w:trPr>
        <w:tc>
          <w:tcPr>
            <w:tcW w:w="5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2,960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-213995</wp:posOffset>
            </wp:positionV>
            <wp:extent cx="14605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37197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-1567815</wp:posOffset>
            </wp:positionV>
            <wp:extent cx="1371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-1567815</wp:posOffset>
            </wp:positionV>
            <wp:extent cx="436308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22"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The following table sets forth the Company’s financial assets and liabilities subject to fair value measurements on a recurring basis by level within the fair value hierarchy as of December 31, 2019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1" w:name="page202"/>
    <w:bookmarkEnd w:id="201"/>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1</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Total</w:t>
            </w:r>
          </w:p>
        </w:tc>
      </w:tr>
      <w:tr>
        <w:trPr>
          <w:trHeight w:val="26"/>
        </w:trPr>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5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57"/>
        </w:trPr>
        <w:tc>
          <w:tcPr>
            <w:tcW w:w="5320" w:type="dxa"/>
            <w:vAlign w:val="bottom"/>
          </w:tcPr>
          <w:p>
            <w:pPr>
              <w:spacing w:after="0"/>
              <w:rPr>
                <w:sz w:val="20"/>
                <w:szCs w:val="20"/>
                <w:color w:val="auto"/>
              </w:rPr>
            </w:pPr>
            <w:r>
              <w:rPr>
                <w:rFonts w:ascii="Arial" w:cs="Arial" w:eastAsia="Arial" w:hAnsi="Arial"/>
                <w:sz w:val="18"/>
                <w:szCs w:val="18"/>
                <w:color w:val="auto"/>
              </w:rPr>
              <w:t>Short-term investment-</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6"/>
        </w:trPr>
        <w:tc>
          <w:tcPr>
            <w:tcW w:w="5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 of deposit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505</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57"/>
        </w:trPr>
        <w:tc>
          <w:tcPr>
            <w:tcW w:w="5320" w:type="dxa"/>
            <w:vAlign w:val="bottom"/>
          </w:tcPr>
          <w:p>
            <w:pPr>
              <w:ind w:left="180"/>
              <w:spacing w:after="0"/>
              <w:rPr>
                <w:sz w:val="20"/>
                <w:szCs w:val="20"/>
                <w:color w:val="auto"/>
              </w:rPr>
            </w:pPr>
            <w:r>
              <w:rPr>
                <w:rFonts w:ascii="Arial" w:cs="Arial" w:eastAsia="Arial" w:hAnsi="Arial"/>
                <w:sz w:val="18"/>
                <w:szCs w:val="18"/>
                <w:color w:val="auto"/>
              </w:rPr>
              <w:t>Restricted cash – short term</w:t>
            </w:r>
          </w:p>
        </w:tc>
        <w:tc>
          <w:tcPr>
            <w:tcW w:w="8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19,767</w:t>
            </w:r>
          </w:p>
        </w:tc>
        <w:tc>
          <w:tcPr>
            <w:tcW w:w="100" w:type="dxa"/>
            <w:vAlign w:val="bottom"/>
          </w:tcPr>
          <w:p>
            <w:pPr>
              <w:spacing w:after="0"/>
              <w:rPr>
                <w:sz w:val="22"/>
                <w:szCs w:val="22"/>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19,767</w:t>
            </w:r>
          </w:p>
        </w:tc>
      </w:tr>
      <w:tr>
        <w:trPr>
          <w:trHeight w:val="263"/>
        </w:trPr>
        <w:tc>
          <w:tcPr>
            <w:tcW w:w="5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 long term</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r>
      <w:tr>
        <w:trPr>
          <w:trHeight w:val="20"/>
        </w:trPr>
        <w:tc>
          <w:tcPr>
            <w:tcW w:w="5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27,967</w:t>
            </w:r>
          </w:p>
        </w:tc>
        <w:tc>
          <w:tcPr>
            <w:tcW w:w="2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505</w:t>
            </w:r>
          </w:p>
        </w:tc>
        <w:tc>
          <w:tcPr>
            <w:tcW w:w="2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28,472</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57"/>
        </w:trPr>
        <w:tc>
          <w:tcPr>
            <w:tcW w:w="5320" w:type="dxa"/>
            <w:vAlign w:val="bottom"/>
          </w:tcPr>
          <w:p>
            <w:pPr>
              <w:ind w:left="180"/>
              <w:spacing w:after="0"/>
              <w:rPr>
                <w:sz w:val="20"/>
                <w:szCs w:val="20"/>
                <w:color w:val="auto"/>
              </w:rPr>
            </w:pPr>
            <w:r>
              <w:rPr>
                <w:rFonts w:ascii="Arial" w:cs="Arial" w:eastAsia="Arial" w:hAnsi="Arial"/>
                <w:sz w:val="18"/>
                <w:szCs w:val="18"/>
                <w:color w:val="auto"/>
              </w:rPr>
              <w:t>Convertible preferred share warrant liability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1,755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1,755</w:t>
            </w:r>
          </w:p>
        </w:tc>
      </w:tr>
      <w:tr>
        <w:trPr>
          <w:trHeight w:val="263"/>
        </w:trPr>
        <w:tc>
          <w:tcPr>
            <w:tcW w:w="5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forward contracts liability</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30,844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30,844</w:t>
            </w:r>
          </w:p>
        </w:tc>
      </w:tr>
      <w:tr>
        <w:trPr>
          <w:trHeight w:val="20"/>
        </w:trPr>
        <w:tc>
          <w:tcPr>
            <w:tcW w:w="5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32,599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32,599</w:t>
            </w:r>
          </w:p>
        </w:tc>
      </w:tr>
      <w:tr>
        <w:trPr>
          <w:trHeight w:val="21"/>
        </w:trPr>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-1731010</wp:posOffset>
            </wp:positionV>
            <wp:extent cx="13716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-1731010</wp:posOffset>
            </wp:positionV>
            <wp:extent cx="430339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95"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A reconciliation of the contingent forward contract liability measured and recorded at fair value on a recurring basis is as follows (in thousands):</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Fair value-December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15,791</w:t>
            </w:r>
          </w:p>
        </w:tc>
        <w:tc>
          <w:tcPr>
            <w:tcW w:w="60" w:type="dxa"/>
            <w:vAlign w:val="bottom"/>
          </w:tcPr>
          <w:p>
            <w:pPr>
              <w:spacing w:after="0"/>
              <w:rPr>
                <w:sz w:val="17"/>
                <w:szCs w:val="17"/>
                <w:color w:val="auto"/>
              </w:rPr>
            </w:pPr>
          </w:p>
        </w:tc>
      </w:tr>
      <w:tr>
        <w:trPr>
          <w:trHeight w:val="263"/>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15,053</w:t>
            </w:r>
          </w:p>
        </w:tc>
        <w:tc>
          <w:tcPr>
            <w:tcW w:w="60" w:type="dxa"/>
            <w:vAlign w:val="bottom"/>
          </w:tcPr>
          <w:p>
            <w:pPr>
              <w:spacing w:after="0"/>
              <w:rPr>
                <w:sz w:val="22"/>
                <w:szCs w:val="22"/>
                <w:color w:val="auto"/>
              </w:rPr>
            </w:pPr>
          </w:p>
        </w:tc>
      </w:tr>
      <w:tr>
        <w:trPr>
          <w:trHeight w:val="25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Fair value-December 31, 2019</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30,844</w:t>
            </w:r>
          </w:p>
        </w:tc>
        <w:tc>
          <w:tcPr>
            <w:tcW w:w="60" w:type="dxa"/>
            <w:vAlign w:val="bottom"/>
          </w:tcPr>
          <w:p>
            <w:pPr>
              <w:spacing w:after="0"/>
              <w:rPr>
                <w:sz w:val="22"/>
                <w:szCs w:val="22"/>
                <w:color w:val="auto"/>
              </w:rPr>
            </w:pPr>
          </w:p>
        </w:tc>
      </w:tr>
      <w:tr>
        <w:trPr>
          <w:trHeight w:val="256"/>
        </w:trPr>
        <w:tc>
          <w:tcPr>
            <w:tcW w:w="6740" w:type="dxa"/>
            <w:vAlign w:val="bottom"/>
          </w:tcPr>
          <w:p>
            <w:pPr>
              <w:spacing w:after="0"/>
              <w:rPr>
                <w:sz w:val="20"/>
                <w:szCs w:val="20"/>
                <w:color w:val="auto"/>
              </w:rPr>
            </w:pPr>
            <w:r>
              <w:rPr>
                <w:rFonts w:ascii="Arial" w:cs="Arial" w:eastAsia="Arial" w:hAnsi="Arial"/>
                <w:sz w:val="18"/>
                <w:szCs w:val="18"/>
                <w:color w:val="auto"/>
              </w:rPr>
              <w:t>Change in fair value of Series D contingent forward contract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8,720</w:t>
            </w:r>
          </w:p>
        </w:tc>
        <w:tc>
          <w:tcPr>
            <w:tcW w:w="60" w:type="dxa"/>
            <w:vAlign w:val="bottom"/>
          </w:tcPr>
          <w:p>
            <w:pPr>
              <w:spacing w:after="0"/>
              <w:rPr>
                <w:sz w:val="22"/>
                <w:szCs w:val="22"/>
                <w:color w:val="auto"/>
              </w:rPr>
            </w:pPr>
          </w:p>
        </w:tc>
      </w:tr>
      <w:tr>
        <w:trPr>
          <w:trHeight w:val="25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Settlement of Series D contingent forward contract</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(39,563)</w:t>
            </w:r>
          </w:p>
        </w:tc>
        <w:tc>
          <w:tcPr>
            <w:tcW w:w="60" w:type="dxa"/>
            <w:vAlign w:val="bottom"/>
          </w:tcPr>
          <w:p>
            <w:pPr>
              <w:spacing w:after="0"/>
              <w:rPr>
                <w:sz w:val="22"/>
                <w:szCs w:val="22"/>
                <w:color w:val="auto"/>
              </w:rPr>
            </w:pP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Issuance of Series E contingent forward contract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793</w:t>
            </w:r>
          </w:p>
        </w:tc>
        <w:tc>
          <w:tcPr>
            <w:tcW w:w="60" w:type="dxa"/>
            <w:vAlign w:val="bottom"/>
          </w:tcPr>
          <w:p>
            <w:pPr>
              <w:spacing w:after="0"/>
              <w:rPr>
                <w:sz w:val="22"/>
                <w:szCs w:val="22"/>
                <w:color w:val="auto"/>
              </w:rPr>
            </w:pPr>
          </w:p>
        </w:tc>
      </w:tr>
      <w:tr>
        <w:trPr>
          <w:trHeight w:val="25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Series E contingent forward contract</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109,662</w:t>
            </w:r>
          </w:p>
        </w:tc>
        <w:tc>
          <w:tcPr>
            <w:tcW w:w="60" w:type="dxa"/>
            <w:vAlign w:val="bottom"/>
          </w:tcPr>
          <w:p>
            <w:pPr>
              <w:spacing w:after="0"/>
              <w:rPr>
                <w:sz w:val="22"/>
                <w:szCs w:val="22"/>
                <w:color w:val="auto"/>
              </w:rPr>
            </w:pPr>
          </w:p>
        </w:tc>
      </w:tr>
      <w:tr>
        <w:trPr>
          <w:trHeight w:val="264"/>
        </w:trPr>
        <w:tc>
          <w:tcPr>
            <w:tcW w:w="6740" w:type="dxa"/>
            <w:vAlign w:val="bottom"/>
          </w:tcPr>
          <w:p>
            <w:pPr>
              <w:spacing w:after="0"/>
              <w:rPr>
                <w:sz w:val="20"/>
                <w:szCs w:val="20"/>
                <w:color w:val="auto"/>
              </w:rPr>
            </w:pPr>
            <w:r>
              <w:rPr>
                <w:rFonts w:ascii="Arial" w:cs="Arial" w:eastAsia="Arial" w:hAnsi="Arial"/>
                <w:sz w:val="18"/>
                <w:szCs w:val="18"/>
                <w:color w:val="auto"/>
              </w:rPr>
              <w:t>Settlement of Series E contingent forward contract</w:t>
            </w: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(110,456)</w:t>
            </w:r>
          </w:p>
        </w:tc>
      </w:tr>
      <w:tr>
        <w:trPr>
          <w:trHeight w:val="295"/>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value-December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7736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2773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95"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A reconciliation of the convertible preferred share warrant liabilities measured and recorded at fair value on a recurring basis is as follows (in thousands):</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Fair value-December 31, 2018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$1,349</w:t>
            </w:r>
          </w:p>
        </w:tc>
      </w:tr>
      <w:tr>
        <w:trPr>
          <w:trHeight w:val="263"/>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5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Fair value-December 31, 2019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r>
      <w:tr>
        <w:trPr>
          <w:trHeight w:val="263"/>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r>
      <w:tr>
        <w:trPr>
          <w:trHeight w:val="295"/>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value-December 31, 2020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$2,960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43166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43166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CONVERTIBLE NOTES</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7"/>
          <w:szCs w:val="17"/>
          <w:color w:val="auto"/>
        </w:rPr>
        <w:t>In September 2018, the Company entered into a securities purchase agreement (the “Security Purchase Agreement”) of $1.3 billion with the Public Investment Fund (“PIF”) of Saudi Arabia. Among the</w:t>
      </w:r>
    </w:p>
    <w:p>
      <w:pPr>
        <w:spacing w:after="0" w:line="1" w:lineRule="exact"/>
        <w:rPr>
          <w:sz w:val="20"/>
          <w:szCs w:val="20"/>
          <w:color w:val="auto"/>
        </w:rPr>
      </w:pPr>
    </w:p>
    <w:p>
      <w:pPr>
        <w:ind w:left="1260" w:right="419"/>
        <w:spacing w:after="0" w:line="236" w:lineRule="auto"/>
        <w:rPr>
          <w:sz w:val="20"/>
          <w:szCs w:val="20"/>
          <w:color w:val="auto"/>
        </w:rPr>
      </w:pPr>
      <w:r>
        <w:rPr>
          <w:rFonts w:ascii="Arial" w:cs="Arial" w:eastAsia="Arial" w:hAnsi="Arial"/>
          <w:sz w:val="18"/>
          <w:szCs w:val="18"/>
          <w:color w:val="auto"/>
        </w:rPr>
        <w:t>$1.3 billion investment, $ 300.0 million of the Security Purchase Agreement was funded by Convertible Notes, and the remaining $1.0 billion will be funded by Series D convertible preferred shares (“Series D”). The initial investment from the investor was in the form of convertible notes (the “Convertible Notes”), representing a total investment amount of $300.0 million, as follows: (i) initial Convertible Notes issued in September 2018 of $119.0 million ($120.0 million net of $1.0 million payment to third parties on behalf of PIF) and (ii) follow-on installment Convertible Notes of $30.0 million per month from October 2018 to March 2019. Interest rates for the Convertible Notes is 8% per annum. Convertible Notes outstanding at December 31, 2018 was $209.0 million. The additional follow-on installments came in as scheduled through March 2019 for a total of additional $90.0 million of Convertible Notes. Upon approval by the Committee on Foreign</w:t>
      </w:r>
    </w:p>
    <w:p>
      <w:pPr>
        <w:sectPr>
          <w:pgSz w:w="11900" w:h="16838" w:orient="portrait"/>
          <w:cols w:equalWidth="0" w:num="1">
            <w:col w:w="9879"/>
          </w:cols>
          <w:pgMar w:left="580" w:top="132" w:right="1440" w:bottom="1440" w:gutter="0" w:footer="0" w:header="0"/>
        </w:sectPr>
      </w:pPr>
    </w:p>
    <w:p>
      <w:pPr>
        <w:spacing w:after="0" w:line="37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2" w:name="page203"/>
    <w:bookmarkEnd w:id="202"/>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Investment in the United States (CFIUS) of the Series D convertible preferred share financing in</w:t>
      </w:r>
    </w:p>
    <w:p>
      <w:pPr>
        <w:spacing w:after="0" w:line="12" w:lineRule="exact"/>
        <w:rPr>
          <w:sz w:val="20"/>
          <w:szCs w:val="20"/>
          <w:color w:val="auto"/>
        </w:rPr>
      </w:pPr>
    </w:p>
    <w:p>
      <w:pPr>
        <w:ind w:left="1260" w:right="519"/>
        <w:spacing w:after="0" w:line="238" w:lineRule="auto"/>
        <w:rPr>
          <w:sz w:val="20"/>
          <w:szCs w:val="20"/>
          <w:color w:val="auto"/>
        </w:rPr>
      </w:pPr>
      <w:r>
        <w:rPr>
          <w:rFonts w:ascii="Arial" w:cs="Arial" w:eastAsia="Arial" w:hAnsi="Arial"/>
          <w:sz w:val="18"/>
          <w:szCs w:val="18"/>
          <w:color w:val="auto"/>
        </w:rPr>
        <w:t>March 2019, in April 2019, the Company received the first tranche of Series D convertible preferred shares of $200.0 million, and all the principal and accrued interest of the Convertible Notes converted into Series D convertible preferred shares. Refer to Note 8 “Convertible Preferred Shares and Shareholders’ Deficit” for Series D convertible preferred share issuance details.</w:t>
      </w:r>
    </w:p>
    <w:p>
      <w:pPr>
        <w:spacing w:after="0" w:line="108"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7"/>
          <w:szCs w:val="17"/>
          <w:color w:val="auto"/>
        </w:rPr>
        <w:t>Along with the Convertible Notes issuance, the Company granted PIF contingent forward contracts to participate in the future Series D convertible preferred share financing. The contingent forward contracts were determined to be accounted for similar to a derivative and the initial fair value was recorded as a debt discount and contingent forward contracts liability on the Convertible Notes issuance date. The initial contingent forward contract liability fair value of $18.6 million was determined utilizing the market approach, including both the back-solve method and the guideline public company method, and was subsequently remeasured to fair value each reporting period with the changes recorded in the consolidated statements of operations. Refer to Note 6 “Contingent Forward Contracts” for detail.</w:t>
      </w:r>
    </w:p>
    <w:p>
      <w:pPr>
        <w:spacing w:after="0" w:line="86"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Per the Security Purchase Agreement, the Company was required to pay an advisory fee to the advisor who helped the Company secure the transaction with the investor no later than September 2019. The Company incurred approximately $13.7 million in transaction costs in connection with the issuance of the Convertible Notes. In accordance with accounting for debt with conversions and other options, transaction costs were allocated pro rata based on the liability and equity components of $300.0 million and</w:t>
      </w:r>
    </w:p>
    <w:p>
      <w:pPr>
        <w:spacing w:after="0" w:line="2" w:lineRule="exact"/>
        <w:rPr>
          <w:sz w:val="20"/>
          <w:szCs w:val="20"/>
          <w:color w:val="auto"/>
        </w:rPr>
      </w:pPr>
    </w:p>
    <w:p>
      <w:pPr>
        <w:jc w:val="both"/>
        <w:ind w:left="1260" w:right="559"/>
        <w:spacing w:after="0" w:line="239" w:lineRule="auto"/>
        <w:rPr>
          <w:sz w:val="20"/>
          <w:szCs w:val="20"/>
          <w:color w:val="auto"/>
        </w:rPr>
      </w:pPr>
      <w:r>
        <w:rPr>
          <w:rFonts w:ascii="Arial" w:cs="Arial" w:eastAsia="Arial" w:hAnsi="Arial"/>
          <w:sz w:val="18"/>
          <w:szCs w:val="18"/>
          <w:color w:val="auto"/>
        </w:rPr>
        <w:t>$1.0 billion, respectively. As such, $3.2 million of the transaction cost was allocated to debt issuance costs for the Convertible Notes, and $0.3 million of the transaction cost was allocated to share issuance costs for Series D convertible preferred shares in 2019.</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amortized the total debt issuance cost of the Convertible Notes in the amount of</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$21.8 million, consisting of the $18.6 debt discount and the $3.2 million allocated transaction cost over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Convertible Notes term of 18 months starting in September 2018 under the effective interest method.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effective interest rate of the Convertible Notes is 2.47% per annum. The amortization of the debt issuance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costs was $3.4 million for the year ended December 31, 2019. The following table sets forth interest</w:t>
      </w:r>
    </w:p>
    <w:p>
      <w:pPr>
        <w:ind w:left="1260"/>
        <w:spacing w:after="0"/>
        <w:rPr>
          <w:sz w:val="20"/>
          <w:szCs w:val="20"/>
          <w:color w:val="auto"/>
        </w:rPr>
      </w:pPr>
      <w:r>
        <w:rPr>
          <w:rFonts w:ascii="Arial" w:cs="Arial" w:eastAsia="Arial" w:hAnsi="Arial"/>
          <w:sz w:val="17"/>
          <w:szCs w:val="17"/>
          <w:color w:val="auto"/>
        </w:rPr>
        <w:t>expense information related to the Convertible Notes for the year ended December 31, 2019 (in thousands):</w:t>
      </w:r>
    </w:p>
    <w:p>
      <w:pPr>
        <w:spacing w:after="0" w:line="17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11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Year Ended</w:t>
            </w:r>
          </w:p>
        </w:tc>
      </w:tr>
      <w:tr>
        <w:trPr>
          <w:trHeight w:val="186"/>
        </w:trPr>
        <w:tc>
          <w:tcPr>
            <w:tcW w:w="6340" w:type="dxa"/>
            <w:vAlign w:val="bottom"/>
          </w:tcPr>
          <w:p>
            <w:pPr>
              <w:spacing w:after="0"/>
              <w:rPr>
                <w:sz w:val="16"/>
                <w:szCs w:val="16"/>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December 31, 2019</w:t>
            </w:r>
          </w:p>
        </w:tc>
      </w:tr>
      <w:tr>
        <w:trPr>
          <w:trHeight w:val="25"/>
        </w:trPr>
        <w:tc>
          <w:tcPr>
            <w:tcW w:w="6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5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issuance costs allocated to Convertible Notes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320" w:type="dxa"/>
            <w:vAlign w:val="bottom"/>
            <w:shd w:val="clear" w:color="auto" w:fill="CCEEFF"/>
          </w:tcPr>
          <w:p>
            <w:pPr>
              <w:spacing w:after="0"/>
              <w:rPr>
                <w:sz w:val="21"/>
                <w:szCs w:val="21"/>
                <w:color w:val="auto"/>
              </w:rPr>
            </w:pPr>
          </w:p>
        </w:tc>
      </w:tr>
      <w:tr>
        <w:trPr>
          <w:trHeight w:val="263"/>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debt discount from contingent forward contracts (Note 6)</w:t>
            </w: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2,900</w:t>
            </w:r>
          </w:p>
        </w:tc>
        <w:tc>
          <w:tcPr>
            <w:tcW w:w="320" w:type="dxa"/>
            <w:vAlign w:val="bottom"/>
            <w:tcBorders>
              <w:bottom w:val="single" w:sz="8" w:color="CCEEFF"/>
            </w:tcBorders>
          </w:tcPr>
          <w:p>
            <w:pPr>
              <w:spacing w:after="0"/>
              <w:rPr>
                <w:sz w:val="22"/>
                <w:szCs w:val="22"/>
                <w:color w:val="auto"/>
              </w:rPr>
            </w:pPr>
          </w:p>
        </w:tc>
      </w:tr>
      <w:tr>
        <w:trPr>
          <w:trHeight w:val="29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3,394</w:t>
            </w:r>
          </w:p>
        </w:tc>
        <w:tc>
          <w:tcPr>
            <w:tcW w:w="320" w:type="dxa"/>
            <w:vAlign w:val="bottom"/>
            <w:shd w:val="clear" w:color="auto" w:fill="CCEEFF"/>
          </w:tcPr>
          <w:p>
            <w:pPr>
              <w:spacing w:after="0"/>
              <w:rPr>
                <w:sz w:val="24"/>
                <w:szCs w:val="24"/>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02018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141"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After CFIUS granted approval of the investment in March 2019, the Company converted all outstanding Convertible Notes into Series D convertible preferred shares in April 2019. The conversion consists of the $263.2 million Convertible Notes net of debt issuance costs and accrued interest of $8.8 million. See below for the conversion details:</w:t>
      </w:r>
    </w:p>
    <w:p>
      <w:pPr>
        <w:spacing w:after="0" w:line="15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issued in 2018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$210,000</w:t>
            </w:r>
          </w:p>
        </w:tc>
        <w:tc>
          <w:tcPr>
            <w:tcW w:w="60" w:type="dxa"/>
            <w:vAlign w:val="bottom"/>
          </w:tcPr>
          <w:p>
            <w:pPr>
              <w:spacing w:after="0"/>
              <w:rPr>
                <w:sz w:val="18"/>
                <w:szCs w:val="18"/>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Debt discount and debt issuance cost incurred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(22,763)</w:t>
            </w:r>
          </w:p>
        </w:tc>
      </w:tr>
      <w:tr>
        <w:trPr>
          <w:trHeight w:val="277"/>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debt discount and issuance cost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60" w:type="dxa"/>
            <w:vAlign w:val="bottom"/>
          </w:tcPr>
          <w:p>
            <w:pPr>
              <w:spacing w:after="0"/>
              <w:rPr>
                <w:sz w:val="24"/>
                <w:szCs w:val="24"/>
                <w:color w:val="auto"/>
              </w:rPr>
            </w:pP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Convertible Notes balance as of December 31, 2018</w:t>
            </w:r>
          </w:p>
        </w:tc>
        <w:tc>
          <w:tcPr>
            <w:tcW w:w="680" w:type="dxa"/>
            <w:vAlign w:val="bottom"/>
          </w:tcPr>
          <w:p>
            <w:pPr>
              <w:jc w:val="right"/>
              <w:spacing w:after="0"/>
              <w:rPr>
                <w:sz w:val="20"/>
                <w:szCs w:val="20"/>
                <w:color w:val="auto"/>
              </w:rPr>
            </w:pPr>
            <w:r>
              <w:rPr>
                <w:rFonts w:ascii="Arial" w:cs="Arial" w:eastAsia="Arial" w:hAnsi="Arial"/>
                <w:sz w:val="18"/>
                <w:szCs w:val="18"/>
                <w:color w:val="auto"/>
              </w:rPr>
              <w:t>188,860</w:t>
            </w:r>
          </w:p>
        </w:tc>
        <w:tc>
          <w:tcPr>
            <w:tcW w:w="60" w:type="dxa"/>
            <w:vAlign w:val="bottom"/>
          </w:tcPr>
          <w:p>
            <w:pPr>
              <w:spacing w:after="0"/>
              <w:rPr>
                <w:sz w:val="21"/>
                <w:szCs w:val="21"/>
                <w:color w:val="auto"/>
              </w:rPr>
            </w:pPr>
          </w:p>
        </w:tc>
      </w:tr>
      <w:tr>
        <w:trPr>
          <w:trHeight w:val="243"/>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issued in 2019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60" w:type="dxa"/>
            <w:vAlign w:val="bottom"/>
          </w:tcPr>
          <w:p>
            <w:pPr>
              <w:spacing w:after="0"/>
              <w:rPr>
                <w:sz w:val="21"/>
                <w:szCs w:val="21"/>
                <w:color w:val="auto"/>
              </w:rPr>
            </w:pP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Debt discount and debt issuance cost incurred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(19,051)</w:t>
            </w:r>
          </w:p>
        </w:tc>
      </w:tr>
      <w:tr>
        <w:trPr>
          <w:trHeight w:val="277"/>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debt discount and issuance cost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60" w:type="dxa"/>
            <w:vAlign w:val="bottom"/>
          </w:tcPr>
          <w:p>
            <w:pPr>
              <w:spacing w:after="0"/>
              <w:rPr>
                <w:sz w:val="24"/>
                <w:szCs w:val="24"/>
                <w:color w:val="auto"/>
              </w:rPr>
            </w:pP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Convertible Notes balance as of April 2, 2019</w:t>
            </w:r>
          </w:p>
        </w:tc>
        <w:tc>
          <w:tcPr>
            <w:tcW w:w="680" w:type="dxa"/>
            <w:vAlign w:val="bottom"/>
          </w:tcPr>
          <w:p>
            <w:pPr>
              <w:jc w:val="right"/>
              <w:spacing w:after="0"/>
              <w:rPr>
                <w:sz w:val="20"/>
                <w:szCs w:val="20"/>
                <w:color w:val="auto"/>
              </w:rPr>
            </w:pPr>
            <w:r>
              <w:rPr>
                <w:rFonts w:ascii="Arial" w:cs="Arial" w:eastAsia="Arial" w:hAnsi="Arial"/>
                <w:sz w:val="18"/>
                <w:szCs w:val="18"/>
                <w:color w:val="auto"/>
              </w:rPr>
              <w:t>263,202</w:t>
            </w:r>
          </w:p>
        </w:tc>
        <w:tc>
          <w:tcPr>
            <w:tcW w:w="60" w:type="dxa"/>
            <w:vAlign w:val="bottom"/>
          </w:tcPr>
          <w:p>
            <w:pPr>
              <w:spacing w:after="0"/>
              <w:rPr>
                <w:sz w:val="21"/>
                <w:szCs w:val="21"/>
                <w:color w:val="auto"/>
              </w:rPr>
            </w:pPr>
          </w:p>
        </w:tc>
      </w:tr>
      <w:tr>
        <w:trPr>
          <w:trHeight w:val="277"/>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of Convertible Notes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w:t>
            </w:r>
          </w:p>
        </w:tc>
        <w:tc>
          <w:tcPr>
            <w:tcW w:w="60" w:type="dxa"/>
            <w:vAlign w:val="bottom"/>
          </w:tcPr>
          <w:p>
            <w:pPr>
              <w:spacing w:after="0"/>
              <w:rPr>
                <w:sz w:val="24"/>
                <w:szCs w:val="24"/>
                <w:color w:val="auto"/>
              </w:rPr>
            </w:pPr>
          </w:p>
        </w:tc>
      </w:tr>
      <w:tr>
        <w:trPr>
          <w:trHeight w:val="283"/>
        </w:trPr>
        <w:tc>
          <w:tcPr>
            <w:tcW w:w="6800" w:type="dxa"/>
            <w:vAlign w:val="bottom"/>
          </w:tcPr>
          <w:p>
            <w:pPr>
              <w:spacing w:after="0"/>
              <w:rPr>
                <w:sz w:val="20"/>
                <w:szCs w:val="20"/>
                <w:color w:val="auto"/>
              </w:rPr>
            </w:pPr>
            <w:r>
              <w:rPr>
                <w:rFonts w:ascii="Arial" w:cs="Arial" w:eastAsia="Arial" w:hAnsi="Arial"/>
                <w:sz w:val="18"/>
                <w:szCs w:val="18"/>
                <w:color w:val="auto"/>
              </w:rPr>
              <w:t>Convertible Notes converted to Series D convertible preferred shares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$271,984</w:t>
            </w:r>
          </w:p>
        </w:tc>
        <w:tc>
          <w:tcPr>
            <w:tcW w:w="60" w:type="dxa"/>
            <w:vAlign w:val="bottom"/>
          </w:tcPr>
          <w:p>
            <w:pPr>
              <w:spacing w:after="0"/>
              <w:rPr>
                <w:sz w:val="24"/>
                <w:szCs w:val="24"/>
                <w:color w:val="auto"/>
              </w:rPr>
            </w:pPr>
          </w:p>
        </w:tc>
      </w:tr>
      <w:tr>
        <w:trPr>
          <w:trHeight w:val="21"/>
        </w:trPr>
        <w:tc>
          <w:tcPr>
            <w:tcW w:w="6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1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3" w:name="page204"/>
    <w:bookmarkEnd w:id="203"/>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1300" w:firstLine="360"/>
        <w:spacing w:after="0" w:line="263" w:lineRule="auto"/>
        <w:rPr>
          <w:sz w:val="20"/>
          <w:szCs w:val="20"/>
          <w:color w:val="auto"/>
        </w:rPr>
      </w:pPr>
      <w:r>
        <w:rPr>
          <w:rFonts w:ascii="Arial" w:cs="Arial" w:eastAsia="Arial" w:hAnsi="Arial"/>
          <w:sz w:val="18"/>
          <w:szCs w:val="18"/>
          <w:color w:val="auto"/>
        </w:rPr>
        <w:t>The Security Purchase Agreement also required the repurchase, redemption, and cancellation of certain amounts of Series C convertible preferred shares. For the detail of the repurchase of Series C convertible preferred shares, refer to Note 8 “Convertible Preferred Shares and Shareholders’ Deficit.”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CONTINGENT FORWARD CONTRACTS</w:t>
      </w:r>
    </w:p>
    <w:p>
      <w:pPr>
        <w:spacing w:after="0" w:line="148" w:lineRule="exact"/>
        <w:rPr>
          <w:sz w:val="20"/>
          <w:szCs w:val="20"/>
          <w:color w:val="auto"/>
        </w:rPr>
      </w:pPr>
    </w:p>
    <w:p>
      <w:pPr>
        <w:ind w:left="1260" w:right="1300" w:firstLine="360"/>
        <w:spacing w:after="0" w:line="254" w:lineRule="auto"/>
        <w:rPr>
          <w:sz w:val="20"/>
          <w:szCs w:val="20"/>
          <w:color w:val="auto"/>
        </w:rPr>
      </w:pPr>
      <w:r>
        <w:rPr>
          <w:rFonts w:ascii="Arial" w:cs="Arial" w:eastAsia="Arial" w:hAnsi="Arial"/>
          <w:sz w:val="18"/>
          <w:szCs w:val="18"/>
          <w:color w:val="auto"/>
        </w:rPr>
        <w:t>As discussed in Note 5 “Convertible Notes,” in September 2018, the Company entered into a Securities Purchase Agreement with PIF. Along with the execution of the Securities Purchase Agreement, the Company granted PIF the right to purchase the Company’s Series D convertible preferred shares in future periods. The Company determined PIF’s right to participate in future Series D convertible preferred shares financing to be freestanding similar to a derivative in the form of contingent forward contracts and recorded the initial valuation of $18.6 million as a debt discount to the Convertible Notes issued in September 2018. For the detail of the Convertible Notes and interest expense reconciliation, refer to Note 5 “Convertible Notes.”</w:t>
      </w:r>
    </w:p>
    <w:p>
      <w:pPr>
        <w:spacing w:after="0" w:line="124" w:lineRule="exact"/>
        <w:rPr>
          <w:sz w:val="20"/>
          <w:szCs w:val="20"/>
          <w:color w:val="auto"/>
        </w:rPr>
      </w:pPr>
    </w:p>
    <w:p>
      <w:pPr>
        <w:ind w:left="1260" w:right="1280" w:firstLine="360"/>
        <w:spacing w:after="0" w:line="269" w:lineRule="auto"/>
        <w:rPr>
          <w:sz w:val="20"/>
          <w:szCs w:val="20"/>
          <w:color w:val="auto"/>
        </w:rPr>
      </w:pPr>
      <w:r>
        <w:rPr>
          <w:rFonts w:ascii="Arial" w:cs="Arial" w:eastAsia="Arial" w:hAnsi="Arial"/>
          <w:sz w:val="17"/>
          <w:szCs w:val="17"/>
          <w:color w:val="auto"/>
        </w:rPr>
        <w:t>In March 2020, the Company received $200.0 million in exchange for 31,201,245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contracts liability into Series D convertible preferred shares. In June 2020, upon satisfaction of the second set of milestones (refer to Note 8 “Convertible Preferred Shares and Shareholders’ Deficit”), the Company received the remaining $200.0 million in exchange for 31,201,245 shares of Series D as final settlement of the Series D contingent forward contract liability and revalued the contingent forward contracts liability to the then fair value of $21.4 million and reclassified the liability into Series D convertible preferred shares. The Series D contingent forward contract liability incurred a total fair value loss of $8.7 million during the year ended December 31, 2020.</w:t>
      </w:r>
    </w:p>
    <w:p>
      <w:pPr>
        <w:spacing w:after="0" w:line="118" w:lineRule="exact"/>
        <w:rPr>
          <w:sz w:val="20"/>
          <w:szCs w:val="20"/>
          <w:color w:val="auto"/>
        </w:rPr>
      </w:pPr>
    </w:p>
    <w:p>
      <w:pPr>
        <w:ind w:left="1260" w:right="1260" w:firstLine="360"/>
        <w:spacing w:after="0" w:line="254" w:lineRule="auto"/>
        <w:rPr>
          <w:sz w:val="20"/>
          <w:szCs w:val="20"/>
          <w:color w:val="auto"/>
        </w:rPr>
      </w:pPr>
      <w:r>
        <w:rPr>
          <w:rFonts w:ascii="Arial" w:cs="Arial" w:eastAsia="Arial" w:hAnsi="Arial"/>
          <w:sz w:val="18"/>
          <w:szCs w:val="18"/>
          <w:color w:val="auto"/>
        </w:rPr>
        <w:t>As discussed in Note 8 “Convertible Preferred Shares and Shareholders’ Deficit”, in September 2020, along with the execution of the Securities Purchase Agreement, the Company granted Ayar Third Investment Company (“Ayar”) the right to purchase the Company’s additional Series E convertible preferred shares upon the Company’s satisfaction of certain milestones in November 2020. The Company determined Ayar’s right to participate in future Series E convertible preferred share financing to be freestanding similar to a derivative in the form of contingent forward contracts and recorded the initial valuation of $0.8 million into contingent forward contract liabilities.</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December 2020, Ayar waived the Company’s remaining outstanding obligations, and the Company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received $400.0 million as the final issuance of Series E convertible preferred shares. Upon the final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settlement, the Company revalued the Series E contingent forward contracts to the then fair value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$110.5 million and reclassified the contingent forward contract liability into Series E convertible preferred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shares. The Company recorded a loss of $109.7 million related to fair value remeasurements of the Series 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contingent forward contracts during the year ended December 31, 2020.</w:t>
      </w:r>
    </w:p>
    <w:p>
      <w:pPr>
        <w:spacing w:after="0" w:line="143" w:lineRule="exact"/>
        <w:rPr>
          <w:sz w:val="20"/>
          <w:szCs w:val="20"/>
          <w:color w:val="auto"/>
        </w:rPr>
      </w:pPr>
    </w:p>
    <w:p>
      <w:pPr>
        <w:ind w:left="1260" w:right="1760" w:firstLine="360"/>
        <w:spacing w:after="0" w:line="277" w:lineRule="auto"/>
        <w:rPr>
          <w:sz w:val="20"/>
          <w:szCs w:val="20"/>
          <w:color w:val="auto"/>
        </w:rPr>
      </w:pPr>
      <w:r>
        <w:rPr>
          <w:rFonts w:ascii="Arial" w:cs="Arial" w:eastAsia="Arial" w:hAnsi="Arial"/>
          <w:sz w:val="18"/>
          <w:szCs w:val="18"/>
          <w:color w:val="auto"/>
        </w:rPr>
        <w:t>The Company’s inputs used in determining the fair value of Series D contingent forward contract liability on the issuance date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Effective date</w:t>
            </w:r>
          </w:p>
        </w:tc>
        <w:tc>
          <w:tcPr>
            <w:tcW w:w="4720" w:type="dxa"/>
            <w:vAlign w:val="bottom"/>
            <w:shd w:val="clear" w:color="auto" w:fill="CCEEFF"/>
          </w:tcPr>
          <w:p>
            <w:pPr>
              <w:jc w:val="center"/>
              <w:ind w:left="3630"/>
              <w:spacing w:after="0"/>
              <w:rPr>
                <w:sz w:val="20"/>
                <w:szCs w:val="20"/>
                <w:color w:val="auto"/>
              </w:rPr>
            </w:pPr>
            <w:r>
              <w:rPr>
                <w:rFonts w:ascii="Arial" w:cs="Arial" w:eastAsia="Arial" w:hAnsi="Arial"/>
                <w:sz w:val="18"/>
                <w:szCs w:val="18"/>
                <w:color w:val="auto"/>
                <w:w w:val="94"/>
              </w:rPr>
              <w:t>9/20/2018</w:t>
            </w:r>
          </w:p>
        </w:tc>
        <w:tc>
          <w:tcPr>
            <w:tcW w:w="1620" w:type="dxa"/>
            <w:vAlign w:val="bottom"/>
          </w:tcPr>
          <w:p>
            <w:pPr>
              <w:spacing w:after="0"/>
              <w:rPr>
                <w:sz w:val="18"/>
                <w:szCs w:val="18"/>
                <w:color w:val="auto"/>
              </w:rPr>
            </w:pPr>
          </w:p>
        </w:tc>
      </w:tr>
      <w:tr>
        <w:trPr>
          <w:trHeight w:val="256"/>
        </w:trPr>
        <w:tc>
          <w:tcPr>
            <w:tcW w:w="4380" w:type="dxa"/>
            <w:vAlign w:val="bottom"/>
            <w:gridSpan w:val="2"/>
          </w:tcPr>
          <w:p>
            <w:pPr>
              <w:ind w:left="1620"/>
              <w:spacing w:after="0"/>
              <w:rPr>
                <w:sz w:val="20"/>
                <w:szCs w:val="20"/>
                <w:color w:val="auto"/>
              </w:rPr>
            </w:pPr>
            <w:r>
              <w:rPr>
                <w:rFonts w:ascii="Arial" w:cs="Arial" w:eastAsia="Arial" w:hAnsi="Arial"/>
                <w:sz w:val="18"/>
                <w:szCs w:val="18"/>
                <w:color w:val="auto"/>
              </w:rPr>
              <w:t>Coupon payment dates</w:t>
            </w:r>
          </w:p>
        </w:tc>
        <w:tc>
          <w:tcPr>
            <w:tcW w:w="4720" w:type="dxa"/>
            <w:vAlign w:val="bottom"/>
          </w:tcPr>
          <w:p>
            <w:pPr>
              <w:jc w:val="center"/>
              <w:ind w:left="3630"/>
              <w:spacing w:after="0"/>
              <w:rPr>
                <w:sz w:val="20"/>
                <w:szCs w:val="20"/>
                <w:color w:val="auto"/>
              </w:rPr>
            </w:pPr>
            <w:r>
              <w:rPr>
                <w:rFonts w:ascii="Arial" w:cs="Arial" w:eastAsia="Arial" w:hAnsi="Arial"/>
                <w:sz w:val="18"/>
                <w:szCs w:val="18"/>
                <w:color w:val="auto"/>
                <w:w w:val="97"/>
              </w:rPr>
              <w:t>Semi-Annual</w:t>
            </w:r>
          </w:p>
        </w:tc>
        <w:tc>
          <w:tcPr>
            <w:tcW w:w="1620" w:type="dxa"/>
            <w:vAlign w:val="bottom"/>
          </w:tcPr>
          <w:p>
            <w:pPr>
              <w:spacing w:after="0"/>
              <w:rPr>
                <w:sz w:val="22"/>
                <w:szCs w:val="22"/>
                <w:color w:val="auto"/>
              </w:rPr>
            </w:pPr>
          </w:p>
        </w:tc>
      </w:tr>
      <w:tr>
        <w:trPr>
          <w:trHeight w:val="257"/>
        </w:trPr>
        <w:tc>
          <w:tcPr>
            <w:tcW w:w="1620" w:type="dxa"/>
            <w:vAlign w:val="bottom"/>
          </w:tcPr>
          <w:p>
            <w:pPr>
              <w:spacing w:after="0"/>
              <w:rPr>
                <w:sz w:val="22"/>
                <w:szCs w:val="22"/>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Maturity date</w:t>
            </w:r>
          </w:p>
        </w:tc>
        <w:tc>
          <w:tcPr>
            <w:tcW w:w="4720" w:type="dxa"/>
            <w:vAlign w:val="bottom"/>
            <w:shd w:val="clear" w:color="auto" w:fill="CCEEFF"/>
          </w:tcPr>
          <w:p>
            <w:pPr>
              <w:jc w:val="center"/>
              <w:ind w:left="3630"/>
              <w:spacing w:after="0"/>
              <w:rPr>
                <w:sz w:val="20"/>
                <w:szCs w:val="20"/>
                <w:color w:val="auto"/>
              </w:rPr>
            </w:pPr>
            <w:r>
              <w:rPr>
                <w:rFonts w:ascii="Arial" w:cs="Arial" w:eastAsia="Arial" w:hAnsi="Arial"/>
                <w:sz w:val="18"/>
                <w:szCs w:val="18"/>
                <w:color w:val="auto"/>
                <w:w w:val="93"/>
              </w:rPr>
              <w:t>03/20/2020</w:t>
            </w:r>
          </w:p>
        </w:tc>
        <w:tc>
          <w:tcPr>
            <w:tcW w:w="1620" w:type="dxa"/>
            <w:vAlign w:val="bottom"/>
          </w:tcPr>
          <w:p>
            <w:pPr>
              <w:spacing w:after="0"/>
              <w:rPr>
                <w:sz w:val="22"/>
                <w:szCs w:val="22"/>
                <w:color w:val="auto"/>
              </w:rPr>
            </w:pPr>
          </w:p>
        </w:tc>
      </w:tr>
      <w:tr>
        <w:trPr>
          <w:trHeight w:val="270"/>
        </w:trPr>
        <w:tc>
          <w:tcPr>
            <w:tcW w:w="4380" w:type="dxa"/>
            <w:vAlign w:val="bottom"/>
            <w:gridSpan w:val="2"/>
          </w:tcPr>
          <w:p>
            <w:pPr>
              <w:ind w:left="1620"/>
              <w:spacing w:after="0"/>
              <w:rPr>
                <w:sz w:val="20"/>
                <w:szCs w:val="20"/>
                <w:color w:val="auto"/>
              </w:rPr>
            </w:pPr>
            <w:r>
              <w:rPr>
                <w:rFonts w:ascii="Arial" w:cs="Arial" w:eastAsia="Arial" w:hAnsi="Arial"/>
                <w:sz w:val="18"/>
                <w:szCs w:val="18"/>
                <w:color w:val="auto"/>
              </w:rPr>
              <w:t>Initial term</w:t>
            </w:r>
          </w:p>
        </w:tc>
        <w:tc>
          <w:tcPr>
            <w:tcW w:w="4720" w:type="dxa"/>
            <w:vAlign w:val="bottom"/>
          </w:tcPr>
          <w:p>
            <w:pPr>
              <w:jc w:val="center"/>
              <w:ind w:left="3610"/>
              <w:spacing w:after="0"/>
              <w:rPr>
                <w:sz w:val="20"/>
                <w:szCs w:val="20"/>
                <w:color w:val="auto"/>
              </w:rPr>
            </w:pPr>
            <w:r>
              <w:rPr>
                <w:rFonts w:ascii="Arial" w:cs="Arial" w:eastAsia="Arial" w:hAnsi="Arial"/>
                <w:sz w:val="18"/>
                <w:szCs w:val="18"/>
                <w:color w:val="auto"/>
                <w:w w:val="90"/>
              </w:rPr>
              <w:t>1.5 Years</w:t>
            </w:r>
          </w:p>
        </w:tc>
        <w:tc>
          <w:tcPr>
            <w:tcW w:w="1620" w:type="dxa"/>
            <w:vAlign w:val="bottom"/>
          </w:tcPr>
          <w:p>
            <w:pPr>
              <w:spacing w:after="0"/>
              <w:rPr>
                <w:sz w:val="23"/>
                <w:szCs w:val="23"/>
                <w:color w:val="auto"/>
              </w:rPr>
            </w:pPr>
          </w:p>
        </w:tc>
      </w:tr>
      <w:tr>
        <w:trPr>
          <w:trHeight w:val="270"/>
        </w:trPr>
        <w:tc>
          <w:tcPr>
            <w:tcW w:w="1620" w:type="dxa"/>
            <w:vAlign w:val="bottom"/>
          </w:tcPr>
          <w:p>
            <w:pPr>
              <w:spacing w:after="0"/>
              <w:rPr>
                <w:sz w:val="23"/>
                <w:szCs w:val="2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(coupon rate)</w:t>
            </w:r>
          </w:p>
        </w:tc>
        <w:tc>
          <w:tcPr>
            <w:tcW w:w="4720" w:type="dxa"/>
            <w:vAlign w:val="bottom"/>
            <w:shd w:val="clear" w:color="auto" w:fill="CCEEFF"/>
          </w:tcPr>
          <w:p>
            <w:pPr>
              <w:jc w:val="center"/>
              <w:ind w:left="3630"/>
              <w:spacing w:after="0"/>
              <w:rPr>
                <w:sz w:val="20"/>
                <w:szCs w:val="20"/>
                <w:color w:val="auto"/>
              </w:rPr>
            </w:pPr>
            <w:r>
              <w:rPr>
                <w:rFonts w:ascii="Arial" w:cs="Arial" w:eastAsia="Arial" w:hAnsi="Arial"/>
                <w:sz w:val="18"/>
                <w:szCs w:val="18"/>
                <w:color w:val="auto"/>
                <w:w w:val="93"/>
              </w:rPr>
              <w:t>8.00%</w:t>
            </w:r>
          </w:p>
        </w:tc>
        <w:tc>
          <w:tcPr>
            <w:tcW w:w="1620" w:type="dxa"/>
            <w:vAlign w:val="bottom"/>
          </w:tcPr>
          <w:p>
            <w:pPr>
              <w:spacing w:after="0"/>
              <w:rPr>
                <w:sz w:val="23"/>
                <w:szCs w:val="23"/>
                <w:color w:val="auto"/>
              </w:rPr>
            </w:pPr>
          </w:p>
        </w:tc>
      </w:tr>
      <w:tr>
        <w:trPr>
          <w:trHeight w:val="270"/>
        </w:trPr>
        <w:tc>
          <w:tcPr>
            <w:tcW w:w="4380" w:type="dxa"/>
            <w:vAlign w:val="bottom"/>
            <w:gridSpan w:val="2"/>
          </w:tcPr>
          <w:p>
            <w:pPr>
              <w:ind w:left="1620"/>
              <w:spacing w:after="0"/>
              <w:rPr>
                <w:sz w:val="20"/>
                <w:szCs w:val="20"/>
                <w:color w:val="auto"/>
              </w:rPr>
            </w:pPr>
            <w:r>
              <w:rPr>
                <w:rFonts w:ascii="Arial" w:cs="Arial" w:eastAsia="Arial" w:hAnsi="Arial"/>
                <w:sz w:val="18"/>
                <w:szCs w:val="18"/>
                <w:color w:val="auto"/>
              </w:rPr>
              <w:t>Yield (market rate)</w:t>
            </w:r>
          </w:p>
        </w:tc>
        <w:tc>
          <w:tcPr>
            <w:tcW w:w="4720" w:type="dxa"/>
            <w:vAlign w:val="bottom"/>
          </w:tcPr>
          <w:p>
            <w:pPr>
              <w:jc w:val="center"/>
              <w:ind w:left="3630"/>
              <w:spacing w:after="0"/>
              <w:rPr>
                <w:sz w:val="20"/>
                <w:szCs w:val="20"/>
                <w:color w:val="auto"/>
              </w:rPr>
            </w:pPr>
            <w:r>
              <w:rPr>
                <w:rFonts w:ascii="Arial" w:cs="Arial" w:eastAsia="Arial" w:hAnsi="Arial"/>
                <w:sz w:val="18"/>
                <w:szCs w:val="18"/>
                <w:color w:val="auto"/>
                <w:w w:val="93"/>
              </w:rPr>
              <w:t>8.00%</w:t>
            </w:r>
          </w:p>
        </w:tc>
        <w:tc>
          <w:tcPr>
            <w:tcW w:w="1620" w:type="dxa"/>
            <w:vAlign w:val="bottom"/>
          </w:tcPr>
          <w:p>
            <w:pPr>
              <w:spacing w:after="0"/>
              <w:rPr>
                <w:sz w:val="23"/>
                <w:szCs w:val="23"/>
                <w:color w:val="auto"/>
              </w:rPr>
            </w:pPr>
          </w:p>
        </w:tc>
      </w:tr>
      <w:tr>
        <w:trPr>
          <w:trHeight w:val="270"/>
        </w:trPr>
        <w:tc>
          <w:tcPr>
            <w:tcW w:w="1620" w:type="dxa"/>
            <w:vAlign w:val="bottom"/>
          </w:tcPr>
          <w:p>
            <w:pPr>
              <w:spacing w:after="0"/>
              <w:rPr>
                <w:sz w:val="23"/>
                <w:szCs w:val="2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Effective interest rate</w:t>
            </w:r>
          </w:p>
        </w:tc>
        <w:tc>
          <w:tcPr>
            <w:tcW w:w="4720" w:type="dxa"/>
            <w:vAlign w:val="bottom"/>
            <w:shd w:val="clear" w:color="auto" w:fill="CCEEFF"/>
          </w:tcPr>
          <w:p>
            <w:pPr>
              <w:jc w:val="center"/>
              <w:ind w:left="3630"/>
              <w:spacing w:after="0"/>
              <w:rPr>
                <w:sz w:val="20"/>
                <w:szCs w:val="20"/>
                <w:color w:val="auto"/>
              </w:rPr>
            </w:pPr>
            <w:r>
              <w:rPr>
                <w:rFonts w:ascii="Arial" w:cs="Arial" w:eastAsia="Arial" w:hAnsi="Arial"/>
                <w:sz w:val="18"/>
                <w:szCs w:val="18"/>
                <w:color w:val="auto"/>
                <w:w w:val="93"/>
              </w:rPr>
              <w:t>2.47%</w:t>
            </w:r>
          </w:p>
        </w:tc>
        <w:tc>
          <w:tcPr>
            <w:tcW w:w="1620" w:type="dxa"/>
            <w:vAlign w:val="bottom"/>
          </w:tcPr>
          <w:p>
            <w:pPr>
              <w:spacing w:after="0"/>
              <w:rPr>
                <w:sz w:val="23"/>
                <w:szCs w:val="23"/>
                <w:color w:val="auto"/>
              </w:rPr>
            </w:pPr>
          </w:p>
        </w:tc>
      </w:tr>
      <w:tr>
        <w:trPr>
          <w:trHeight w:val="621"/>
        </w:trPr>
        <w:tc>
          <w:tcPr>
            <w:tcW w:w="16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20" w:type="dxa"/>
            <w:vAlign w:val="bottom"/>
          </w:tcPr>
          <w:p>
            <w:pPr>
              <w:ind w:left="780"/>
              <w:spacing w:after="0"/>
              <w:rPr>
                <w:sz w:val="20"/>
                <w:szCs w:val="20"/>
                <w:color w:val="auto"/>
              </w:rPr>
            </w:pPr>
            <w:r>
              <w:rPr>
                <w:rFonts w:ascii="Arial" w:cs="Arial" w:eastAsia="Arial" w:hAnsi="Arial"/>
                <w:sz w:val="18"/>
                <w:szCs w:val="18"/>
                <w:color w:val="auto"/>
              </w:rPr>
              <w:t>F-21</w:t>
            </w: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4" w:name="page205"/>
    <w:bookmarkEnd w:id="204"/>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The Company’s inputs used in determining the fair value of Series D convertible preferred share contingent forward contract liability on the settlement date, were as follows:</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Settlement date</w:t>
            </w:r>
          </w:p>
        </w:tc>
        <w:tc>
          <w:tcPr>
            <w:tcW w:w="10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3/31/2020</w:t>
            </w:r>
          </w:p>
        </w:tc>
        <w:tc>
          <w:tcPr>
            <w:tcW w:w="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6/30/2020</w:t>
            </w:r>
          </w:p>
        </w:tc>
      </w:tr>
      <w:tr>
        <w:trPr>
          <w:trHeight w:val="256"/>
        </w:trPr>
        <w:tc>
          <w:tcPr>
            <w:tcW w:w="5520" w:type="dxa"/>
            <w:vAlign w:val="bottom"/>
          </w:tcPr>
          <w:p>
            <w:pPr>
              <w:spacing w:after="0"/>
              <w:rPr>
                <w:sz w:val="20"/>
                <w:szCs w:val="20"/>
                <w:color w:val="auto"/>
              </w:rPr>
            </w:pPr>
            <w:r>
              <w:rPr>
                <w:rFonts w:ascii="Arial" w:cs="Arial" w:eastAsia="Arial" w:hAnsi="Arial"/>
                <w:sz w:val="18"/>
                <w:szCs w:val="18"/>
                <w:color w:val="auto"/>
              </w:rPr>
              <w:t>Expected term</w:t>
            </w:r>
          </w:p>
        </w:tc>
        <w:tc>
          <w:tcPr>
            <w:tcW w:w="108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r>
      <w:tr>
        <w:trPr>
          <w:trHeight w:val="27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7"/>
              </w:rPr>
              <w:t>Contingent Series D convertible preferred shares fair value (per share)</w:t>
            </w:r>
          </w:p>
        </w:tc>
        <w:tc>
          <w:tcPr>
            <w:tcW w:w="10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$6.99</w:t>
            </w:r>
          </w:p>
        </w:tc>
        <w:tc>
          <w:tcPr>
            <w:tcW w:w="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$7.10</w:t>
            </w:r>
          </w:p>
        </w:tc>
      </w:tr>
      <w:tr>
        <w:trPr>
          <w:trHeight w:val="270"/>
        </w:trPr>
        <w:tc>
          <w:tcPr>
            <w:tcW w:w="5520" w:type="dxa"/>
            <w:vAlign w:val="bottom"/>
          </w:tcPr>
          <w:p>
            <w:pPr>
              <w:spacing w:after="0"/>
              <w:rPr>
                <w:sz w:val="20"/>
                <w:szCs w:val="20"/>
                <w:color w:val="auto"/>
              </w:rPr>
            </w:pPr>
            <w:r>
              <w:rPr>
                <w:rFonts w:ascii="Arial" w:cs="Arial" w:eastAsia="Arial" w:hAnsi="Arial"/>
                <w:sz w:val="18"/>
                <w:szCs w:val="18"/>
                <w:color w:val="auto"/>
              </w:rPr>
              <w:t>Present value factor</w:t>
            </w: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94"/>
              </w:rPr>
              <w:t>1.0000</w:t>
            </w: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90"/>
              </w:rPr>
              <w:t>1.0000</w:t>
            </w:r>
          </w:p>
        </w:tc>
      </w:tr>
      <w:tr>
        <w:trPr>
          <w:trHeight w:val="27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Estimated probability of satisfying milestones</w:t>
            </w:r>
          </w:p>
        </w:tc>
        <w:tc>
          <w:tcPr>
            <w:tcW w:w="10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100%</w:t>
            </w:r>
          </w:p>
        </w:tc>
        <w:tc>
          <w:tcPr>
            <w:tcW w:w="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100%</w:t>
            </w:r>
          </w:p>
        </w:tc>
      </w:tr>
    </w:tbl>
    <w:p>
      <w:pPr>
        <w:spacing w:after="0" w:line="121" w:lineRule="exact"/>
        <w:rPr>
          <w:sz w:val="20"/>
          <w:szCs w:val="20"/>
          <w:color w:val="auto"/>
        </w:rPr>
      </w:pPr>
    </w:p>
    <w:p>
      <w:pPr>
        <w:ind w:left="1260" w:right="999" w:firstLine="360"/>
        <w:spacing w:after="0" w:line="291" w:lineRule="auto"/>
        <w:rPr>
          <w:sz w:val="20"/>
          <w:szCs w:val="20"/>
          <w:color w:val="auto"/>
        </w:rPr>
      </w:pPr>
      <w:r>
        <w:rPr>
          <w:rFonts w:ascii="Arial" w:cs="Arial" w:eastAsia="Arial" w:hAnsi="Arial"/>
          <w:sz w:val="17"/>
          <w:szCs w:val="17"/>
          <w:color w:val="auto"/>
        </w:rPr>
        <w:t>The Company’s inputs used in determining the fair value of Series E convertible preferred share contingent forward contract liability on the issuance date and settlement date, were as follows:</w:t>
      </w:r>
    </w:p>
    <w:p>
      <w:pPr>
        <w:spacing w:after="0" w:line="103"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Effective date</w:t>
            </w:r>
          </w:p>
        </w:tc>
        <w:tc>
          <w:tcPr>
            <w:tcW w:w="148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4"/>
              </w:rPr>
              <w:t>9/22/2020</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12/31/2020</w:t>
            </w:r>
          </w:p>
        </w:tc>
      </w:tr>
      <w:tr>
        <w:trPr>
          <w:trHeight w:val="256"/>
        </w:trPr>
        <w:tc>
          <w:tcPr>
            <w:tcW w:w="5020" w:type="dxa"/>
            <w:vAlign w:val="bottom"/>
          </w:tcPr>
          <w:p>
            <w:pPr>
              <w:spacing w:after="0"/>
              <w:rPr>
                <w:sz w:val="20"/>
                <w:szCs w:val="20"/>
                <w:color w:val="auto"/>
              </w:rPr>
            </w:pPr>
            <w:r>
              <w:rPr>
                <w:rFonts w:ascii="Arial" w:cs="Arial" w:eastAsia="Arial" w:hAnsi="Arial"/>
                <w:sz w:val="18"/>
                <w:szCs w:val="18"/>
                <w:color w:val="auto"/>
              </w:rPr>
              <w:t>Expected term</w:t>
            </w:r>
          </w:p>
        </w:tc>
        <w:tc>
          <w:tcPr>
            <w:tcW w:w="1480" w:type="dxa"/>
            <w:vAlign w:val="bottom"/>
          </w:tcPr>
          <w:p>
            <w:pPr>
              <w:ind w:left="580"/>
              <w:spacing w:after="0"/>
              <w:rPr>
                <w:sz w:val="20"/>
                <w:szCs w:val="20"/>
                <w:color w:val="auto"/>
              </w:rPr>
            </w:pPr>
            <w:r>
              <w:rPr>
                <w:rFonts w:ascii="Arial" w:cs="Arial" w:eastAsia="Arial" w:hAnsi="Arial"/>
                <w:sz w:val="18"/>
                <w:szCs w:val="18"/>
                <w:color w:val="auto"/>
              </w:rPr>
              <w:t>0.25 Years</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r>
      <w:tr>
        <w:trPr>
          <w:trHeight w:val="242"/>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Contingent Series E convertible preferred shares fair value</w:t>
            </w:r>
          </w:p>
        </w:tc>
        <w:tc>
          <w:tcPr>
            <w:tcW w:w="1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4"/>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1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3"/>
              </w:rPr>
              <w:t>$7.92</w:t>
            </w:r>
          </w:p>
        </w:tc>
        <w:tc>
          <w:tcPr>
            <w:tcW w:w="9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$10.09</w:t>
            </w: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Present value factor</w:t>
            </w:r>
          </w:p>
        </w:tc>
        <w:tc>
          <w:tcPr>
            <w:tcW w:w="1480" w:type="dxa"/>
            <w:vAlign w:val="bottom"/>
          </w:tcPr>
          <w:p>
            <w:pPr>
              <w:jc w:val="center"/>
              <w:ind w:left="370"/>
              <w:spacing w:after="0"/>
              <w:rPr>
                <w:sz w:val="20"/>
                <w:szCs w:val="20"/>
                <w:color w:val="auto"/>
              </w:rPr>
            </w:pPr>
            <w:r>
              <w:rPr>
                <w:rFonts w:ascii="Arial" w:cs="Arial" w:eastAsia="Arial" w:hAnsi="Arial"/>
                <w:sz w:val="18"/>
                <w:szCs w:val="18"/>
                <w:color w:val="auto"/>
                <w:w w:val="90"/>
              </w:rPr>
              <w:t>0.9999</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4"/>
              </w:rPr>
              <w:t>1.0000</w:t>
            </w:r>
          </w:p>
        </w:tc>
      </w:tr>
      <w:tr>
        <w:trPr>
          <w:trHeight w:val="27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Estimated probability of satisfying milestones</w:t>
            </w:r>
          </w:p>
        </w:tc>
        <w:tc>
          <w:tcPr>
            <w:tcW w:w="14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4"/>
              </w:rPr>
              <w:t>95%</w:t>
            </w:r>
          </w:p>
        </w:tc>
        <w:tc>
          <w:tcPr>
            <w:tcW w:w="9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100%</w:t>
            </w:r>
          </w:p>
        </w:tc>
      </w:tr>
    </w:tbl>
    <w:p>
      <w:pPr>
        <w:spacing w:after="0" w:line="107"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Fair value of the Series D and Series E contingent forward contracts on the issuance date are valued by a third party valuation firm using Probability-Weighted Expected Return Method (“PWERM”) framework, and the Option Pricing Method (“OPM”) to allocate the equity value in the scenarios where the Series D and Series E convertible preferred share additional tranche issuance milestones are satisfied.</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CONVERTIBLE PREFERRED SHARE WARRANT LIABILITY</w:t>
      </w:r>
    </w:p>
    <w:p>
      <w:pPr>
        <w:spacing w:after="0" w:line="148" w:lineRule="exact"/>
        <w:rPr>
          <w:sz w:val="20"/>
          <w:szCs w:val="20"/>
          <w:color w:val="auto"/>
        </w:rPr>
      </w:pPr>
    </w:p>
    <w:p>
      <w:pPr>
        <w:jc w:val="both"/>
        <w:ind w:left="1260" w:right="519" w:firstLine="360"/>
        <w:spacing w:after="0" w:line="255" w:lineRule="auto"/>
        <w:rPr>
          <w:sz w:val="20"/>
          <w:szCs w:val="20"/>
          <w:color w:val="auto"/>
        </w:rPr>
      </w:pPr>
      <w:r>
        <w:rPr>
          <w:rFonts w:ascii="Arial" w:cs="Arial" w:eastAsia="Arial" w:hAnsi="Arial"/>
          <w:sz w:val="17"/>
          <w:szCs w:val="17"/>
          <w:color w:val="auto"/>
        </w:rPr>
        <w:t>In March and September 2017, in connection with the Long-Term Debt to Trinity, the Company issued two convertible preferred share warrants (the “Warrants”) to purchase a total of 585,023 shares of Series D convertible preferred shares, with an exercise price of $5.128 per share. The Warrants are exercisable for</w:t>
      </w:r>
    </w:p>
    <w:p>
      <w:pPr>
        <w:ind w:left="1260" w:right="539"/>
        <w:spacing w:after="0" w:line="256" w:lineRule="auto"/>
        <w:rPr>
          <w:sz w:val="20"/>
          <w:szCs w:val="20"/>
          <w:color w:val="auto"/>
        </w:rPr>
      </w:pPr>
      <w:r>
        <w:rPr>
          <w:rFonts w:ascii="Arial" w:cs="Arial" w:eastAsia="Arial" w:hAnsi="Arial"/>
          <w:sz w:val="17"/>
          <w:szCs w:val="17"/>
          <w:color w:val="auto"/>
        </w:rPr>
        <w:t>10 years from the date of issuance and expire in 2027 or earlier upon the consummation of an initial public offering (“IPO”). The Company determined that these Warrants met the requirements for liability classification under ASC 480, Distinguishing Liabilities from Equity, due to the Warrants holders having a put-right and the Company having an obligation to settle the Warrants by transferring cash.</w:t>
      </w:r>
    </w:p>
    <w:p>
      <w:pPr>
        <w:spacing w:after="0" w:line="108"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The fair value of the Warrants was approximately $0.4 million and $0.2 million at the time of issuance in March and September 2017, respectively, calculated using a Monte-Carlo simulation method under the income approach. The Warrants were recorded at fair value at issuance and are subsequently remeasured to fair value each reporting period with the changes recorded in the consolidated statements of operations. As of December 31, 2020, and 2019, 585,023 shares of the Warrants were outstanding with a fair value of $10.17 and $3.00 per share, and aggregate fair value of $3.0 million and $1.8 million, respectively. The Company recorded $1.2 million and $0.4 million as loss related to fair value remeasurements of the warrants in the consolidated statements of operations for the years ended December 31, 2020 and 2019, respectively.</w:t>
      </w:r>
    </w:p>
    <w:p>
      <w:pPr>
        <w:spacing w:after="0" w:line="110"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The Company’s assumptions used in determining the fair value of convertible preferred share warrants at December 31, 2020, and 2019 are as follows: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5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6"/>
              </w:rPr>
              <w:t>As of December 31,</w:t>
            </w:r>
          </w:p>
        </w:tc>
      </w:tr>
      <w:tr>
        <w:trPr>
          <w:trHeight w:val="25"/>
        </w:trPr>
        <w:tc>
          <w:tcPr>
            <w:tcW w:w="60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98"/>
        </w:trPr>
        <w:tc>
          <w:tcPr>
            <w:tcW w:w="6040" w:type="dxa"/>
            <w:vAlign w:val="bottom"/>
          </w:tcPr>
          <w:p>
            <w:pPr>
              <w:spacing w:after="0"/>
              <w:rPr>
                <w:sz w:val="17"/>
                <w:szCs w:val="17"/>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7"/>
                <w:szCs w:val="17"/>
                <w:color w:val="auto"/>
              </w:rPr>
            </w:pPr>
          </w:p>
        </w:tc>
      </w:tr>
      <w:tr>
        <w:trPr>
          <w:trHeight w:val="25"/>
        </w:trPr>
        <w:tc>
          <w:tcPr>
            <w:tcW w:w="60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040" w:type="dxa"/>
            <w:vAlign w:val="bottom"/>
          </w:tcPr>
          <w:p>
            <w:pPr>
              <w:spacing w:after="0"/>
              <w:rPr>
                <w:sz w:val="20"/>
                <w:szCs w:val="20"/>
                <w:color w:val="auto"/>
              </w:rPr>
            </w:pPr>
            <w:r>
              <w:rPr>
                <w:rFonts w:ascii="Arial" w:cs="Arial" w:eastAsia="Arial" w:hAnsi="Arial"/>
                <w:sz w:val="18"/>
                <w:szCs w:val="18"/>
                <w:color w:val="auto"/>
              </w:rPr>
              <w:t>Volatility</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55.0%</w:t>
            </w:r>
          </w:p>
        </w:tc>
      </w:tr>
      <w:tr>
        <w:trPr>
          <w:trHeight w:val="256"/>
        </w:trPr>
        <w:tc>
          <w:tcPr>
            <w:tcW w:w="60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0.5 – 1.5</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2"/>
                <w:szCs w:val="22"/>
                <w:color w:val="auto"/>
              </w:rPr>
            </w:pPr>
          </w:p>
        </w:tc>
      </w:tr>
      <w:tr>
        <w:trPr>
          <w:trHeight w:val="256"/>
        </w:trPr>
        <w:tc>
          <w:tcPr>
            <w:tcW w:w="6040" w:type="dxa"/>
            <w:vAlign w:val="bottom"/>
          </w:tcPr>
          <w:p>
            <w:pPr>
              <w:spacing w:after="0"/>
              <w:rPr>
                <w:sz w:val="20"/>
                <w:szCs w:val="20"/>
                <w:color w:val="auto"/>
              </w:rPr>
            </w:pPr>
            <w:r>
              <w:rPr>
                <w:rFonts w:ascii="Arial" w:cs="Arial" w:eastAsia="Arial" w:hAnsi="Arial"/>
                <w:sz w:val="18"/>
                <w:szCs w:val="18"/>
                <w:color w:val="auto"/>
              </w:rPr>
              <w:t>Risk-free rate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0.09 – 0.12%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1.59%</w:t>
            </w:r>
          </w:p>
        </w:tc>
      </w:tr>
      <w:tr>
        <w:trPr>
          <w:trHeight w:val="297"/>
        </w:trPr>
        <w:tc>
          <w:tcPr>
            <w:tcW w:w="60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-350520</wp:posOffset>
            </wp:positionV>
            <wp:extent cx="4749165" cy="1625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-685165</wp:posOffset>
            </wp:positionV>
            <wp:extent cx="4749165" cy="1714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5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5" w:name="page206"/>
    <w:bookmarkEnd w:id="205"/>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CONVERTIBLE PREFERRED SHARES AND SHAREHOLDERS’ DEFICIT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Convertible Preferred Shares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Convertible preferred shares are carried at its issuance price, net of issuance costs.</w:t>
      </w:r>
    </w:p>
    <w:p>
      <w:pPr>
        <w:spacing w:after="0" w:line="15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In 2014 through 2020, the Company issued Series A, Series B, Series C, and Series D and Series E convertible preferred shares (“Series A,” “Series B,” “Series C,” “Series D,” “Series E,” respectively) (collectively, the “Convertible Preferred Shares”).</w:t>
      </w:r>
    </w:p>
    <w:p>
      <w:pPr>
        <w:spacing w:after="0" w:line="116"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In September 2018, concurrent with the execution of the Security Purchase Agreement with PIF, the Company entered into a Share Repurchase Agreement (the “Repurchase Agreement”) with Blitz Technology Hong Kong Co. Limited and LeSoar Holdings, Limited (the “Sellers”) to repurchase Series C convertible preferred shares as follows: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First Company Repurchase</w:t>
      </w:r>
    </w:p>
    <w:p>
      <w:pPr>
        <w:spacing w:after="0" w:line="148"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Concurrent with the execution of the Security Purchase Agreement with PIF, $10.0 million of the proceeds from the issuance of the Convertible Notes were utilized to repurchase from the Sellers 714,286 shares of Series C at $14.00 per share. As the carrying amount of each share of Series C was $6.41 with an aggregate carrying amount of Series C repurchased at $4.6 million, the Company recognized $5.4 million as a reduction of additional paid-in capital under shareholders’ equity in the consolidated balance sheet as of December 31, 2018, related to the excess fair value paid over carrying amount.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Second Company Repurchase</w:t>
      </w:r>
    </w:p>
    <w:p>
      <w:pPr>
        <w:spacing w:after="0" w:line="162"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 Company agreed to repurchase 4,642,857 shares of Series C from the Sellers at a price equal to $14.00 per share, aggregating to $65.0 million on a date that is no later than 6 months from April 2019 (subject to contingencies defined within the Security Purchase Agreement with PIF) of the Series D Preferred Financing. The Repurchase Agreement substantially modified the terms of the Series C shares subject to repurchase and constitutes an extinguishment.</w:t>
      </w:r>
    </w:p>
    <w:p>
      <w:pPr>
        <w:spacing w:after="0" w:line="120"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The Company used the put option pricing model to compute the fair value of the contingent ‘Second Company Repurchase’ feature (“contingent repurchase feature”) and applied a 95% probability of successfully achieving the contingencies. Fair value of the contingent repurchase feature was $10.03 per share.</w:t>
      </w:r>
    </w:p>
    <w:p>
      <w:pPr>
        <w:spacing w:after="0" w:line="106"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The key inputs used in determining the fair value of the contingent repurchase feature as of the extinguishment date in September 2018, are as follows:</w:t>
      </w:r>
    </w:p>
    <w:p>
      <w:pPr>
        <w:spacing w:after="0" w:line="14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Effective date</w:t>
            </w:r>
          </w:p>
        </w:tc>
        <w:tc>
          <w:tcPr>
            <w:tcW w:w="3560" w:type="dxa"/>
            <w:vAlign w:val="bottom"/>
            <w:shd w:val="clear" w:color="auto" w:fill="CCEEFF"/>
          </w:tcPr>
          <w:p>
            <w:pPr>
              <w:jc w:val="center"/>
              <w:ind w:left="2710"/>
              <w:spacing w:after="0"/>
              <w:rPr>
                <w:sz w:val="20"/>
                <w:szCs w:val="20"/>
                <w:color w:val="auto"/>
              </w:rPr>
            </w:pPr>
            <w:r>
              <w:rPr>
                <w:rFonts w:ascii="Arial" w:cs="Arial" w:eastAsia="Arial" w:hAnsi="Arial"/>
                <w:sz w:val="18"/>
                <w:szCs w:val="18"/>
                <w:color w:val="auto"/>
                <w:w w:val="94"/>
              </w:rPr>
              <w:t>9/30/2018</w:t>
            </w:r>
          </w:p>
        </w:tc>
      </w:tr>
      <w:tr>
        <w:trPr>
          <w:trHeight w:val="256"/>
        </w:trPr>
        <w:tc>
          <w:tcPr>
            <w:tcW w:w="3920" w:type="dxa"/>
            <w:vAlign w:val="bottom"/>
          </w:tcPr>
          <w:p>
            <w:pPr>
              <w:spacing w:after="0"/>
              <w:rPr>
                <w:sz w:val="20"/>
                <w:szCs w:val="20"/>
                <w:color w:val="auto"/>
              </w:rPr>
            </w:pPr>
            <w:r>
              <w:rPr>
                <w:rFonts w:ascii="Arial" w:cs="Arial" w:eastAsia="Arial" w:hAnsi="Arial"/>
                <w:sz w:val="18"/>
                <w:szCs w:val="18"/>
                <w:color w:val="auto"/>
              </w:rPr>
              <w:t>Current price</w:t>
            </w:r>
          </w:p>
        </w:tc>
        <w:tc>
          <w:tcPr>
            <w:tcW w:w="3560" w:type="dxa"/>
            <w:vAlign w:val="bottom"/>
          </w:tcPr>
          <w:p>
            <w:pPr>
              <w:jc w:val="center"/>
              <w:ind w:left="2690"/>
              <w:spacing w:after="0"/>
              <w:rPr>
                <w:sz w:val="20"/>
                <w:szCs w:val="20"/>
                <w:color w:val="auto"/>
              </w:rPr>
            </w:pPr>
            <w:r>
              <w:rPr>
                <w:rFonts w:ascii="Arial" w:cs="Arial" w:eastAsia="Arial" w:hAnsi="Arial"/>
                <w:sz w:val="18"/>
                <w:szCs w:val="18"/>
                <w:color w:val="auto"/>
                <w:w w:val="93"/>
              </w:rPr>
              <w:t>$3.28</w:t>
            </w:r>
          </w:p>
        </w:tc>
      </w:tr>
      <w:tr>
        <w:trPr>
          <w:trHeight w:val="27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560" w:type="dxa"/>
            <w:vAlign w:val="bottom"/>
            <w:shd w:val="clear" w:color="auto" w:fill="CCEEFF"/>
          </w:tcPr>
          <w:p>
            <w:pPr>
              <w:jc w:val="center"/>
              <w:ind w:left="2690"/>
              <w:spacing w:after="0"/>
              <w:rPr>
                <w:sz w:val="20"/>
                <w:szCs w:val="20"/>
                <w:color w:val="auto"/>
              </w:rPr>
            </w:pPr>
            <w:r>
              <w:rPr>
                <w:rFonts w:ascii="Arial" w:cs="Arial" w:eastAsia="Arial" w:hAnsi="Arial"/>
                <w:sz w:val="18"/>
                <w:szCs w:val="18"/>
                <w:color w:val="auto"/>
                <w:w w:val="93"/>
              </w:rPr>
              <w:t>$14.0</w:t>
            </w: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Initial term</w:t>
            </w:r>
          </w:p>
        </w:tc>
        <w:tc>
          <w:tcPr>
            <w:tcW w:w="3560" w:type="dxa"/>
            <w:vAlign w:val="bottom"/>
          </w:tcPr>
          <w:p>
            <w:pPr>
              <w:ind w:left="2820"/>
              <w:spacing w:after="0"/>
              <w:rPr>
                <w:sz w:val="20"/>
                <w:szCs w:val="20"/>
                <w:color w:val="auto"/>
              </w:rPr>
            </w:pPr>
            <w:r>
              <w:rPr>
                <w:rFonts w:ascii="Arial" w:cs="Arial" w:eastAsia="Arial" w:hAnsi="Arial"/>
                <w:sz w:val="18"/>
                <w:szCs w:val="18"/>
                <w:color w:val="auto"/>
                <w:w w:val="93"/>
              </w:rPr>
              <w:t>0.5 Years</w:t>
            </w:r>
          </w:p>
        </w:tc>
      </w:tr>
      <w:tr>
        <w:trPr>
          <w:trHeight w:val="27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560" w:type="dxa"/>
            <w:vAlign w:val="bottom"/>
            <w:shd w:val="clear" w:color="auto" w:fill="CCEEFF"/>
          </w:tcPr>
          <w:p>
            <w:pPr>
              <w:jc w:val="center"/>
              <w:ind w:left="2690"/>
              <w:spacing w:after="0"/>
              <w:rPr>
                <w:sz w:val="20"/>
                <w:szCs w:val="20"/>
                <w:color w:val="auto"/>
              </w:rPr>
            </w:pPr>
            <w:r>
              <w:rPr>
                <w:rFonts w:ascii="Arial" w:cs="Arial" w:eastAsia="Arial" w:hAnsi="Arial"/>
                <w:sz w:val="18"/>
                <w:szCs w:val="18"/>
                <w:color w:val="auto"/>
                <w:w w:val="94"/>
              </w:rPr>
              <w:t>55.00%</w:t>
            </w: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Risk free rate</w:t>
            </w:r>
          </w:p>
        </w:tc>
        <w:tc>
          <w:tcPr>
            <w:tcW w:w="3560" w:type="dxa"/>
            <w:vAlign w:val="bottom"/>
          </w:tcPr>
          <w:p>
            <w:pPr>
              <w:jc w:val="center"/>
              <w:ind w:left="2710"/>
              <w:spacing w:after="0"/>
              <w:rPr>
                <w:sz w:val="20"/>
                <w:szCs w:val="20"/>
                <w:color w:val="auto"/>
              </w:rPr>
            </w:pPr>
            <w:r>
              <w:rPr>
                <w:rFonts w:ascii="Arial" w:cs="Arial" w:eastAsia="Arial" w:hAnsi="Arial"/>
                <w:sz w:val="18"/>
                <w:szCs w:val="18"/>
                <w:color w:val="auto"/>
                <w:w w:val="93"/>
              </w:rPr>
              <w:t>2.36%</w:t>
            </w:r>
          </w:p>
        </w:tc>
      </w:tr>
      <w:tr>
        <w:trPr>
          <w:trHeight w:val="27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60" w:type="dxa"/>
            <w:vAlign w:val="bottom"/>
            <w:shd w:val="clear" w:color="auto" w:fill="CCEEFF"/>
          </w:tcPr>
          <w:p>
            <w:pPr>
              <w:jc w:val="center"/>
              <w:ind w:left="2710"/>
              <w:spacing w:after="0"/>
              <w:rPr>
                <w:sz w:val="20"/>
                <w:szCs w:val="20"/>
                <w:color w:val="auto"/>
              </w:rPr>
            </w:pPr>
            <w:r>
              <w:rPr>
                <w:rFonts w:ascii="Arial" w:cs="Arial" w:eastAsia="Arial" w:hAnsi="Arial"/>
                <w:sz w:val="18"/>
                <w:szCs w:val="18"/>
                <w:color w:val="auto"/>
                <w:w w:val="93"/>
              </w:rPr>
              <w:t>0.00%</w:t>
            </w:r>
          </w:p>
        </w:tc>
      </w:tr>
    </w:tbl>
    <w:p>
      <w:pPr>
        <w:spacing w:after="0" w:line="148"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The fair value of the Series C preferred shares prior to extinguishment was $3.28 per share and was computed based on the Probability-Weighted Expected Return Method (PWERM) framework, using the Option Pricing Method (OPM) to allocate the equity value in the scenarios where CFIUS approval is received. The range of inputs for the various scenarios used in determining the fair value of the Series C convertible preferred shares using OPM as of the extinguishment date in September 2018, is as follows:</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6" w:name="page207"/>
    <w:bookmarkEnd w:id="206"/>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80" w:type="dxa"/>
            <w:vAlign w:val="bottom"/>
          </w:tcPr>
          <w:p>
            <w:pPr>
              <w:jc w:val="center"/>
              <w:ind w:right="1190"/>
              <w:spacing w:after="0"/>
              <w:rPr>
                <w:sz w:val="20"/>
                <w:szCs w:val="20"/>
                <w:color w:val="auto"/>
              </w:rPr>
            </w:pPr>
            <w:r>
              <w:rPr>
                <w:rFonts w:ascii="Arial" w:cs="Arial" w:eastAsia="Arial" w:hAnsi="Arial"/>
                <w:sz w:val="18"/>
                <w:szCs w:val="18"/>
                <w:b w:val="1"/>
                <w:bCs w:val="1"/>
                <w:color w:val="auto"/>
                <w:w w:val="96"/>
              </w:rPr>
              <w:t>ATIEVA, INC. AND SUBSIDIARIES</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80" w:type="dxa"/>
            <w:vAlign w:val="bottom"/>
          </w:tcPr>
          <w:p>
            <w:pPr>
              <w:jc w:val="center"/>
              <w:ind w:right="1190"/>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Price per share</w:t>
            </w:r>
          </w:p>
        </w:tc>
        <w:tc>
          <w:tcPr>
            <w:tcW w:w="6180" w:type="dxa"/>
            <w:vAlign w:val="bottom"/>
            <w:shd w:val="clear" w:color="auto" w:fill="CCEEFF"/>
          </w:tcPr>
          <w:p>
            <w:pPr>
              <w:jc w:val="center"/>
              <w:ind w:left="4930"/>
              <w:spacing w:after="0" w:line="189" w:lineRule="exact"/>
              <w:rPr>
                <w:sz w:val="20"/>
                <w:szCs w:val="20"/>
                <w:color w:val="auto"/>
              </w:rPr>
            </w:pPr>
            <w:r>
              <w:rPr>
                <w:rFonts w:ascii="Arial" w:cs="Arial" w:eastAsia="Arial" w:hAnsi="Arial"/>
                <w:sz w:val="18"/>
                <w:szCs w:val="18"/>
                <w:color w:val="auto"/>
                <w:w w:val="91"/>
              </w:rPr>
              <w:t>$5.45 – 6.41</w:t>
            </w:r>
          </w:p>
        </w:tc>
        <w:tc>
          <w:tcPr>
            <w:tcW w:w="0" w:type="dxa"/>
            <w:vAlign w:val="bottom"/>
          </w:tcPr>
          <w:p>
            <w:pPr>
              <w:spacing w:after="0"/>
              <w:rPr>
                <w:sz w:val="1"/>
                <w:szCs w:val="1"/>
                <w:color w:val="auto"/>
              </w:rPr>
            </w:pPr>
          </w:p>
        </w:tc>
      </w:tr>
      <w:tr>
        <w:trPr>
          <w:trHeight w:val="257"/>
        </w:trPr>
        <w:tc>
          <w:tcPr>
            <w:tcW w:w="1300" w:type="dxa"/>
            <w:vAlign w:val="bottom"/>
            <w:gridSpan w:val="2"/>
          </w:tcPr>
          <w:p>
            <w:pPr>
              <w:spacing w:after="0"/>
              <w:rPr>
                <w:sz w:val="20"/>
                <w:szCs w:val="20"/>
                <w:color w:val="auto"/>
              </w:rPr>
            </w:pPr>
            <w:r>
              <w:rPr>
                <w:rFonts w:ascii="Arial" w:cs="Arial" w:eastAsia="Arial" w:hAnsi="Arial"/>
                <w:sz w:val="18"/>
                <w:szCs w:val="18"/>
                <w:color w:val="auto"/>
              </w:rPr>
              <w:t>Term</w:t>
            </w:r>
          </w:p>
        </w:tc>
        <w:tc>
          <w:tcPr>
            <w:tcW w:w="6180" w:type="dxa"/>
            <w:vAlign w:val="bottom"/>
          </w:tcPr>
          <w:p>
            <w:pPr>
              <w:ind w:left="5040"/>
              <w:spacing w:after="0"/>
              <w:rPr>
                <w:sz w:val="20"/>
                <w:szCs w:val="20"/>
                <w:color w:val="auto"/>
              </w:rPr>
            </w:pPr>
            <w:r>
              <w:rPr>
                <w:rFonts w:ascii="Arial" w:cs="Arial" w:eastAsia="Arial" w:hAnsi="Arial"/>
                <w:sz w:val="18"/>
                <w:szCs w:val="18"/>
                <w:color w:val="auto"/>
                <w:w w:val="91"/>
              </w:rPr>
              <w:t>1.7 – 2.4 Years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6180" w:type="dxa"/>
            <w:vAlign w:val="bottom"/>
            <w:shd w:val="clear" w:color="auto" w:fill="CCEEFF"/>
          </w:tcPr>
          <w:p>
            <w:pPr>
              <w:jc w:val="center"/>
              <w:ind w:left="4950"/>
              <w:spacing w:after="0"/>
              <w:rPr>
                <w:sz w:val="20"/>
                <w:szCs w:val="20"/>
                <w:color w:val="auto"/>
              </w:rPr>
            </w:pPr>
            <w:r>
              <w:rPr>
                <w:rFonts w:ascii="Arial" w:cs="Arial" w:eastAsia="Arial" w:hAnsi="Arial"/>
                <w:sz w:val="18"/>
                <w:szCs w:val="18"/>
                <w:color w:val="auto"/>
                <w:w w:val="94"/>
              </w:rPr>
              <w:t>55.00%</w:t>
            </w:r>
          </w:p>
        </w:tc>
        <w:tc>
          <w:tcPr>
            <w:tcW w:w="0" w:type="dxa"/>
            <w:vAlign w:val="bottom"/>
          </w:tcPr>
          <w:p>
            <w:pPr>
              <w:spacing w:after="0"/>
              <w:rPr>
                <w:sz w:val="1"/>
                <w:szCs w:val="1"/>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8"/>
                <w:szCs w:val="18"/>
                <w:color w:val="auto"/>
              </w:rPr>
              <w:t>Risk free rate</w:t>
            </w:r>
          </w:p>
        </w:tc>
        <w:tc>
          <w:tcPr>
            <w:tcW w:w="6180" w:type="dxa"/>
            <w:vAlign w:val="bottom"/>
          </w:tcPr>
          <w:p>
            <w:pPr>
              <w:jc w:val="center"/>
              <w:ind w:left="4950"/>
              <w:spacing w:after="0"/>
              <w:rPr>
                <w:sz w:val="20"/>
                <w:szCs w:val="20"/>
                <w:color w:val="auto"/>
              </w:rPr>
            </w:pPr>
            <w:r>
              <w:rPr>
                <w:rFonts w:ascii="Arial" w:cs="Arial" w:eastAsia="Arial" w:hAnsi="Arial"/>
                <w:sz w:val="18"/>
                <w:szCs w:val="18"/>
                <w:color w:val="auto"/>
                <w:w w:val="93"/>
              </w:rPr>
              <w:t>2.71% – 2.81%</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The fair value of the Series C preferred shares after the extinguishment was determined as $13.31 per share and was computed as the sum of the fair value of Series C of $3.28 per share as of the extinguishment date and the fair value of the contingent repurchase feature of $10.03 per share.</w:t>
      </w:r>
    </w:p>
    <w:p>
      <w:pPr>
        <w:spacing w:after="0" w:line="114"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As the carrying amount of each share of Series C was $6.41 in September 2018 with an aggregate carrying amount of Series C shares extinguished at $32.0 million, the Company recognized $9.4 million as a reduction of additional paid-in capital and the remaining $22.6 million as an increase to accumulated deficit under shareholders’ equity in the consolidated balance sheet as of December 31, 2018 as the Company did not have sufficient additional paid-in capital as of the extinguishment date to offset the excess of the fair value over the carrying amount.</w:t>
      </w:r>
    </w:p>
    <w:p>
      <w:pPr>
        <w:spacing w:after="0" w:line="122"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7"/>
          <w:szCs w:val="17"/>
          <w:color w:val="auto"/>
        </w:rPr>
        <w:t>In June 2019, the Company and the Sellers amended and restated the September 2018 Repurchase Agreement related to the Second Company Repurchase. Pursuant to the terms, the Company repurchased 3,571,429 shares of Series C at $14.00 per share and the remaining 1,071,428 shares subject to the Second Company Repurchase were extinguished and the Company was released of any and all obligation to purchase any shares in excess of the 3,571,429 subject to redemption.</w:t>
      </w:r>
    </w:p>
    <w:p>
      <w:pPr>
        <w:spacing w:after="0" w:line="93"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As the carrying amount of each share of Series C was $13.31 in June 2019 and the total carrying amount of Series C repurchased was $47.5 million, the Company recognized $2.5 million as additional paid-in capital under shareholders’ equity in the consolidated balance sheet as of December 31, 2019, related to the excess of fair value paid over carrying amount. The carrying amount of 1,071,428 shares extinguished in June 2019 was $ 14.3 million and the fair value was $3.60 per share, the Company recognized $10.4 million as an increase to additional paid in capital under shareholders’ equity in the consolidated balance sheet as of December 31, 2019, related to the difference between fair value after extinguishment and carrying amount.</w:t>
      </w:r>
    </w:p>
    <w:p>
      <w:pPr>
        <w:spacing w:after="0" w:line="112"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The fair value of the Series C preferred shares after extinguishment in June 2019 was $3.60 per share and was computed based on the PWERM framework, using the OPM to allocate the equity value in the scenarios where CFIUS approval is received and the Current Value Method or CVM to allocate the equity value in the scenario where CFIUS approval is not received.</w:t>
      </w:r>
    </w:p>
    <w:p>
      <w:pPr>
        <w:spacing w:after="0" w:line="107" w:lineRule="exact"/>
        <w:rPr>
          <w:sz w:val="20"/>
          <w:szCs w:val="20"/>
          <w:color w:val="auto"/>
        </w:rPr>
      </w:pPr>
    </w:p>
    <w:p>
      <w:pPr>
        <w:ind w:left="1260" w:right="1019" w:firstLine="360"/>
        <w:spacing w:after="0" w:line="291" w:lineRule="auto"/>
        <w:rPr>
          <w:sz w:val="20"/>
          <w:szCs w:val="20"/>
          <w:color w:val="auto"/>
        </w:rPr>
      </w:pPr>
      <w:r>
        <w:rPr>
          <w:rFonts w:ascii="Arial" w:cs="Arial" w:eastAsia="Arial" w:hAnsi="Arial"/>
          <w:sz w:val="17"/>
          <w:szCs w:val="17"/>
          <w:color w:val="auto"/>
        </w:rPr>
        <w:t>The range of inputs for the various scenarios used in determining the fair value of the Series C convertible preferred shares using OPM as of the extinguishment date, in June 2019, was as follows:</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Price per share</w:t>
            </w:r>
          </w:p>
        </w:tc>
        <w:tc>
          <w:tcPr>
            <w:tcW w:w="3760" w:type="dxa"/>
            <w:vAlign w:val="bottom"/>
            <w:shd w:val="clear" w:color="auto" w:fill="CCEEFF"/>
          </w:tcPr>
          <w:p>
            <w:pPr>
              <w:jc w:val="center"/>
              <w:ind w:left="2530"/>
              <w:spacing w:after="0"/>
              <w:rPr>
                <w:sz w:val="20"/>
                <w:szCs w:val="20"/>
                <w:color w:val="auto"/>
              </w:rPr>
            </w:pPr>
            <w:r>
              <w:rPr>
                <w:rFonts w:ascii="Arial" w:cs="Arial" w:eastAsia="Arial" w:hAnsi="Arial"/>
                <w:sz w:val="18"/>
                <w:szCs w:val="18"/>
                <w:color w:val="auto"/>
                <w:w w:val="93"/>
              </w:rPr>
              <w:t>$6.41</w:t>
            </w:r>
          </w:p>
        </w:tc>
      </w:tr>
      <w:tr>
        <w:trPr>
          <w:trHeight w:val="257"/>
        </w:trPr>
        <w:tc>
          <w:tcPr>
            <w:tcW w:w="3720" w:type="dxa"/>
            <w:vAlign w:val="bottom"/>
          </w:tcPr>
          <w:p>
            <w:pPr>
              <w:spacing w:after="0"/>
              <w:rPr>
                <w:sz w:val="20"/>
                <w:szCs w:val="20"/>
                <w:color w:val="auto"/>
              </w:rPr>
            </w:pPr>
            <w:r>
              <w:rPr>
                <w:rFonts w:ascii="Arial" w:cs="Arial" w:eastAsia="Arial" w:hAnsi="Arial"/>
                <w:sz w:val="18"/>
                <w:szCs w:val="18"/>
                <w:color w:val="auto"/>
              </w:rPr>
              <w:t>Term</w:t>
            </w:r>
          </w:p>
        </w:tc>
        <w:tc>
          <w:tcPr>
            <w:tcW w:w="3760" w:type="dxa"/>
            <w:vAlign w:val="bottom"/>
          </w:tcPr>
          <w:p>
            <w:pPr>
              <w:ind w:left="2620"/>
              <w:spacing w:after="0"/>
              <w:rPr>
                <w:sz w:val="20"/>
                <w:szCs w:val="20"/>
                <w:color w:val="auto"/>
              </w:rPr>
            </w:pPr>
            <w:r>
              <w:rPr>
                <w:rFonts w:ascii="Arial" w:cs="Arial" w:eastAsia="Arial" w:hAnsi="Arial"/>
                <w:sz w:val="18"/>
                <w:szCs w:val="18"/>
                <w:color w:val="auto"/>
                <w:w w:val="91"/>
              </w:rPr>
              <w:t>1.7 – 2.3 Years</w:t>
            </w:r>
          </w:p>
        </w:tc>
      </w:tr>
      <w:tr>
        <w:trPr>
          <w:trHeight w:val="27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760" w:type="dxa"/>
            <w:vAlign w:val="bottom"/>
            <w:shd w:val="clear" w:color="auto" w:fill="CCEEFF"/>
          </w:tcPr>
          <w:p>
            <w:pPr>
              <w:jc w:val="center"/>
              <w:ind w:left="2530"/>
              <w:spacing w:after="0"/>
              <w:rPr>
                <w:sz w:val="20"/>
                <w:szCs w:val="20"/>
                <w:color w:val="auto"/>
              </w:rPr>
            </w:pPr>
            <w:r>
              <w:rPr>
                <w:rFonts w:ascii="Arial" w:cs="Arial" w:eastAsia="Arial" w:hAnsi="Arial"/>
                <w:sz w:val="18"/>
                <w:szCs w:val="18"/>
                <w:color w:val="auto"/>
                <w:w w:val="94"/>
              </w:rPr>
              <w:t>55.00%</w:t>
            </w: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Risk free rate</w:t>
            </w:r>
          </w:p>
        </w:tc>
        <w:tc>
          <w:tcPr>
            <w:tcW w:w="3760" w:type="dxa"/>
            <w:vAlign w:val="bottom"/>
          </w:tcPr>
          <w:p>
            <w:pPr>
              <w:jc w:val="center"/>
              <w:ind w:left="2530"/>
              <w:spacing w:after="0"/>
              <w:rPr>
                <w:sz w:val="20"/>
                <w:szCs w:val="20"/>
                <w:color w:val="auto"/>
              </w:rPr>
            </w:pPr>
            <w:r>
              <w:rPr>
                <w:rFonts w:ascii="Arial" w:cs="Arial" w:eastAsia="Arial" w:hAnsi="Arial"/>
                <w:sz w:val="18"/>
                <w:szCs w:val="18"/>
                <w:color w:val="auto"/>
                <w:w w:val="93"/>
              </w:rPr>
              <w:t>1.59% – 2.71%</w:t>
            </w:r>
          </w:p>
        </w:tc>
      </w:tr>
    </w:tbl>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Third Company Repurchase (Series C — August 2020)</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In August 2020, the Company entered into a Share Repurchase Agreement with the Sellers. Pursuant to the Share Repurchase Agreement, the Company agreed to repurchase 3,652,265 shares of Series C convertible preferred shares owned by the Sellers in August 2020 at a price of $2.70 per share for total of $9.9 million. The carrying value of the repurchased Series C convertible preferred shares is $20.4 million. As such, the Company recognized $10.5 million in additional paid-in capital under shareholder’s equity in the consolidated balance sheet as of December 31, 2020 related to the difference in fair value and carrying value of the Series C shares repurchased.</w:t>
      </w:r>
    </w:p>
    <w:p>
      <w:pPr>
        <w:spacing w:after="0" w:line="38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Fourth Company Repurchase (Series C — December 2020)</w:t>
      </w:r>
    </w:p>
    <w:p>
      <w:pPr>
        <w:spacing w:after="0" w:line="148"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In December 2020, the Company entered into a Share Repurchase Agreement with Blitz Technology Hong Kong Co. Limited (“Blitz”).</w:t>
      </w:r>
    </w:p>
    <w:p>
      <w:pPr>
        <w:spacing w:after="0" w:line="103" w:lineRule="exact"/>
        <w:rPr>
          <w:sz w:val="20"/>
          <w:szCs w:val="20"/>
          <w:color w:val="auto"/>
        </w:rPr>
      </w:pPr>
    </w:p>
    <w:p>
      <w:pPr>
        <w:jc w:val="both"/>
        <w:ind w:left="1260" w:right="499" w:firstLine="360"/>
        <w:spacing w:after="0" w:line="275" w:lineRule="auto"/>
        <w:rPr>
          <w:sz w:val="20"/>
          <w:szCs w:val="20"/>
          <w:color w:val="auto"/>
        </w:rPr>
      </w:pPr>
      <w:r>
        <w:rPr>
          <w:rFonts w:ascii="Arial" w:cs="Arial" w:eastAsia="Arial" w:hAnsi="Arial"/>
          <w:sz w:val="17"/>
          <w:szCs w:val="17"/>
          <w:color w:val="auto"/>
        </w:rPr>
        <w:t>The Company agreed to repurchase 700,000 Series C convertible preferred shares from Blitz at a price of $3.20 per share, aggregating to $2.2 million. As the carrying amount of each share of Series C was $6.41 aggregating to $4.5 million in September 2020, the Company recognized $2.2 million as additional paid-in capital under shareholders’ equity in the consolidated balance sheet as of December 31, 2020, related to the difference in fair value and carrying value of the Series C shares repurchased.</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Fifth Company Repurchase (Series B — December 2020)</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On December 22, 2020, the Company entered into an agreement with JAFCO Asia Technology Fund V (“JAFCO”) whereby the Company agreed to repurchase 1,333,333 Series B convertible preferred shares having a carrying value of $4.0 million, from JAFCO for a total consideration of $3.0 million. The agreement resulted in an extinguishment of the Series B convertible preferred shares and the Company recognized $1.0 million in additional paid-in capital being the difference in fair value of the consideration payable and the carrying value of the Series B convertible preferred shares. As of the date of extinguishment and as of December 31, 2020 the Series B convertible preferred shares subject to repurchase are mandatorily redeemable within 45 days of the agreement and accordingly have been reclassified to other accrued liabilities on the consolidated balance sheets.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Series D Preferred Share Issuance</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In 2018, the Security Purchase Agreement with PIF granted PIF rights to purchase the Company’s Series D convertible shares at various tranches. The first tranche of $200.0 million is issuable upon the approval of the PIF’s equity investment into the Company by CFIUS (refer to Note 5 — Convertible Notes). The second and third tranches of $400.0 million each are issuable upon the Company’s satisfaction of certain milestones related to further development and enhancement in marketing, product, and administrative activities.</w:t>
      </w:r>
    </w:p>
    <w:p>
      <w:pPr>
        <w:spacing w:after="0" w:line="125" w:lineRule="exact"/>
        <w:rPr>
          <w:sz w:val="20"/>
          <w:szCs w:val="20"/>
          <w:color w:val="auto"/>
        </w:rPr>
      </w:pPr>
    </w:p>
    <w:p>
      <w:pPr>
        <w:ind w:left="1260" w:right="559" w:firstLine="360"/>
        <w:spacing w:after="0" w:line="269" w:lineRule="auto"/>
        <w:rPr>
          <w:sz w:val="20"/>
          <w:szCs w:val="20"/>
          <w:color w:val="auto"/>
        </w:rPr>
      </w:pPr>
      <w:r>
        <w:rPr>
          <w:rFonts w:ascii="Arial" w:cs="Arial" w:eastAsia="Arial" w:hAnsi="Arial"/>
          <w:sz w:val="17"/>
          <w:szCs w:val="17"/>
          <w:color w:val="auto"/>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141,746,324 shares of Series D at a price of $6.15 per share, for net proceeds of approximately $872.0 million during the year ended December 31, 2019. The Company recorded $10.2 million of share issuance costs for Series D as noncurrent assets in the consolidated balance sheet as of December 31, 2018 and subsequently reclassified this amount to contra convertible preferred shares when Series D was funded in 2019. An additional $0.3 million of Series D share issuance cost was incurred in 2019 and was recorded as an issuance cost in additional paid in capital to offset the proceeds from Series D.</w:t>
      </w:r>
    </w:p>
    <w:p>
      <w:pPr>
        <w:spacing w:after="0" w:line="118" w:lineRule="exact"/>
        <w:rPr>
          <w:sz w:val="20"/>
          <w:szCs w:val="20"/>
          <w:color w:val="auto"/>
        </w:rPr>
      </w:pPr>
    </w:p>
    <w:p>
      <w:pPr>
        <w:ind w:left="1260" w:right="419" w:firstLine="360"/>
        <w:spacing w:after="0" w:line="296" w:lineRule="auto"/>
        <w:rPr>
          <w:sz w:val="20"/>
          <w:szCs w:val="20"/>
          <w:color w:val="auto"/>
        </w:rPr>
      </w:pPr>
      <w:r>
        <w:rPr>
          <w:rFonts w:ascii="Arial" w:cs="Arial" w:eastAsia="Arial" w:hAnsi="Arial"/>
          <w:sz w:val="16"/>
          <w:szCs w:val="16"/>
          <w:color w:val="auto"/>
        </w:rPr>
        <w:t>In March 2020, the Company received $200.0 million of the remaining $400.0 million in proceeds from PIF and issued 31,201,245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31,201,245 shares of Series D.</w:t>
      </w:r>
    </w:p>
    <w:p>
      <w:pPr>
        <w:spacing w:after="0" w:line="80"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See activities related to the PIF Convertible Notes and Series D convertible preferred share funding as below (in thousands):</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8" w:name="page209"/>
    <w:bookmarkEnd w:id="208"/>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 (Note 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271,985</w:t>
            </w: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Series D received in April 2019</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5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Series D received in October 2019</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Series D received in March 2020</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5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Series received in June 2020</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64"/>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forward contract liability reclassified to Series D</w:t>
            </w: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39,563</w:t>
            </w:r>
          </w:p>
        </w:tc>
      </w:tr>
      <w:tr>
        <w:trPr>
          <w:trHeight w:val="295"/>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proceeds of Series 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1,311,548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3481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Series E convertible preferred share Issuance</w:t>
      </w:r>
    </w:p>
    <w:p>
      <w:pPr>
        <w:spacing w:after="0" w:line="162" w:lineRule="exact"/>
        <w:rPr>
          <w:sz w:val="20"/>
          <w:szCs w:val="20"/>
          <w:color w:val="auto"/>
        </w:rPr>
      </w:pPr>
    </w:p>
    <w:p>
      <w:pPr>
        <w:ind w:left="1260" w:right="1380" w:firstLine="360"/>
        <w:spacing w:after="0" w:line="253" w:lineRule="auto"/>
        <w:rPr>
          <w:sz w:val="20"/>
          <w:szCs w:val="20"/>
          <w:color w:val="auto"/>
        </w:rPr>
      </w:pPr>
      <w:r>
        <w:rPr>
          <w:rFonts w:ascii="Arial" w:cs="Arial" w:eastAsia="Arial" w:hAnsi="Arial"/>
          <w:sz w:val="18"/>
          <w:szCs w:val="18"/>
          <w:color w:val="auto"/>
        </w:rPr>
        <w:t>On September 21, 2020 the Company entered into an arrangement with Ayar to issue and sell Series E convertible preferred shares pursuant to a securities purchase agreement (the “SPAE”). Along with the execution of the SPAE, the Company granted Ayar the right to purchase additional Series E convertible preferred shares upon the Company’s satisfaction of certain milestones in November 2020. The Company determined Ayar’s right to participate in future Series E convertible preferred share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$7.90 per share of Series E convertible preferred. The Company needed to satisfy two sets of milestone conditions relating to further development and enhancement in marketing, product, and administrative activities for Ayar to provide funding under the SPAE.</w:t>
      </w:r>
    </w:p>
    <w:p>
      <w:pPr>
        <w:spacing w:after="0" w:line="111" w:lineRule="exact"/>
        <w:rPr>
          <w:sz w:val="20"/>
          <w:szCs w:val="20"/>
          <w:color w:val="auto"/>
        </w:rPr>
      </w:pPr>
    </w:p>
    <w:p>
      <w:pPr>
        <w:ind w:left="1260" w:right="1260" w:firstLine="360"/>
        <w:spacing w:after="0" w:line="269" w:lineRule="auto"/>
        <w:rPr>
          <w:sz w:val="20"/>
          <w:szCs w:val="20"/>
          <w:color w:val="auto"/>
        </w:rPr>
      </w:pPr>
      <w:r>
        <w:rPr>
          <w:rFonts w:ascii="Arial" w:cs="Arial" w:eastAsia="Arial" w:hAnsi="Arial"/>
          <w:sz w:val="17"/>
          <w:szCs w:val="17"/>
          <w:color w:val="auto"/>
        </w:rPr>
        <w:t>Immediately upon closing of the SPAE, the Company received the full first tranche of $500.0 million in funding in exchange for 63,265,327 Series E convertible preferred shares as the requirement for the first milestones were met prior to execution of the purchase agreement. Subsequently, the Company successfully satisfied certain of the second set of milestones and received a waiver from PIF for the remaining milestones; and on December 24, 2020, the investor provided $400.0 million of funding in exchange for 50,612,262 shares as the final issuance of Series E convertible preferred shares related to the second milestones. Upon final settlement, the Company re-valued the liability associated with the contingent forward contract to the then fair value of $110.5 million from a contingent liability of $0.8 million and derecognized the liability as the contract was settled in its entirety. The Company recognized the increase in fair value of $109.7 million in the consolidated statements of operations and reclassified the liability into convertible preferred shares on the Company’s consolidated balance sheets as of December 31, 2020.</w:t>
      </w:r>
    </w:p>
    <w:p>
      <w:pPr>
        <w:spacing w:after="0" w:line="114" w:lineRule="exact"/>
        <w:rPr>
          <w:sz w:val="20"/>
          <w:szCs w:val="20"/>
          <w:color w:val="auto"/>
        </w:rPr>
      </w:pPr>
    </w:p>
    <w:p>
      <w:pPr>
        <w:ind w:left="1260" w:right="1320" w:firstLine="360"/>
        <w:spacing w:after="0" w:line="342" w:lineRule="auto"/>
        <w:rPr>
          <w:sz w:val="20"/>
          <w:szCs w:val="20"/>
          <w:color w:val="auto"/>
        </w:rPr>
      </w:pPr>
      <w:r>
        <w:rPr>
          <w:rFonts w:ascii="Arial" w:cs="Arial" w:eastAsia="Arial" w:hAnsi="Arial"/>
          <w:sz w:val="16"/>
          <w:szCs w:val="16"/>
          <w:color w:val="auto"/>
        </w:rPr>
        <w:t>As of December 31, 2020, and 2019, the Company had the following convertible preferred shares, par value of $0.0001 per share, authorized, and outstanding (in thousands, except share and per share amounts):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Conversion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Price Per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 to</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Liquidation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Per Share</w:t>
            </w:r>
          </w:p>
        </w:tc>
        <w:tc>
          <w:tcPr>
            <w:tcW w:w="2080" w:type="dxa"/>
            <w:vAlign w:val="bottom"/>
            <w:gridSpan w:val="3"/>
          </w:tcPr>
          <w:p>
            <w:pPr>
              <w:jc w:val="right"/>
              <w:ind w:right="1340"/>
              <w:spacing w:after="0"/>
              <w:rPr>
                <w:sz w:val="20"/>
                <w:szCs w:val="20"/>
                <w:color w:val="auto"/>
              </w:rPr>
            </w:pPr>
            <w:r>
              <w:rPr>
                <w:rFonts w:ascii="Arial" w:cs="Arial" w:eastAsia="Arial" w:hAnsi="Arial"/>
                <w:sz w:val="14"/>
                <w:szCs w:val="14"/>
                <w:b w:val="1"/>
                <w:bCs w:val="1"/>
                <w:color w:val="auto"/>
                <w:w w:val="95"/>
              </w:rPr>
              <w:t>Liquidation</w:t>
            </w:r>
          </w:p>
        </w:tc>
      </w:tr>
      <w:tr>
        <w:trPr>
          <w:trHeight w:val="186"/>
        </w:trPr>
        <w:tc>
          <w:tcPr>
            <w:tcW w:w="1260" w:type="dxa"/>
            <w:vAlign w:val="bottom"/>
          </w:tcPr>
          <w:p>
            <w:pPr>
              <w:spacing w:after="0"/>
              <w:rPr>
                <w:sz w:val="16"/>
                <w:szCs w:val="16"/>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Convertible Preferred Shares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Authorized</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Outstanding</w:t>
            </w:r>
          </w:p>
        </w:tc>
        <w:tc>
          <w:tcPr>
            <w:tcW w:w="10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98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rPr>
              <w:t>Amount</w:t>
            </w:r>
          </w:p>
        </w:tc>
      </w:tr>
      <w:tr>
        <w:trPr>
          <w:trHeight w:val="25"/>
        </w:trPr>
        <w:tc>
          <w:tcPr>
            <w:tcW w:w="12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260" w:type="dxa"/>
            <w:vAlign w:val="bottom"/>
          </w:tcPr>
          <w:p>
            <w:pPr>
              <w:spacing w:after="0"/>
              <w:rPr>
                <w:sz w:val="19"/>
                <w:szCs w:val="19"/>
                <w:color w:val="auto"/>
              </w:rPr>
            </w:pPr>
          </w:p>
        </w:tc>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12,120,000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12,120,000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11,925</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$ 1.00</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$ 1.00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9,333,333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9,333,333</w:t>
            </w:r>
          </w:p>
        </w:tc>
        <w:tc>
          <w:tcPr>
            <w:tcW w:w="1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23,740</w:t>
            </w:r>
          </w:p>
        </w:tc>
        <w:tc>
          <w:tcPr>
            <w:tcW w:w="720" w:type="dxa"/>
            <w:vAlign w:val="bottom"/>
          </w:tcPr>
          <w:p>
            <w:pPr>
              <w:jc w:val="right"/>
              <w:ind w:right="79"/>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1"/>
                <w:szCs w:val="21"/>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rPr>
              <w:t>28,000</w:t>
            </w:r>
          </w:p>
        </w:tc>
      </w:tr>
      <w:tr>
        <w:trPr>
          <w:trHeight w:val="243"/>
        </w:trPr>
        <w:tc>
          <w:tcPr>
            <w:tcW w:w="1260" w:type="dxa"/>
            <w:vAlign w:val="bottom"/>
          </w:tcPr>
          <w:p>
            <w:pPr>
              <w:spacing w:after="0"/>
              <w:rPr>
                <w:sz w:val="21"/>
                <w:szCs w:val="21"/>
                <w:color w:val="auto"/>
              </w:rPr>
            </w:pPr>
          </w:p>
        </w:tc>
        <w:tc>
          <w:tcPr>
            <w:tcW w:w="2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31,170,225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22,532,244</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137,475</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144,432</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234,009,360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204,148,825</w:t>
            </w:r>
          </w:p>
        </w:tc>
        <w:tc>
          <w:tcPr>
            <w:tcW w:w="1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1,311,548</w:t>
            </w:r>
          </w:p>
        </w:tc>
        <w:tc>
          <w:tcPr>
            <w:tcW w:w="720" w:type="dxa"/>
            <w:vAlign w:val="bottom"/>
          </w:tcPr>
          <w:p>
            <w:pPr>
              <w:jc w:val="right"/>
              <w:ind w:right="79"/>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21"/>
                <w:szCs w:val="21"/>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9.62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w w:val="87"/>
              </w:rPr>
              <w:t>1,963,912</w:t>
            </w:r>
          </w:p>
        </w:tc>
      </w:tr>
      <w:tr>
        <w:trPr>
          <w:trHeight w:val="277"/>
        </w:trPr>
        <w:tc>
          <w:tcPr>
            <w:tcW w:w="1260" w:type="dxa"/>
            <w:vAlign w:val="bottom"/>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Series E</w:t>
            </w:r>
          </w:p>
        </w:tc>
        <w:tc>
          <w:tcPr>
            <w:tcW w:w="200" w:type="dxa"/>
            <w:vAlign w:val="bottom"/>
            <w:tcBorders>
              <w:right w:val="single" w:sz="8" w:color="CCEEFF"/>
            </w:tcBorders>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113,877,589</w:t>
            </w:r>
          </w:p>
        </w:tc>
        <w:tc>
          <w:tcPr>
            <w:tcW w:w="200" w:type="dxa"/>
            <w:vAlign w:val="bottom"/>
            <w:tcBorders>
              <w:right w:val="single" w:sz="8" w:color="CCEEFF"/>
            </w:tcBorders>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113,877,589</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1,009,388</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1,349,449</w:t>
            </w:r>
          </w:p>
        </w:tc>
        <w:tc>
          <w:tcPr>
            <w:tcW w:w="126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84"/>
        </w:trPr>
        <w:tc>
          <w:tcPr>
            <w:tcW w:w="126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400,510,507</w:t>
            </w:r>
          </w:p>
        </w:tc>
        <w:tc>
          <w:tcPr>
            <w:tcW w:w="2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362,011,991</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2,494,076</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260"/>
              <w:spacing w:after="0"/>
              <w:rPr>
                <w:sz w:val="20"/>
                <w:szCs w:val="20"/>
                <w:color w:val="auto"/>
              </w:rPr>
            </w:pPr>
            <w:r>
              <w:rPr>
                <w:rFonts w:ascii="Arial" w:cs="Arial" w:eastAsia="Arial" w:hAnsi="Arial"/>
                <w:sz w:val="18"/>
                <w:szCs w:val="18"/>
                <w:color w:val="auto"/>
                <w:w w:val="87"/>
              </w:rPr>
              <w:t>3,497,913</w:t>
            </w:r>
          </w:p>
        </w:tc>
      </w:tr>
      <w:tr>
        <w:trPr>
          <w:trHeight w:val="20"/>
        </w:trPr>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14"/>
        </w:trPr>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F-26</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-1679575</wp:posOffset>
            </wp:positionV>
            <wp:extent cx="1371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-1679575</wp:posOffset>
            </wp:positionV>
            <wp:extent cx="1371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-1679575</wp:posOffset>
            </wp:positionV>
            <wp:extent cx="12001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-1679575</wp:posOffset>
            </wp:positionV>
            <wp:extent cx="12001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-1679575</wp:posOffset>
            </wp:positionV>
            <wp:extent cx="12001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2103120</wp:posOffset>
            </wp:positionH>
            <wp:positionV relativeFrom="paragraph">
              <wp:posOffset>-1679575</wp:posOffset>
            </wp:positionV>
            <wp:extent cx="12001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09" w:name="page210"/>
    <w:bookmarkEnd w:id="209"/>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248920</wp:posOffset>
            </wp:positionV>
            <wp:extent cx="123444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620" w:right="699" w:hanging="360"/>
        <w:spacing w:after="0" w:line="263" w:lineRule="auto"/>
        <w:tabs>
          <w:tab w:leader="none" w:pos="1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of December 31, 2020, 1,333,333 Series B convertible preferred shares at aggregate fair value of $3.0 million were extinguished and reclassified to other accrued liabilities, with cash settlement occurring in January 2021.</w:t>
      </w:r>
    </w:p>
    <w:p>
      <w:pPr>
        <w:spacing w:after="0" w:line="135" w:lineRule="exact"/>
        <w:rPr>
          <w:sz w:val="20"/>
          <w:szCs w:val="20"/>
          <w:color w:val="auto"/>
        </w:rPr>
      </w:pPr>
    </w:p>
    <w:p>
      <w:pPr>
        <w:ind w:left="4640"/>
        <w:spacing w:after="0"/>
        <w:rPr>
          <w:sz w:val="20"/>
          <w:szCs w:val="20"/>
          <w:color w:val="auto"/>
        </w:rPr>
      </w:pPr>
      <w:r>
        <w:rPr>
          <w:rFonts w:ascii="Arial" w:cs="Arial" w:eastAsia="Arial" w:hAnsi="Arial"/>
          <w:sz w:val="14"/>
          <w:szCs w:val="14"/>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Conversion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 Share to</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Liquidation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Per Share</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Liquidation</w:t>
            </w:r>
          </w:p>
        </w:tc>
      </w:tr>
      <w:tr>
        <w:trPr>
          <w:trHeight w:val="186"/>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Convertible Preferred Shares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Authorized</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Outstanding</w:t>
            </w:r>
          </w:p>
        </w:tc>
        <w:tc>
          <w:tcPr>
            <w:tcW w:w="10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b w:val="1"/>
                <w:bCs w:val="1"/>
                <w:color w:val="auto"/>
              </w:rPr>
              <w:t>Amount</w:t>
            </w:r>
          </w:p>
        </w:tc>
      </w:tr>
      <w:tr>
        <w:trPr>
          <w:trHeight w:val="26"/>
        </w:trPr>
        <w:tc>
          <w:tcPr>
            <w:tcW w:w="1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2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12,120,000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12,120,000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11,925</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$ 1.00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r>
      <w:tr>
        <w:trPr>
          <w:trHeight w:val="256"/>
        </w:trPr>
        <w:tc>
          <w:tcPr>
            <w:tcW w:w="218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9,333,333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9,333,333</w:t>
            </w:r>
          </w:p>
        </w:tc>
        <w:tc>
          <w:tcPr>
            <w:tcW w:w="1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27,740</w:t>
            </w:r>
          </w:p>
        </w:tc>
        <w:tc>
          <w:tcPr>
            <w:tcW w:w="780" w:type="dxa"/>
            <w:vAlign w:val="bottom"/>
          </w:tcPr>
          <w:p>
            <w:pPr>
              <w:jc w:val="right"/>
              <w:ind w:right="99"/>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2"/>
                <w:szCs w:val="22"/>
                <w:color w:val="auto"/>
              </w:rPr>
            </w:pPr>
          </w:p>
        </w:tc>
        <w:tc>
          <w:tcPr>
            <w:tcW w:w="740" w:type="dxa"/>
            <w:vAlign w:val="bottom"/>
          </w:tcPr>
          <w:p>
            <w:pPr>
              <w:jc w:val="right"/>
              <w:ind w:right="78"/>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57"/>
        </w:trPr>
        <w:tc>
          <w:tcPr>
            <w:tcW w:w="2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31,170,225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26,884,509</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162,360</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172,331</w:t>
            </w:r>
          </w:p>
        </w:tc>
      </w:tr>
      <w:tr>
        <w:trPr>
          <w:trHeight w:val="263"/>
        </w:trPr>
        <w:tc>
          <w:tcPr>
            <w:tcW w:w="218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234,009,360</w:t>
            </w:r>
          </w:p>
        </w:tc>
        <w:tc>
          <w:tcPr>
            <w:tcW w:w="20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141,746,324</w:t>
            </w:r>
          </w:p>
        </w:tc>
        <w:tc>
          <w:tcPr>
            <w:tcW w:w="1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871,985</w:t>
            </w:r>
          </w:p>
        </w:tc>
        <w:tc>
          <w:tcPr>
            <w:tcW w:w="780" w:type="dxa"/>
            <w:vAlign w:val="bottom"/>
          </w:tcPr>
          <w:p>
            <w:pPr>
              <w:jc w:val="right"/>
              <w:ind w:right="99"/>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22"/>
                <w:szCs w:val="22"/>
                <w:color w:val="auto"/>
              </w:rPr>
            </w:pPr>
          </w:p>
        </w:tc>
        <w:tc>
          <w:tcPr>
            <w:tcW w:w="740" w:type="dxa"/>
            <w:vAlign w:val="bottom"/>
          </w:tcPr>
          <w:p>
            <w:pPr>
              <w:jc w:val="right"/>
              <w:ind w:right="78"/>
              <w:spacing w:after="0"/>
              <w:rPr>
                <w:sz w:val="20"/>
                <w:szCs w:val="20"/>
                <w:color w:val="auto"/>
              </w:rPr>
            </w:pPr>
            <w:r>
              <w:rPr>
                <w:rFonts w:ascii="Arial" w:cs="Arial" w:eastAsia="Arial" w:hAnsi="Arial"/>
                <w:sz w:val="18"/>
                <w:szCs w:val="18"/>
                <w:color w:val="auto"/>
              </w:rPr>
              <w:t>9.62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1,362,891</w:t>
            </w:r>
          </w:p>
        </w:tc>
      </w:tr>
      <w:tr>
        <w:trPr>
          <w:trHeight w:val="20"/>
        </w:trPr>
        <w:tc>
          <w:tcPr>
            <w:tcW w:w="19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90"/>
        </w:trPr>
        <w:tc>
          <w:tcPr>
            <w:tcW w:w="2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286,632,918</w:t>
            </w:r>
          </w:p>
        </w:tc>
        <w:tc>
          <w:tcPr>
            <w:tcW w:w="200" w:type="dxa"/>
            <w:vAlign w:val="bottom"/>
            <w:tcBorders>
              <w:right w:val="single" w:sz="8" w:color="CCEEFF"/>
            </w:tcBorders>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190,084,166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1,074,010</w:t>
            </w: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1,575,342</w:t>
            </w: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68884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-882015</wp:posOffset>
            </wp:positionV>
            <wp:extent cx="1371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-882015</wp:posOffset>
            </wp:positionV>
            <wp:extent cx="13716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-882015</wp:posOffset>
            </wp:positionV>
            <wp:extent cx="1371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-882015</wp:posOffset>
            </wp:positionV>
            <wp:extent cx="12001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-882015</wp:posOffset>
            </wp:positionV>
            <wp:extent cx="12001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-882015</wp:posOffset>
            </wp:positionV>
            <wp:extent cx="12001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significant rights and preferences of the outstanding convertible preferred shares are as follows:</w:t>
      </w:r>
    </w:p>
    <w:p>
      <w:pPr>
        <w:spacing w:after="0" w:line="169"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8"/>
          <w:szCs w:val="18"/>
          <w:b w:val="1"/>
          <w:bCs w:val="1"/>
          <w:i w:val="1"/>
          <w:iCs w:val="1"/>
          <w:color w:val="auto"/>
        </w:rPr>
        <w:t xml:space="preserve">Dividends — </w:t>
      </w:r>
      <w:r>
        <w:rPr>
          <w:rFonts w:ascii="Arial" w:cs="Arial" w:eastAsia="Arial" w:hAnsi="Arial"/>
          <w:sz w:val="18"/>
          <w:szCs w:val="18"/>
          <w:color w:val="auto"/>
        </w:rPr>
        <w:t>Holders of Series A, Series B, and Series C are entitled to receive noncumulative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at an annual rate of $0.08, $0.24, $0.5128 per share, respectively. Holders of Series D and Series E are entitled to receive noncumulative dividends at the rate of 8% of the Series D and Series E Original Issue Price (as adjusted for any Share Split Change) per annum on each outstanding share of Series D and Series E. Such dividends shall be payable when and if declared by the Company’s board of directors (the “Board of Directors”). No other dividends shall be paid on any common or convertible preferred shares until such dividends on Series A, Series B, Series C, Series D and Series E have been paid or declared by the Board of Directors. As of December 31, 2020, and 2019, no dividends have been declared.</w:t>
      </w:r>
    </w:p>
    <w:p>
      <w:pPr>
        <w:spacing w:after="0" w:line="129"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 </w:t>
      </w:r>
      <w:r>
        <w:rPr>
          <w:rFonts w:ascii="Arial" w:cs="Arial" w:eastAsia="Arial" w:hAnsi="Arial"/>
          <w:sz w:val="17"/>
          <w:szCs w:val="17"/>
          <w:color w:val="auto"/>
        </w:rPr>
        <w:t>In the event of any liquidation, dissolution, or winding-up 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whether voluntary or involuntary (a Liquidation Event), before any distribution or payment shall be made to holders of common shares, each holder of convertible preferred shares then outstanding shall be entitled to be paid, pro rata, out of the assets of the Company available for distribution to members, whether from capital, surplus, or earnings, in the sequence of Series E, Series D, Series C, Series B and Series A, an amount equal to one and one-half times (1.5x), one and one-half times (1.5x), one time (1x), one time (1x), one time (1x) of the Series D, Series C, Series B, and Series A original issue price per share (as adjusted for Share Split Changes), plus all declared and unpaid distributions thereon. If, upon the occurrence of such event, the assets and funds to be distributed among the holders of the convertible preferred shares shall be insufficient to permit the payment to such holders of the full aforesaid preferential amounts, the holders of the convertible preferred shares shall receive a pro rata distribution of assets, on a pari passu basis, according to the amounts which would be payable in respect of the Series E and Series D convertible preferred shares held by them upon such distribution if all amounts payable on or with respect to said shares were paid in full.</w:t>
      </w:r>
    </w:p>
    <w:p>
      <w:pPr>
        <w:spacing w:after="0" w:line="103"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Upon completion of the full distribution required above, the remaining assets of the Company available for distribution to members shall be distributed pari passu among the holders of common shares pro rata based on the number of the common shares held by each member.</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b w:val="1"/>
          <w:bCs w:val="1"/>
          <w:i w:val="1"/>
          <w:iCs w:val="1"/>
          <w:color w:val="auto"/>
        </w:rPr>
        <w:t xml:space="preserve">Voting Rights — </w:t>
      </w:r>
      <w:r>
        <w:rPr>
          <w:rFonts w:ascii="Arial" w:cs="Arial" w:eastAsia="Arial" w:hAnsi="Arial"/>
          <w:sz w:val="18"/>
          <w:szCs w:val="18"/>
          <w:color w:val="auto"/>
        </w:rPr>
        <w:t>The holders of Series A, Series B, Series C, Series D and Series E convertible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are entitled to the number of votes equal to the number of Common shares into which such convertible preferred shares are convertible, and with respect to such vote, such holder shall have full voting rights and powers equal to the voting rights and powers of the holders of common shares, and shall be entitled, notwithstanding any provision hereof, to notice of any shareholders’ meeting in accordance with our bylaws. The holders of convertible preferred shares and the holders of common shares shall vote together and not as separate classes.</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0" w:name="page211"/>
    <w:bookmarkEnd w:id="210"/>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b w:val="1"/>
          <w:bCs w:val="1"/>
          <w:i w:val="1"/>
          <w:iCs w:val="1"/>
          <w:color w:val="auto"/>
        </w:rPr>
        <w:t xml:space="preserve">Conversion — </w:t>
      </w:r>
      <w:r>
        <w:rPr>
          <w:rFonts w:ascii="Arial" w:cs="Arial" w:eastAsia="Arial" w:hAnsi="Arial"/>
          <w:sz w:val="18"/>
          <w:szCs w:val="18"/>
          <w:color w:val="auto"/>
        </w:rPr>
        <w:t>Each Series A, Series B, Series C, Series D and Series E convertible preferred share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convertible, at the option of the holder, into one fully paid nonassessable common shares. The conversion formula is adjusted for such events as dilutive issuances, share splits, or business combinations. Each share of Series A, Series B, Series C, Series D and Series E convertible preferred shares shall automatically convert into one share of common shares at the applicable conversion price upon the earlier of (1) vote or written consent of the holders of at least 66.67% of the outstanding Series A, Series B, Series C, Series D or 50% for Series E convertible preferred shares, as applicable (each calculated on an as-converted basis), voting as a class, or (2) immediately before the closing of the Company’s sale of its common shares in a firm commitment underwritten public offering on a U.S. national securities exchange or other internationally recognized securities exchange, which reflects a pre-offering market capitalization in excess of $2.5 billion and which results in gross proceeds to the Company of at least $200.0 million (before payment of underwriters’ discounts, commissions and offering expenses) (such transaction, a “Qualified IPO”).</w:t>
      </w:r>
    </w:p>
    <w:p>
      <w:pPr>
        <w:spacing w:after="0" w:line="118"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Antidilution Adjustment — </w:t>
      </w:r>
      <w:r>
        <w:rPr>
          <w:rFonts w:ascii="Arial" w:cs="Arial" w:eastAsia="Arial" w:hAnsi="Arial"/>
          <w:sz w:val="17"/>
          <w:szCs w:val="17"/>
          <w:color w:val="auto"/>
        </w:rPr>
        <w:t>Subject to certain exceptions, if the Company issues additional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without consideration or for a consideration per share, less than the conversion price with respect to such series of the convertible preferred shares in effect immediately before the issuance of such additional shares, the conversion price of such series of convertible preferred shares in effect immediately before each such issuance shall automatically be adjusted. The new conversion price for such series of convertible preferred shares shall be determined by multiplying the conversion price for such series of convertible preferred shares then in effect by a fraction, the numerator of which will be the number of common shares outstanding immediately before such issuance, plus the number of shares that the aggregate consideration received by the Company for such issuance would purchase at such conversion price then in effect, and the denominator of which will be the number of common shares outstanding immediately before such issuance, plus the number of such additional common shares to be issued.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Shares</w:t>
      </w:r>
    </w:p>
    <w:p>
      <w:pPr>
        <w:spacing w:after="0" w:line="162"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No dividends other than those payable solely in common shares shall be paid on any common share, unless and until (i) the dividends are paid on each outstanding share of convertible preferred share and (ii) a dividend is paid with respect to all outstanding convertible preferred shares in an amount equal to or greater than the aggregate amount of dividends, which would be payable on each convertible preferred share, if immediately prior to such payment on common shares, it had been converted into common shares.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Shares Reserved for Issuance</w:t>
      </w:r>
    </w:p>
    <w:p>
      <w:pPr>
        <w:spacing w:after="0" w:line="162"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The Company’s common shares reserved for future issuances as of December 31, 2020 and 2019, are as follows: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04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5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8"/>
        </w:trPr>
        <w:tc>
          <w:tcPr>
            <w:tcW w:w="544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r>
      <w:tr>
        <w:trPr>
          <w:trHeight w:val="25"/>
        </w:trPr>
        <w:tc>
          <w:tcPr>
            <w:tcW w:w="5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362,011,991</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190,084,166</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Share options outstanding</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26,730,453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26,212,498</w:t>
            </w:r>
          </w:p>
        </w:tc>
      </w:tr>
      <w:tr>
        <w:trPr>
          <w:trHeight w:val="25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 warrant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585,023</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585,023</w:t>
            </w:r>
          </w:p>
        </w:tc>
      </w:tr>
      <w:tr>
        <w:trPr>
          <w:trHeight w:val="263"/>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available for future grants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3,981,178</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7,336,862</w:t>
            </w:r>
          </w:p>
        </w:tc>
      </w:tr>
      <w:tr>
        <w:trPr>
          <w:trHeight w:val="295"/>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common shares reserved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393,308,645</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224,218,549</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1744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174490"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-882015</wp:posOffset>
            </wp:positionV>
            <wp:extent cx="13716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-882015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 SHARES-BASED AWARDS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 Incentive Plans and Share Option Grants to Employees and Directors</w:t>
      </w:r>
    </w:p>
    <w:p>
      <w:pPr>
        <w:spacing w:after="0" w:line="148"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In 2009, the Company adopted the 2009 Share Plan (the “2009 Plan”). In 2014, in connection with the Series C convertible preferred share financing, the Company adopted the 2014 Share Plan (the “2014 Plan”).</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1" w:name="page212"/>
    <w:bookmarkEnd w:id="211"/>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419"/>
        <w:spacing w:after="0" w:line="272" w:lineRule="auto"/>
        <w:rPr>
          <w:sz w:val="20"/>
          <w:szCs w:val="20"/>
          <w:color w:val="auto"/>
        </w:rPr>
      </w:pPr>
      <w:r>
        <w:rPr>
          <w:rFonts w:ascii="Arial" w:cs="Arial" w:eastAsia="Arial" w:hAnsi="Arial"/>
          <w:sz w:val="17"/>
          <w:szCs w:val="17"/>
          <w:color w:val="auto"/>
        </w:rPr>
        <w:t>Both the 2009 Plan and the 2014 Plan provide for the granting of incentive and non-statutory share options to directors, officers, employees, and consultants. Under the 2009 Plan and the 2014 Plan, the Company may grant options to purchase up to 5,000,000 and 31,884,190 common shares, respectively, at prices not less than the fair market value (FMV) at the date of grant, with limited exceptions. These options generally expire 10 years from the date of grant and are exercisable when the options vest. Incentive share options and non-statutory options generally vest over four years, the majority of which vest at a rate of 25% on the first anniversary of the grant date, with the remainder vesting ratably each month over the next three years.</w:t>
      </w:r>
    </w:p>
    <w:p>
      <w:pPr>
        <w:spacing w:after="0" w:line="96"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As of December 31, 2020, nil and 3,981,178 shares were remaining under the 2009 Plan and the 2014 Plan, respectively, for future grant. As of December 31, 2019, nil and 7,336,862 shares were remaining under the 2009 Plan and the 2014 Plan, respectively, for future grant.</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summary of share option activity under the 2009 Plan and the 2014 Plan is as follows: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10"/>
          </w:tcPr>
          <w:p>
            <w:pPr>
              <w:ind w:left="660"/>
              <w:spacing w:after="0"/>
              <w:rPr>
                <w:sz w:val="20"/>
                <w:szCs w:val="20"/>
                <w:color w:val="auto"/>
              </w:rPr>
            </w:pPr>
            <w:r>
              <w:rPr>
                <w:rFonts w:ascii="Arial" w:cs="Arial" w:eastAsia="Arial" w:hAnsi="Arial"/>
                <w:sz w:val="14"/>
                <w:szCs w:val="14"/>
                <w:b w:val="1"/>
                <w:bCs w:val="1"/>
                <w:color w:val="auto"/>
              </w:rPr>
              <w:t>Outstanding Options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Weighted</w:t>
            </w:r>
          </w:p>
        </w:tc>
        <w:tc>
          <w:tcPr>
            <w:tcW w:w="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Average</w:t>
            </w:r>
          </w:p>
        </w:tc>
        <w:tc>
          <w:tcPr>
            <w:tcW w:w="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Remaining</w:t>
            </w:r>
          </w:p>
        </w:tc>
        <w:tc>
          <w:tcPr>
            <w:tcW w:w="80" w:type="dxa"/>
            <w:vAlign w:val="bottom"/>
          </w:tcPr>
          <w:p>
            <w:pPr>
              <w:spacing w:after="0"/>
              <w:rPr>
                <w:sz w:val="14"/>
                <w:szCs w:val="14"/>
                <w:color w:val="auto"/>
              </w:rPr>
            </w:pPr>
          </w:p>
        </w:tc>
        <w:tc>
          <w:tcPr>
            <w:tcW w:w="7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Available</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Number of</w:t>
            </w:r>
          </w:p>
        </w:tc>
        <w:tc>
          <w:tcPr>
            <w:tcW w:w="8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Exercise</w:t>
            </w:r>
          </w:p>
        </w:tc>
        <w:tc>
          <w:tcPr>
            <w:tcW w:w="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Contractual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for Grant</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6"/>
                <w:szCs w:val="16"/>
                <w:color w:val="auto"/>
              </w:rPr>
            </w:pPr>
          </w:p>
        </w:tc>
        <w:tc>
          <w:tcPr>
            <w:tcW w:w="7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6"/>
                <w:szCs w:val="16"/>
                <w:color w:val="auto"/>
              </w:rPr>
            </w:pPr>
          </w:p>
        </w:tc>
        <w:tc>
          <w:tcPr>
            <w:tcW w:w="7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Term</w:t>
            </w:r>
          </w:p>
        </w:tc>
        <w:tc>
          <w:tcPr>
            <w:tcW w:w="8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6"/>
        </w:trPr>
        <w:tc>
          <w:tcPr>
            <w:tcW w:w="3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January 1, 2019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19,257,865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14,716,256</w:t>
            </w:r>
          </w:p>
        </w:tc>
        <w:tc>
          <w:tcPr>
            <w:tcW w:w="22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$ 1.06</w:t>
            </w:r>
          </w:p>
        </w:tc>
        <w:tc>
          <w:tcPr>
            <w:tcW w:w="22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6.37</w:t>
            </w:r>
          </w:p>
        </w:tc>
        <w:tc>
          <w:tcPr>
            <w:tcW w:w="2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(12,943,015)</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12,943,015</w:t>
            </w:r>
          </w:p>
        </w:tc>
        <w:tc>
          <w:tcPr>
            <w:tcW w:w="220" w:type="dxa"/>
            <w:vAlign w:val="bottom"/>
          </w:tcPr>
          <w:p>
            <w:pPr>
              <w:spacing w:after="0"/>
              <w:rPr>
                <w:sz w:val="22"/>
                <w:szCs w:val="22"/>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(424,761)</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440" w:type="dxa"/>
            <w:vAlign w:val="bottom"/>
          </w:tcPr>
          <w:p>
            <w:pPr>
              <w:ind w:left="180"/>
              <w:spacing w:after="0"/>
              <w:rPr>
                <w:sz w:val="20"/>
                <w:szCs w:val="20"/>
                <w:color w:val="auto"/>
              </w:rPr>
            </w:pPr>
            <w:r>
              <w:rPr>
                <w:rFonts w:ascii="Arial" w:cs="Arial" w:eastAsia="Arial" w:hAnsi="Arial"/>
                <w:sz w:val="18"/>
                <w:szCs w:val="18"/>
                <w:color w:val="auto"/>
              </w:rPr>
              <w:t>Options canceled</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1,022,012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(1,022,012)</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7,336,862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26,212,498</w:t>
            </w:r>
          </w:p>
        </w:tc>
        <w:tc>
          <w:tcPr>
            <w:tcW w:w="22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$ 1.58</w:t>
            </w:r>
          </w:p>
        </w:tc>
        <w:tc>
          <w:tcPr>
            <w:tcW w:w="22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6.27</w:t>
            </w:r>
          </w:p>
        </w:tc>
        <w:tc>
          <w:tcPr>
            <w:tcW w:w="2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4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(9,009,210)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9,009,210</w:t>
            </w:r>
          </w:p>
        </w:tc>
        <w:tc>
          <w:tcPr>
            <w:tcW w:w="220" w:type="dxa"/>
            <w:vAlign w:val="bottom"/>
          </w:tcPr>
          <w:p>
            <w:pPr>
              <w:spacing w:after="0"/>
              <w:rPr>
                <w:sz w:val="22"/>
                <w:szCs w:val="22"/>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(2,837,729)</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440" w:type="dxa"/>
            <w:vAlign w:val="bottom"/>
          </w:tcPr>
          <w:p>
            <w:pPr>
              <w:ind w:left="180"/>
              <w:spacing w:after="0"/>
              <w:rPr>
                <w:sz w:val="20"/>
                <w:szCs w:val="20"/>
                <w:color w:val="auto"/>
              </w:rPr>
            </w:pPr>
            <w:r>
              <w:rPr>
                <w:rFonts w:ascii="Arial" w:cs="Arial" w:eastAsia="Arial" w:hAnsi="Arial"/>
                <w:sz w:val="18"/>
                <w:szCs w:val="18"/>
                <w:color w:val="auto"/>
              </w:rPr>
              <w:t>Options canceled</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5,653,526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(5,653,526)</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3,981,178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26,730,453</w:t>
            </w:r>
          </w:p>
        </w:tc>
        <w:tc>
          <w:tcPr>
            <w:tcW w:w="22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$ 2.21</w:t>
            </w:r>
          </w:p>
        </w:tc>
        <w:tc>
          <w:tcPr>
            <w:tcW w:w="2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7.79</w:t>
            </w:r>
          </w:p>
        </w:tc>
        <w:tc>
          <w:tcPr>
            <w:tcW w:w="2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118,155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180"/>
              <w:spacing w:after="0" w:line="202" w:lineRule="exact"/>
              <w:rPr>
                <w:sz w:val="20"/>
                <w:szCs w:val="20"/>
                <w:color w:val="auto"/>
              </w:rPr>
            </w:pPr>
            <w:r>
              <w:rPr>
                <w:rFonts w:ascii="Arial" w:cs="Arial" w:eastAsia="Arial" w:hAnsi="Arial"/>
                <w:sz w:val="18"/>
                <w:szCs w:val="18"/>
                <w:color w:val="auto"/>
              </w:rPr>
              <w:t>Options vested and exercisable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4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88"/>
              </w:rPr>
              <w:t>26,111,472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440" w:type="dxa"/>
            <w:vAlign w:val="bottom"/>
          </w:tcPr>
          <w:p>
            <w:pPr>
              <w:ind w:left="360"/>
              <w:spacing w:after="0"/>
              <w:rPr>
                <w:sz w:val="20"/>
                <w:szCs w:val="20"/>
                <w:color w:val="auto"/>
              </w:rPr>
            </w:pPr>
            <w:r>
              <w:rPr>
                <w:rFonts w:ascii="Arial" w:cs="Arial" w:eastAsia="Arial" w:hAnsi="Arial"/>
                <w:sz w:val="18"/>
                <w:szCs w:val="18"/>
                <w:color w:val="auto"/>
              </w:rPr>
              <w:t>December 31, 2020</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$ 1.75</w:t>
            </w:r>
          </w:p>
        </w:tc>
        <w:tc>
          <w:tcPr>
            <w:tcW w:w="220" w:type="dxa"/>
            <w:vAlign w:val="bottom"/>
          </w:tcPr>
          <w:p>
            <w:pPr>
              <w:spacing w:after="0"/>
              <w:rPr>
                <w:sz w:val="21"/>
                <w:szCs w:val="21"/>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1"/>
              </w:rPr>
              <w:t>6.75</w:t>
            </w:r>
          </w:p>
        </w:tc>
        <w:tc>
          <w:tcPr>
            <w:tcW w:w="2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75,944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-521970</wp:posOffset>
            </wp:positionV>
            <wp:extent cx="514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-521970</wp:posOffset>
            </wp:positionV>
            <wp:extent cx="473202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-1207770</wp:posOffset>
            </wp:positionV>
            <wp:extent cx="514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473202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73202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-1876425</wp:posOffset>
            </wp:positionV>
            <wp:extent cx="13716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-1876425</wp:posOffset>
            </wp:positionV>
            <wp:extent cx="1371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-1876425</wp:posOffset>
            </wp:positionV>
            <wp:extent cx="13716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-1876425</wp:posOffset>
            </wp:positionV>
            <wp:extent cx="28803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9"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Aggregate intrinsic value represents the difference between the exercise price of the options and the estimated fair value of common shares. The aggregate intrinsic value of options exercised was approximately $8.3 million and $0.4 million in 2020 and 2019, respectively.</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total fair value of share options granted during the years ended December 31, 2020 and 2019, was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approximately $14.8 million and $13.9 million, respectively, which is being recognized over the respective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vesting periods. The total fair value of share options vested during the years ended December 31, 2020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2019, was approximately $3.9 million and $6.9 million, respectively. The unamortized share-based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compensation for the years ended December 31, 2020 and 2019, was approximately $14.9 million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$6.6 million, and weighted average remaining amortization period as of December 31, 2020 and 2019 was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3.0 years and 2.7 years, respectively.</w:t>
      </w:r>
    </w:p>
    <w:p>
      <w:pPr>
        <w:spacing w:after="0" w:line="1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Black-Scholes Model used to value share options incorporates the following assumptions:</w:t>
      </w:r>
    </w:p>
    <w:p>
      <w:pPr>
        <w:spacing w:after="0" w:line="158"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b w:val="1"/>
          <w:bCs w:val="1"/>
          <w:i w:val="1"/>
          <w:iCs w:val="1"/>
          <w:color w:val="auto"/>
        </w:rPr>
        <w:t xml:space="preserve">Volatility — </w:t>
      </w:r>
      <w:r>
        <w:rPr>
          <w:rFonts w:ascii="Arial" w:cs="Arial" w:eastAsia="Arial" w:hAnsi="Arial"/>
          <w:sz w:val="18"/>
          <w:szCs w:val="18"/>
          <w:color w:val="auto"/>
        </w:rPr>
        <w:t>The expected share price volatilities are estimated based on the historical and implied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volatilities of comparable publicly traded companies as the Company does not have sufficient history of trading its common shares.</w:t>
      </w:r>
    </w:p>
    <w:p>
      <w:pPr>
        <w:spacing w:after="0" w:line="116"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b w:val="1"/>
          <w:bCs w:val="1"/>
          <w:i w:val="1"/>
          <w:iCs w:val="1"/>
          <w:color w:val="auto"/>
        </w:rPr>
        <w:t xml:space="preserve">Risk-Free Interest Rate — </w:t>
      </w:r>
      <w:r>
        <w:rPr>
          <w:rFonts w:ascii="Arial" w:cs="Arial" w:eastAsia="Arial" w:hAnsi="Arial"/>
          <w:sz w:val="18"/>
          <w:szCs w:val="18"/>
          <w:color w:val="auto"/>
        </w:rPr>
        <w:t>The risk-free interest rates are based on U.S. Treasury yields in effect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date for notes over the expected option term.</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2" w:name="page213"/>
    <w:bookmarkEnd w:id="212"/>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b w:val="1"/>
          <w:bCs w:val="1"/>
          <w:i w:val="1"/>
          <w:iCs w:val="1"/>
          <w:color w:val="auto"/>
        </w:rPr>
        <w:t xml:space="preserve">Expected Life — </w:t>
      </w:r>
      <w:r>
        <w:rPr>
          <w:rFonts w:ascii="Arial" w:cs="Arial" w:eastAsia="Arial" w:hAnsi="Arial"/>
          <w:sz w:val="18"/>
          <w:szCs w:val="18"/>
          <w:color w:val="auto"/>
        </w:rPr>
        <w:t>The expected term of options granted to employees represents the period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share-based awards are expected to be outstanding. The Company utilizes historical data when establishing the expected term assumptions. For options granted with an extended exercise term, refer to the below section for details.</w:t>
      </w:r>
    </w:p>
    <w:p>
      <w:pPr>
        <w:spacing w:after="0" w:line="107" w:lineRule="exact"/>
        <w:rPr>
          <w:sz w:val="20"/>
          <w:szCs w:val="20"/>
          <w:color w:val="auto"/>
        </w:rPr>
      </w:pPr>
    </w:p>
    <w:p>
      <w:pPr>
        <w:jc w:val="both"/>
        <w:ind w:left="1260" w:right="539" w:firstLine="360"/>
        <w:spacing w:after="0" w:line="311" w:lineRule="auto"/>
        <w:rPr>
          <w:sz w:val="20"/>
          <w:szCs w:val="20"/>
          <w:color w:val="auto"/>
        </w:rPr>
      </w:pPr>
      <w:r>
        <w:rPr>
          <w:rFonts w:ascii="Arial" w:cs="Arial" w:eastAsia="Arial" w:hAnsi="Arial"/>
          <w:sz w:val="16"/>
          <w:szCs w:val="16"/>
          <w:b w:val="1"/>
          <w:bCs w:val="1"/>
          <w:i w:val="1"/>
          <w:iCs w:val="1"/>
          <w:color w:val="auto"/>
        </w:rPr>
        <w:t xml:space="preserve">Dividend Yield — </w:t>
      </w:r>
      <w:r>
        <w:rPr>
          <w:rFonts w:ascii="Arial" w:cs="Arial" w:eastAsia="Arial" w:hAnsi="Arial"/>
          <w:sz w:val="16"/>
          <w:szCs w:val="16"/>
          <w:color w:val="auto"/>
        </w:rPr>
        <w:t>The expected dividend yield assumption of zero is based on our current expectations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about our anticipated dividend policy over the expected option term, and an estimate of expected forfeiture rates. Over the course of the Company’s history, it has not declared or paid any dividends to shareholders.</w:t>
      </w:r>
    </w:p>
    <w:p>
      <w:pPr>
        <w:spacing w:after="0" w:line="81"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The Company estimates the fair value of the options utilizing the Black-Scholes option pricing model, which is dependent upon several variables, such as the expected option term, expected volatility of the Company’s share price over the expected term, expected risk-free interest rate over the expected option term, expected dividend yield rate over the expected option term, and an estimate of expected forfeiture rates. The Company believes this valuation methodology is appropriate for estimating the fair value of share options granted to employees and directors that are subject to ASC 718, Compensation — Stock Compensation, requirements. These amounts are estimates and, thus, may not be reflective of actual future results, nor amounts ultimately realized by recipients of these grants.</w:t>
      </w:r>
    </w:p>
    <w:p>
      <w:pPr>
        <w:spacing w:after="0" w:line="111"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A summary of the assumptions the Company utilized to record compensation expense for share options granted during the years ended December 31, 2020 and 2019, is as follows: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158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Year Ended December 31,</w:t>
            </w:r>
          </w:p>
        </w:tc>
      </w:tr>
      <w:tr>
        <w:trPr>
          <w:trHeight w:val="26"/>
        </w:trPr>
        <w:tc>
          <w:tcPr>
            <w:tcW w:w="59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5920" w:type="dxa"/>
            <w:vAlign w:val="bottom"/>
          </w:tcPr>
          <w:p>
            <w:pPr>
              <w:spacing w:after="0"/>
              <w:rPr>
                <w:sz w:val="17"/>
                <w:szCs w:val="17"/>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r>
      <w:tr>
        <w:trPr>
          <w:trHeight w:val="26"/>
        </w:trPr>
        <w:tc>
          <w:tcPr>
            <w:tcW w:w="59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20" w:type="dxa"/>
            <w:vAlign w:val="bottom"/>
          </w:tcPr>
          <w:p>
            <w:pPr>
              <w:spacing w:after="0"/>
              <w:rPr>
                <w:sz w:val="21"/>
                <w:szCs w:val="21"/>
                <w:color w:val="auto"/>
              </w:rPr>
            </w:pPr>
          </w:p>
        </w:tc>
      </w:tr>
      <w:tr>
        <w:trPr>
          <w:trHeight w:val="256"/>
        </w:trPr>
        <w:tc>
          <w:tcPr>
            <w:tcW w:w="59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2"/>
                <w:szCs w:val="22"/>
                <w:color w:val="auto"/>
              </w:rPr>
            </w:pP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2"/>
                <w:szCs w:val="22"/>
                <w:color w:val="auto"/>
              </w:rPr>
            </w:pPr>
          </w:p>
        </w:tc>
      </w:tr>
      <w:tr>
        <w:trPr>
          <w:trHeight w:val="25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2"/>
                <w:szCs w:val="22"/>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18"/>
                <w:szCs w:val="18"/>
                <w:color w:val="auto"/>
              </w:rPr>
              <w:t>Expected dividends</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-668020</wp:posOffset>
            </wp:positionV>
            <wp:extent cx="1371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-668020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Company recognizes compensation on a straight-line basis over the requisite vesting period for each award.</w:t>
      </w:r>
    </w:p>
    <w:p>
      <w:pPr>
        <w:spacing w:after="0" w:line="89"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During the year ended December 31, 2019, the Company granted 6.7 million options to senior management with an extended post-termination exercise term. The extended option exercise period for those options is the earliest of option expiration date, the first anniversary of a qualified IPO, or closing of a change of control. The Company also used the Black-Scholes option-pricing model to value the options with extended exercise term resulting in grant date fair value of $2.7 million in 2019, which were also expensed over the requisite vesting period for each award. In accordance with ASC 718-10-20, the change of control and IPO events are considered performance conditions and are not deemed probable until they occur, therefore the Company determined the expected life of the awards was 10 years, or equal to the contractual life, for use in the Black Scholes model. No such options were granted in 2020.</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Following are the assumptions used in the valuation of these options: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Year Ended</w:t>
            </w:r>
          </w:p>
        </w:tc>
      </w:tr>
      <w:tr>
        <w:trPr>
          <w:trHeight w:val="186"/>
        </w:trPr>
        <w:tc>
          <w:tcPr>
            <w:tcW w:w="4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 2019</w:t>
            </w:r>
          </w:p>
        </w:tc>
      </w:tr>
      <w:tr>
        <w:trPr>
          <w:trHeight w:val="25"/>
        </w:trPr>
        <w:tc>
          <w:tcPr>
            <w:tcW w:w="41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8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47.5%</w:t>
            </w:r>
          </w:p>
        </w:tc>
      </w:tr>
      <w:tr>
        <w:trPr>
          <w:trHeight w:val="257"/>
        </w:trPr>
        <w:tc>
          <w:tcPr>
            <w:tcW w:w="410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380" w:type="dxa"/>
            <w:vAlign w:val="bottom"/>
            <w:gridSpan w:val="2"/>
          </w:tcPr>
          <w:p>
            <w:pPr>
              <w:jc w:val="right"/>
              <w:ind w:right="359"/>
              <w:spacing w:after="0"/>
              <w:rPr>
                <w:sz w:val="20"/>
                <w:szCs w:val="20"/>
                <w:color w:val="auto"/>
              </w:rPr>
            </w:pPr>
            <w:r>
              <w:rPr>
                <w:rFonts w:ascii="Arial" w:cs="Arial" w:eastAsia="Arial" w:hAnsi="Arial"/>
                <w:sz w:val="18"/>
                <w:szCs w:val="18"/>
                <w:color w:val="auto"/>
              </w:rPr>
              <w:t>10</w:t>
            </w:r>
          </w:p>
        </w:tc>
      </w:tr>
      <w:tr>
        <w:trPr>
          <w:trHeight w:val="25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38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2.59%</w:t>
            </w:r>
          </w:p>
        </w:tc>
      </w:tr>
      <w:tr>
        <w:trPr>
          <w:trHeight w:val="256"/>
        </w:trPr>
        <w:tc>
          <w:tcPr>
            <w:tcW w:w="4100" w:type="dxa"/>
            <w:vAlign w:val="bottom"/>
          </w:tcPr>
          <w:p>
            <w:pPr>
              <w:spacing w:after="0"/>
              <w:rPr>
                <w:sz w:val="20"/>
                <w:szCs w:val="20"/>
                <w:color w:val="auto"/>
              </w:rPr>
            </w:pPr>
            <w:r>
              <w:rPr>
                <w:rFonts w:ascii="Arial" w:cs="Arial" w:eastAsia="Arial" w:hAnsi="Arial"/>
                <w:sz w:val="18"/>
                <w:szCs w:val="18"/>
                <w:color w:val="auto"/>
              </w:rPr>
              <w:t>Expected dividends</w:t>
            </w:r>
          </w:p>
        </w:tc>
        <w:tc>
          <w:tcPr>
            <w:tcW w:w="2180" w:type="dxa"/>
            <w:vAlign w:val="bottom"/>
          </w:tcPr>
          <w:p>
            <w:pPr>
              <w:spacing w:after="0"/>
              <w:rPr>
                <w:sz w:val="22"/>
                <w:szCs w:val="22"/>
                <w:color w:val="auto"/>
              </w:rPr>
            </w:pPr>
          </w:p>
        </w:tc>
        <w:tc>
          <w:tcPr>
            <w:tcW w:w="1200" w:type="dxa"/>
            <w:vAlign w:val="bottom"/>
          </w:tcPr>
          <w:p>
            <w:pPr>
              <w:jc w:val="right"/>
              <w:ind w:right="359"/>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-659130</wp:posOffset>
            </wp:positionV>
            <wp:extent cx="398589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14"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color w:val="auto"/>
        </w:rPr>
        <w:t>Total employee and nonemployee share-based compensation expense, including that related to the extended exercise terms for senior management and consultants for the years ended December 31, 2020 and 2019, is classified in the consolidated statements of operations as follows (in thousands):</w:t>
      </w:r>
    </w:p>
    <w:p>
      <w:pPr>
        <w:sectPr>
          <w:pgSz w:w="11900" w:h="16838" w:orient="portrait"/>
          <w:cols w:equalWidth="0" w:num="1">
            <w:col w:w="9879"/>
          </w:cols>
          <w:pgMar w:left="580" w:top="132" w:right="1440" w:bottom="1440" w:gutter="0" w:footer="0" w:header="0"/>
        </w:sectPr>
      </w:pPr>
    </w:p>
    <w:p>
      <w:pPr>
        <w:spacing w:after="0" w:line="34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3" w:name="page214"/>
    <w:bookmarkEnd w:id="213"/>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9"/>
          </w:tcPr>
          <w:p>
            <w:pPr>
              <w:ind w:left="20"/>
              <w:spacing w:after="0"/>
              <w:rPr>
                <w:sz w:val="20"/>
                <w:szCs w:val="20"/>
                <w:color w:val="auto"/>
              </w:rPr>
            </w:pPr>
            <w:r>
              <w:rPr>
                <w:rFonts w:ascii="Arial" w:cs="Arial" w:eastAsia="Arial" w:hAnsi="Arial"/>
                <w:sz w:val="14"/>
                <w:szCs w:val="14"/>
                <w:b w:val="1"/>
                <w:bCs w:val="1"/>
                <w:color w:val="auto"/>
                <w:w w:val="89"/>
              </w:rPr>
              <w:t>Year Ended December 31,</w:t>
            </w:r>
          </w:p>
        </w:tc>
      </w:tr>
      <w:tr>
        <w:trPr>
          <w:trHeight w:val="26"/>
        </w:trPr>
        <w:tc>
          <w:tcPr>
            <w:tcW w:w="5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8"/>
        </w:trPr>
        <w:tc>
          <w:tcPr>
            <w:tcW w:w="5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7"/>
                <w:szCs w:val="17"/>
                <w:color w:val="auto"/>
              </w:rPr>
            </w:pPr>
          </w:p>
        </w:tc>
      </w:tr>
      <w:tr>
        <w:trPr>
          <w:trHeight w:val="26"/>
        </w:trPr>
        <w:tc>
          <w:tcPr>
            <w:tcW w:w="5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21"/>
                <w:szCs w:val="21"/>
                <w:color w:val="auto"/>
              </w:rPr>
            </w:pPr>
          </w:p>
        </w:tc>
      </w:tr>
      <w:tr>
        <w:trPr>
          <w:trHeight w:val="257"/>
        </w:trPr>
        <w:tc>
          <w:tcPr>
            <w:tcW w:w="5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4,770</w:t>
            </w:r>
          </w:p>
        </w:tc>
        <w:tc>
          <w:tcPr>
            <w:tcW w:w="100" w:type="dxa"/>
            <w:vAlign w:val="bottom"/>
          </w:tcPr>
          <w:p>
            <w:pPr>
              <w:spacing w:after="0"/>
              <w:rPr>
                <w:sz w:val="22"/>
                <w:szCs w:val="22"/>
                <w:color w:val="auto"/>
              </w:rPr>
            </w:pPr>
          </w:p>
        </w:tc>
      </w:tr>
      <w:tr>
        <w:trPr>
          <w:trHeight w:val="263"/>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2,506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4,614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7,719</w:t>
            </w:r>
          </w:p>
        </w:tc>
        <w:tc>
          <w:tcPr>
            <w:tcW w:w="100" w:type="dxa"/>
            <w:vAlign w:val="bottom"/>
          </w:tcPr>
          <w:p>
            <w:pPr>
              <w:spacing w:after="0"/>
              <w:rPr>
                <w:sz w:val="23"/>
                <w:szCs w:val="23"/>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-719455</wp:posOffset>
            </wp:positionV>
            <wp:extent cx="13716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-719455</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Operating Leases and Other Contractual Obligations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Company has various non-cancelable operating leases for its office space, laboratory, and manufacturing and retail facilities. These leases expire at various times through 2030. Certain lease agreements contain renewal options, rent abatement, and escalation clauses. The Company recognizes rent expense on a straight-line basis over the lease term, commencing when the Company takes possession of the property. Certain of the Company’s office leases entitle the Company to receive a tenant allowance from the landlord. The Company records tenant allowance as a deferred rent credit, which the Company amortizes on a straight-line basis, as a reduction of rent expense, over the term of the underlying lease. In 2020 and in 2019, the Company invoked the right for additional tenant improvements of $4.7 million and $8.6 million, respectively, allowed in the original contracts or amended agreements for the corporate headquarters in Newark, California.</w:t>
      </w:r>
    </w:p>
    <w:p>
      <w:pPr>
        <w:spacing w:after="0" w:line="113"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As of December 31, 2020, and 2019, the Company had $406.1 million and $162.0 million in commitments related to the Arizona manufacturing plant and equipment. This represents future expected payments on open purchase orders entered as of December 31, 2020, and 2019.</w:t>
      </w:r>
    </w:p>
    <w:p>
      <w:pPr>
        <w:spacing w:after="0" w:line="116"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In September 2017, the Company entered into an over 10-year lease on an approximately 127,000 square-foot headquarters building, and the lease will expire on September 30, 2030 after the amendment being signed. The Company has committed to pay approximately $0.3 million per month for the building, with 3% annual increases.</w:t>
      </w:r>
    </w:p>
    <w:p>
      <w:pPr>
        <w:spacing w:after="0" w:line="119"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In September 2018, the Company amended that lease to also include an approximately 300,000 square-foot additional building within the same campus location and extend the term to 12 years, and the lease will expire on September 30, 2030. Under the lease agreement, the Company has committed to pay approximately $0.6 million per month for the additional building, with 3% annual increases on the lease.</w:t>
      </w:r>
    </w:p>
    <w:p>
      <w:pPr>
        <w:spacing w:after="0" w:line="90"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As of December 31, 2020, and 2019, the landlord provided a tenant improvement allowance for approximately $29.0 million and $24.3 million, respectively, for leasehold improvements in connection with the cost of construction of the initial alterations within the premises.</w:t>
      </w:r>
    </w:p>
    <w:p>
      <w:pPr>
        <w:spacing w:after="0" w:line="116"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In December 2018, the Company entered into a four-year lease for approximately 500 acres of land in Arizona, on which the Company intends to construct an Arizona plant. Under the lease agreement, the Company is committed to pay $1.8 million per year during the lease term. This rent is paid in arrears. Pursuant to the terms of the lease agreement , the Company has the exclusive option to purchase the Premises (land together with any structures or improvements presently situated thereon or to be constructed thereon) at any time prior to expiration of the lease term for the purchase price to be computed in accordance with the terms and conditions as set forth in the lease agreement.</w:t>
      </w:r>
    </w:p>
    <w:p>
      <w:pPr>
        <w:spacing w:after="0" w:line="127"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In June 2019, the Company entered into a new lease agreement for a retail location in Beverly Hills, California. The lease commenced on September 1, 2019 and will expire on August 31, 2029. Under the lease agreement, the Company will pay base rent of $0.1 million per month. Base rent is subject to a 3% annual escalation clause during the lease term.</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4" w:name="page215"/>
    <w:bookmarkEnd w:id="214"/>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From January 2020 to September 2020, the Company entered into nine lease agreements for retail locations in Arizona, California, Florida, New York, and Virginia, with lease expiration dates ranging from March 2025 through December 2032. Base rent for these leases ranges from $0.1 million to $0.4 million per annum, with certain leases having 3% annual base rent escalation clauses during the lease terms.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Future minimum payments as of December 31, 2020, are approximately as follows (in thousands):</w:t>
      </w:r>
    </w:p>
    <w:p>
      <w:pPr>
        <w:spacing w:after="0" w:line="206"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25,490</w:t>
            </w:r>
          </w:p>
        </w:tc>
      </w:tr>
      <w:tr>
        <w:trPr>
          <w:trHeight w:val="257"/>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28,837</w:t>
            </w:r>
          </w:p>
        </w:tc>
      </w:tr>
      <w:tr>
        <w:trPr>
          <w:trHeight w:val="256"/>
        </w:trPr>
        <w:tc>
          <w:tcPr>
            <w:tcW w:w="680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27,633</w:t>
            </w:r>
          </w:p>
        </w:tc>
      </w:tr>
      <w:tr>
        <w:trPr>
          <w:trHeight w:val="257"/>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28,207</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27,474</w:t>
            </w:r>
          </w:p>
        </w:tc>
      </w:tr>
      <w:tr>
        <w:trPr>
          <w:trHeight w:val="263"/>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116,155</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253,796</w:t>
            </w:r>
          </w:p>
        </w:tc>
      </w:tr>
      <w:tr>
        <w:trPr>
          <w:trHeight w:val="21"/>
        </w:trPr>
        <w:tc>
          <w:tcPr>
            <w:tcW w:w="6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Rent expense incurred under operating leases was approximately $19.6 million and $18.3 million, for the years ended December 31, 2020 and 2019, respectively.</w:t>
      </w:r>
    </w:p>
    <w:p>
      <w:pPr>
        <w:spacing w:after="0" w:line="103"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During the year ended 2020, the Company entered into a non-cancellable purchase commitment with a large battery cell supplier to purchase battery cells over the next three years. Battery cell costs can fluctuate from time to time based on, among other things, supply and demand, costs of raw materials, and purchase volumes. The estimated purchase commitment as of December 31, 2020 is set as follows (in thousands):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Minimum</w:t>
            </w:r>
          </w:p>
        </w:tc>
      </w:tr>
      <w:tr>
        <w:trPr>
          <w:trHeight w:val="186"/>
        </w:trPr>
        <w:tc>
          <w:tcPr>
            <w:tcW w:w="6100" w:type="dxa"/>
            <w:vAlign w:val="bottom"/>
          </w:tcPr>
          <w:p>
            <w:pPr>
              <w:spacing w:after="0"/>
              <w:rPr>
                <w:sz w:val="16"/>
                <w:szCs w:val="16"/>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Purchase Commitment</w:t>
            </w:r>
          </w:p>
        </w:tc>
      </w:tr>
      <w:tr>
        <w:trPr>
          <w:trHeight w:val="25"/>
        </w:trPr>
        <w:tc>
          <w:tcPr>
            <w:tcW w:w="6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57"/>
        </w:trPr>
        <w:tc>
          <w:tcPr>
            <w:tcW w:w="6100" w:type="dxa"/>
            <w:vAlign w:val="bottom"/>
          </w:tcPr>
          <w:p>
            <w:pPr>
              <w:spacing w:after="0"/>
              <w:rPr>
                <w:sz w:val="20"/>
                <w:szCs w:val="20"/>
                <w:color w:val="auto"/>
              </w:rPr>
            </w:pPr>
            <w:r>
              <w:rPr>
                <w:rFonts w:ascii="Arial" w:cs="Arial" w:eastAsia="Arial" w:hAnsi="Arial"/>
                <w:sz w:val="18"/>
                <w:szCs w:val="18"/>
                <w:color w:val="auto"/>
              </w:rPr>
              <w:t>2021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$101,200</w:t>
            </w:r>
          </w:p>
        </w:tc>
        <w:tc>
          <w:tcPr>
            <w:tcW w:w="340" w:type="dxa"/>
            <w:vAlign w:val="bottom"/>
          </w:tcPr>
          <w:p>
            <w:pPr>
              <w:spacing w:after="0"/>
              <w:rPr>
                <w:sz w:val="22"/>
                <w:szCs w:val="22"/>
                <w:color w:val="auto"/>
              </w:rPr>
            </w:pPr>
          </w:p>
        </w:tc>
      </w:tr>
      <w:tr>
        <w:trPr>
          <w:trHeight w:val="25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202,400</w:t>
            </w:r>
          </w:p>
        </w:tc>
        <w:tc>
          <w:tcPr>
            <w:tcW w:w="340" w:type="dxa"/>
            <w:vAlign w:val="bottom"/>
            <w:shd w:val="clear" w:color="auto" w:fill="CCEEFF"/>
          </w:tcPr>
          <w:p>
            <w:pPr>
              <w:spacing w:after="0"/>
              <w:rPr>
                <w:sz w:val="22"/>
                <w:szCs w:val="22"/>
                <w:color w:val="auto"/>
              </w:rPr>
            </w:pPr>
          </w:p>
        </w:tc>
      </w:tr>
      <w:tr>
        <w:trPr>
          <w:trHeight w:val="264"/>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202,400</w:t>
            </w:r>
          </w:p>
        </w:tc>
        <w:tc>
          <w:tcPr>
            <w:tcW w:w="340" w:type="dxa"/>
            <w:vAlign w:val="bottom"/>
            <w:tcBorders>
              <w:bottom w:val="single" w:sz="8" w:color="CCEEFF"/>
            </w:tcBorders>
          </w:tcPr>
          <w:p>
            <w:pPr>
              <w:spacing w:after="0"/>
              <w:rPr>
                <w:sz w:val="22"/>
                <w:szCs w:val="22"/>
                <w:color w:val="auto"/>
              </w:rPr>
            </w:pPr>
          </w:p>
        </w:tc>
      </w:tr>
      <w:tr>
        <w:trPr>
          <w:trHeight w:val="29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$506,000</w:t>
            </w:r>
          </w:p>
        </w:tc>
        <w:tc>
          <w:tcPr>
            <w:tcW w:w="340" w:type="dxa"/>
            <w:vAlign w:val="bottom"/>
            <w:shd w:val="clear" w:color="auto" w:fill="CCEEFF"/>
          </w:tcPr>
          <w:p>
            <w:pPr>
              <w:spacing w:after="0"/>
              <w:rPr>
                <w:sz w:val="24"/>
                <w:szCs w:val="24"/>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38658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Capital Lease</w:t>
      </w:r>
    </w:p>
    <w:p>
      <w:pPr>
        <w:spacing w:after="0" w:line="148"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During the years ended December 31, 2019 and 2020, the Company acquired equipment under capital lease agreements with an initial term of 36 months.</w:t>
      </w:r>
    </w:p>
    <w:p>
      <w:pPr>
        <w:spacing w:after="0" w:line="103"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Future minimum payments for the capital lease as of December 31, 2020, are approximately as follows (in thousands):</w:t>
      </w:r>
    </w:p>
    <w:p>
      <w:pPr>
        <w:spacing w:after="0" w:line="113"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5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2021</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$ 1,729</w:t>
            </w:r>
          </w:p>
        </w:tc>
        <w:tc>
          <w:tcPr>
            <w:tcW w:w="60" w:type="dxa"/>
            <w:vAlign w:val="bottom"/>
          </w:tcPr>
          <w:p>
            <w:pPr>
              <w:spacing w:after="0"/>
              <w:rPr>
                <w:sz w:val="21"/>
                <w:szCs w:val="21"/>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60" w:type="dxa"/>
            <w:vAlign w:val="bottom"/>
          </w:tcPr>
          <w:p>
            <w:pPr>
              <w:spacing w:after="0"/>
              <w:rPr>
                <w:sz w:val="21"/>
                <w:szCs w:val="21"/>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2023</w:t>
            </w:r>
          </w:p>
        </w:tc>
        <w:tc>
          <w:tcPr>
            <w:tcW w:w="560" w:type="dxa"/>
            <w:vAlign w:val="bottom"/>
          </w:tcPr>
          <w:p>
            <w:pPr>
              <w:jc w:val="right"/>
              <w:spacing w:after="0"/>
              <w:rPr>
                <w:sz w:val="20"/>
                <w:szCs w:val="20"/>
                <w:color w:val="auto"/>
              </w:rPr>
            </w:pPr>
            <w:r>
              <w:rPr>
                <w:rFonts w:ascii="Arial" w:cs="Arial" w:eastAsia="Arial" w:hAnsi="Arial"/>
                <w:sz w:val="18"/>
                <w:szCs w:val="18"/>
                <w:color w:val="auto"/>
              </w:rPr>
              <w:t>1,174</w:t>
            </w:r>
          </w:p>
        </w:tc>
        <w:tc>
          <w:tcPr>
            <w:tcW w:w="60" w:type="dxa"/>
            <w:vAlign w:val="bottom"/>
          </w:tcPr>
          <w:p>
            <w:pPr>
              <w:spacing w:after="0"/>
              <w:rPr>
                <w:sz w:val="21"/>
                <w:szCs w:val="21"/>
                <w:color w:val="auto"/>
              </w:rPr>
            </w:pPr>
          </w:p>
        </w:tc>
      </w:tr>
      <w:tr>
        <w:trPr>
          <w:trHeight w:val="277"/>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Total capital lease obligations</w:t>
            </w:r>
          </w:p>
        </w:tc>
        <w:tc>
          <w:tcPr>
            <w:tcW w:w="560" w:type="dxa"/>
            <w:vAlign w:val="bottom"/>
          </w:tcPr>
          <w:p>
            <w:pPr>
              <w:jc w:val="right"/>
              <w:spacing w:after="0"/>
              <w:rPr>
                <w:sz w:val="20"/>
                <w:szCs w:val="20"/>
                <w:color w:val="auto"/>
              </w:rPr>
            </w:pPr>
            <w:r>
              <w:rPr>
                <w:rFonts w:ascii="Arial" w:cs="Arial" w:eastAsia="Arial" w:hAnsi="Arial"/>
                <w:sz w:val="18"/>
                <w:szCs w:val="18"/>
                <w:color w:val="auto"/>
              </w:rPr>
              <w:t>4,459</w:t>
            </w:r>
          </w:p>
        </w:tc>
        <w:tc>
          <w:tcPr>
            <w:tcW w:w="60" w:type="dxa"/>
            <w:vAlign w:val="bottom"/>
          </w:tcPr>
          <w:p>
            <w:pPr>
              <w:spacing w:after="0"/>
              <w:rPr>
                <w:sz w:val="21"/>
                <w:szCs w:val="21"/>
                <w:color w:val="auto"/>
              </w:rPr>
            </w:pPr>
          </w:p>
        </w:tc>
      </w:tr>
      <w:tr>
        <w:trPr>
          <w:trHeight w:val="277"/>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(1,202)</w:t>
            </w:r>
          </w:p>
        </w:tc>
        <w:tc>
          <w:tcPr>
            <w:tcW w:w="60" w:type="dxa"/>
            <w:vAlign w:val="bottom"/>
          </w:tcPr>
          <w:p>
            <w:pPr>
              <w:spacing w:after="0"/>
              <w:rPr>
                <w:sz w:val="24"/>
                <w:szCs w:val="24"/>
                <w:color w:val="auto"/>
              </w:rPr>
            </w:pPr>
          </w:p>
        </w:tc>
      </w:tr>
      <w:tr>
        <w:trPr>
          <w:trHeight w:val="284"/>
        </w:trPr>
        <w:tc>
          <w:tcPr>
            <w:tcW w:w="6920" w:type="dxa"/>
            <w:vAlign w:val="bottom"/>
          </w:tcPr>
          <w:p>
            <w:pPr>
              <w:spacing w:after="0"/>
              <w:rPr>
                <w:sz w:val="20"/>
                <w:szCs w:val="20"/>
                <w:color w:val="auto"/>
              </w:rPr>
            </w:pPr>
            <w:r>
              <w:rPr>
                <w:rFonts w:ascii="Arial" w:cs="Arial" w:eastAsia="Arial" w:hAnsi="Arial"/>
                <w:sz w:val="18"/>
                <w:szCs w:val="18"/>
                <w:color w:val="auto"/>
              </w:rPr>
              <w:t>Capital lease obligations, net of interest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$ 3,257</w:t>
            </w:r>
          </w:p>
        </w:tc>
        <w:tc>
          <w:tcPr>
            <w:tcW w:w="60" w:type="dxa"/>
            <w:vAlign w:val="bottom"/>
          </w:tcPr>
          <w:p>
            <w:pPr>
              <w:spacing w:after="0"/>
              <w:rPr>
                <w:sz w:val="24"/>
                <w:szCs w:val="24"/>
                <w:color w:val="auto"/>
              </w:rPr>
            </w:pPr>
          </w:p>
        </w:tc>
      </w:tr>
      <w:tr>
        <w:trPr>
          <w:trHeight w:val="21"/>
        </w:trPr>
        <w:tc>
          <w:tcPr>
            <w:tcW w:w="6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19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5" w:name="page216"/>
    <w:bookmarkEnd w:id="215"/>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From time to time, the Company may be involved in litigation relating to claims arising out of the Company’s operations in the normal course of business. Management is not currently aware of any matters that could have a material adverse effect on the financial position, results of operations, or cash flows of the Company. However, the Company may be subject to various legal proceedings and claims that arise in the ordinary course of its business activities.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customers, vendors, investors, directors, and officers with respect to certain matters, including, but not limited to, losses arising out of its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surety bond primarily used as security against facility leases and utilities infrastructure in the amount of $5.0 million as of December 31, 2020, for which no liabilities are recorded on the consolidated balance sheets. No such obligation was noted at December 31, 2019.</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 INCOME TAXES</w:t>
      </w:r>
    </w:p>
    <w:p>
      <w:pPr>
        <w:spacing w:after="0" w:line="162"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Income taxes have been provided in accordance with ASC 740. The components of loss before income taxes for the years ended December 31, 2020 and 2019, are as follows (in thousands):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76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5"/>
        </w:trPr>
        <w:tc>
          <w:tcPr>
            <w:tcW w:w="57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Loss subject to domestic income taxes</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$(719,636)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$(277,244)</w:t>
            </w:r>
          </w:p>
        </w:tc>
        <w:tc>
          <w:tcPr>
            <w:tcW w:w="60" w:type="dxa"/>
            <w:vAlign w:val="bottom"/>
          </w:tcPr>
          <w:p>
            <w:pPr>
              <w:spacing w:after="0"/>
              <w:rPr>
                <w:sz w:val="21"/>
                <w:szCs w:val="21"/>
                <w:color w:val="auto"/>
              </w:rPr>
            </w:pPr>
          </w:p>
        </w:tc>
      </w:tr>
      <w:tr>
        <w:trPr>
          <w:trHeight w:val="263"/>
        </w:trPr>
        <w:tc>
          <w:tcPr>
            <w:tcW w:w="5760" w:type="dxa"/>
            <w:vAlign w:val="bottom"/>
          </w:tcPr>
          <w:p>
            <w:pPr>
              <w:spacing w:after="0"/>
              <w:rPr>
                <w:sz w:val="20"/>
                <w:szCs w:val="20"/>
                <w:color w:val="auto"/>
              </w:rPr>
            </w:pPr>
            <w:r>
              <w:rPr>
                <w:rFonts w:ascii="Arial" w:cs="Arial" w:eastAsia="Arial" w:hAnsi="Arial"/>
                <w:sz w:val="18"/>
                <w:szCs w:val="18"/>
                <w:color w:val="auto"/>
              </w:rPr>
              <w:t>Loss subject to foreign income taxes</w:t>
            </w: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57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4"/>
        </w:trPr>
        <w:tc>
          <w:tcPr>
            <w:tcW w:w="5760" w:type="dxa"/>
            <w:vAlign w:val="bottom"/>
            <w:shd w:val="clear" w:color="auto" w:fill="CCEEFF"/>
          </w:tcPr>
          <w:p>
            <w:pPr>
              <w:spacing w:after="0"/>
              <w:rPr>
                <w:sz w:val="24"/>
                <w:szCs w:val="24"/>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$(719,568)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$(277,334)</w:t>
            </w:r>
          </w:p>
        </w:tc>
        <w:tc>
          <w:tcPr>
            <w:tcW w:w="60" w:type="dxa"/>
            <w:vAlign w:val="bottom"/>
          </w:tcPr>
          <w:p>
            <w:pPr>
              <w:spacing w:after="0"/>
              <w:rPr>
                <w:sz w:val="24"/>
                <w:szCs w:val="24"/>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773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26910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195" w:lineRule="exact"/>
        <w:rPr>
          <w:sz w:val="20"/>
          <w:szCs w:val="20"/>
          <w:color w:val="auto"/>
        </w:rPr>
      </w:pPr>
    </w:p>
    <w:p>
      <w:pPr>
        <w:jc w:val="both"/>
        <w:ind w:left="1260" w:right="879" w:firstLine="360"/>
        <w:spacing w:after="0" w:line="263" w:lineRule="auto"/>
        <w:rPr>
          <w:sz w:val="20"/>
          <w:szCs w:val="20"/>
          <w:color w:val="auto"/>
        </w:rPr>
      </w:pPr>
      <w:r>
        <w:rPr>
          <w:rFonts w:ascii="Arial" w:cs="Arial" w:eastAsia="Arial" w:hAnsi="Arial"/>
          <w:sz w:val="18"/>
          <w:szCs w:val="18"/>
          <w:color w:val="auto"/>
        </w:rPr>
        <w:t>The Company recorded an income tax provision/(benefit) of $(0.19) million and $0.03 million in connection with its domestic state and foreign subsidiaries for the years ended December 31, 2020 and 2019, respectively, as follows (in thousands):</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s$—</w:t>
            </w:r>
          </w:p>
        </w:tc>
        <w:tc>
          <w:tcPr>
            <w:tcW w:w="0" w:type="dxa"/>
            <w:vAlign w:val="bottom"/>
          </w:tcPr>
          <w:p>
            <w:pPr>
              <w:spacing w:after="0"/>
              <w:rPr>
                <w:sz w:val="1"/>
                <w:szCs w:val="1"/>
                <w:color w:val="auto"/>
              </w:rPr>
            </w:pPr>
          </w:p>
        </w:tc>
      </w:tr>
      <w:tr>
        <w:trPr>
          <w:trHeight w:val="243"/>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(193)</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tax expense (benefit)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(188)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Deferred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24"/>
                <w:szCs w:val="24"/>
                <w:color w:val="auto"/>
              </w:rPr>
            </w:pPr>
          </w:p>
        </w:tc>
        <w:tc>
          <w:tcPr>
            <w:tcW w:w="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60" w:type="dxa"/>
            <w:vAlign w:val="bottom"/>
          </w:tcPr>
          <w:p>
            <w:pPr>
              <w:spacing w:after="0"/>
              <w:rPr>
                <w:sz w:val="20"/>
                <w:szCs w:val="20"/>
                <w:color w:val="auto"/>
              </w:rPr>
            </w:pPr>
            <w:r>
              <w:rPr>
                <w:rFonts w:ascii="Arial" w:cs="Arial" w:eastAsia="Arial" w:hAnsi="Arial"/>
                <w:sz w:val="18"/>
                <w:szCs w:val="18"/>
                <w:color w:val="auto"/>
              </w:rPr>
              <w:t>Total deferred tax expense (benefit)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(188)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-410845</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-1250950</wp:posOffset>
            </wp:positionV>
            <wp:extent cx="474916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-1902460</wp:posOffset>
            </wp:positionV>
            <wp:extent cx="45091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6" w:name="page217"/>
    <w:bookmarkEnd w:id="216"/>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The amount of income tax expense (benefit) differs from the expected benefit due to the state income taxes, foreign income taxes, and the impact of the valuation allowance.</w:t>
      </w:r>
    </w:p>
    <w:p>
      <w:pPr>
        <w:spacing w:after="0" w:line="90" w:lineRule="exact"/>
        <w:rPr>
          <w:sz w:val="20"/>
          <w:szCs w:val="20"/>
          <w:color w:val="auto"/>
        </w:rPr>
      </w:pPr>
    </w:p>
    <w:p>
      <w:pPr>
        <w:jc w:val="both"/>
        <w:ind w:left="1260" w:right="539" w:firstLine="360"/>
        <w:spacing w:after="0" w:line="255"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to 21%;</w:t>
      </w:r>
    </w:p>
    <w:p>
      <w:pPr>
        <w:jc w:val="both"/>
        <w:ind w:left="1260" w:right="519"/>
        <w:spacing w:after="0" w:line="248" w:lineRule="auto"/>
        <w:tabs>
          <w:tab w:leader="none" w:pos="152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eliminating the corporate alternative minimum tax (AMT) and changing how existing AMT credits can be realized; (3) creating a new limitation on deductible interest expense; (4) changing rules related to uses and limitations of net operating loss carryforwards created in tax years beginning after December 31, 2017;</w:t>
      </w:r>
    </w:p>
    <w:p>
      <w:pPr>
        <w:spacing w:after="0" w:line="1" w:lineRule="exact"/>
        <w:rPr>
          <w:rFonts w:ascii="Arial" w:cs="Arial" w:eastAsia="Arial" w:hAnsi="Arial"/>
          <w:sz w:val="17"/>
          <w:szCs w:val="17"/>
          <w:color w:val="auto"/>
        </w:rPr>
      </w:pPr>
    </w:p>
    <w:p>
      <w:pPr>
        <w:jc w:val="both"/>
        <w:ind w:left="1260" w:right="419"/>
        <w:spacing w:after="0" w:line="248" w:lineRule="auto"/>
        <w:tabs>
          <w:tab w:leader="none" w:pos="1529"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bonus depreciation that will allow for full expensing of qualified property; (6) establishes new rules with respect to the taxation of certain international transactions, including the income of foreign subsidiaries; and</w:t>
      </w:r>
    </w:p>
    <w:p>
      <w:pPr>
        <w:spacing w:after="0" w:line="1" w:lineRule="exact"/>
        <w:rPr>
          <w:rFonts w:ascii="Arial" w:cs="Arial" w:eastAsia="Arial" w:hAnsi="Arial"/>
          <w:sz w:val="17"/>
          <w:szCs w:val="17"/>
          <w:color w:val="auto"/>
        </w:rPr>
      </w:pPr>
    </w:p>
    <w:p>
      <w:pPr>
        <w:ind w:left="1520" w:hanging="260"/>
        <w:spacing w:after="0"/>
        <w:tabs>
          <w:tab w:leader="none" w:pos="15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limitations on the deductibility of certain executive compensation.</w:t>
      </w:r>
    </w:p>
    <w:p>
      <w:pPr>
        <w:spacing w:after="0" w:line="12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Tax Act subjects a US shareholder to current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differences expected to reverse as GILTI in future years or provide for the tax expense related to GILTI in the year the tax is incurred. The Company has elected to recognize the tax on GILTI as a period expense in the period the tax is incurred. The Company’s foreign income is in a net loss position and is immaterial to the provision for income taxes, thus no GILTI has been accrued for either 2019 or 2020.</w:t>
      </w:r>
    </w:p>
    <w:p>
      <w:pPr>
        <w:spacing w:after="0" w:line="126"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2020 and 2019, are as follows (in thousands):</w:t>
      </w:r>
    </w:p>
    <w:p>
      <w:pPr>
        <w:spacing w:after="0" w:line="125"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5"/>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576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265,799</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139,899</w:t>
            </w:r>
          </w:p>
        </w:tc>
        <w:tc>
          <w:tcPr>
            <w:tcW w:w="60" w:type="dxa"/>
            <w:vAlign w:val="bottom"/>
          </w:tcPr>
          <w:p>
            <w:pPr>
              <w:spacing w:after="0"/>
              <w:rPr>
                <w:sz w:val="22"/>
                <w:szCs w:val="22"/>
                <w:color w:val="auto"/>
              </w:rPr>
            </w:pPr>
          </w:p>
        </w:tc>
      </w:tr>
      <w:tr>
        <w:trPr>
          <w:trHeight w:val="257"/>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40,454</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w:t>
            </w:r>
          </w:p>
        </w:tc>
        <w:tc>
          <w:tcPr>
            <w:tcW w:w="60" w:type="dxa"/>
            <w:vAlign w:val="bottom"/>
          </w:tcPr>
          <w:p>
            <w:pPr>
              <w:spacing w:after="0"/>
              <w:rPr>
                <w:sz w:val="22"/>
                <w:szCs w:val="22"/>
                <w:color w:val="auto"/>
              </w:rPr>
            </w:pPr>
          </w:p>
        </w:tc>
      </w:tr>
      <w:tr>
        <w:trPr>
          <w:trHeight w:val="256"/>
        </w:trPr>
        <w:tc>
          <w:tcPr>
            <w:tcW w:w="576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2,554</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4,191</w:t>
            </w:r>
          </w:p>
        </w:tc>
        <w:tc>
          <w:tcPr>
            <w:tcW w:w="60" w:type="dxa"/>
            <w:vAlign w:val="bottom"/>
          </w:tcPr>
          <w:p>
            <w:pPr>
              <w:spacing w:after="0"/>
              <w:rPr>
                <w:sz w:val="22"/>
                <w:szCs w:val="22"/>
                <w:color w:val="auto"/>
              </w:rPr>
            </w:pPr>
          </w:p>
        </w:tc>
      </w:tr>
      <w:tr>
        <w:trPr>
          <w:trHeight w:val="257"/>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22"/>
                <w:szCs w:val="22"/>
                <w:color w:val="auto"/>
              </w:rPr>
            </w:pPr>
          </w:p>
        </w:tc>
      </w:tr>
      <w:tr>
        <w:trPr>
          <w:trHeight w:val="256"/>
        </w:trPr>
        <w:tc>
          <w:tcPr>
            <w:tcW w:w="5760" w:type="dxa"/>
            <w:vAlign w:val="bottom"/>
          </w:tcPr>
          <w:p>
            <w:pPr>
              <w:ind w:left="180"/>
              <w:spacing w:after="0"/>
              <w:rPr>
                <w:sz w:val="20"/>
                <w:szCs w:val="20"/>
                <w:color w:val="auto"/>
              </w:rPr>
            </w:pPr>
            <w:r>
              <w:rPr>
                <w:rFonts w:ascii="Arial" w:cs="Arial" w:eastAsia="Arial" w:hAnsi="Arial"/>
                <w:sz w:val="18"/>
                <w:szCs w:val="18"/>
                <w:color w:val="auto"/>
              </w:rPr>
              <w:t>Accrued compensation and vacation</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699</w:t>
            </w:r>
          </w:p>
        </w:tc>
        <w:tc>
          <w:tcPr>
            <w:tcW w:w="60" w:type="dxa"/>
            <w:vAlign w:val="bottom"/>
          </w:tcPr>
          <w:p>
            <w:pPr>
              <w:spacing w:after="0"/>
              <w:rPr>
                <w:sz w:val="22"/>
                <w:szCs w:val="22"/>
                <w:color w:val="auto"/>
              </w:rPr>
            </w:pPr>
          </w:p>
        </w:tc>
      </w:tr>
      <w:tr>
        <w:trPr>
          <w:trHeight w:val="257"/>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22"/>
                <w:szCs w:val="22"/>
                <w:color w:val="auto"/>
              </w:rPr>
            </w:pPr>
          </w:p>
        </w:tc>
      </w:tr>
      <w:tr>
        <w:trPr>
          <w:trHeight w:val="257"/>
        </w:trPr>
        <w:tc>
          <w:tcPr>
            <w:tcW w:w="5760" w:type="dxa"/>
            <w:vAlign w:val="bottom"/>
          </w:tcPr>
          <w:p>
            <w:pPr>
              <w:ind w:left="180"/>
              <w:spacing w:after="0"/>
              <w:rPr>
                <w:sz w:val="20"/>
                <w:szCs w:val="20"/>
                <w:color w:val="auto"/>
              </w:rPr>
            </w:pPr>
            <w:r>
              <w:rPr>
                <w:rFonts w:ascii="Arial" w:cs="Arial" w:eastAsia="Arial" w:hAnsi="Arial"/>
                <w:sz w:val="18"/>
                <w:szCs w:val="18"/>
                <w:color w:val="auto"/>
              </w:rPr>
              <w:t>Tenant improvement allowance</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8,777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7,757</w:t>
            </w:r>
          </w:p>
        </w:tc>
        <w:tc>
          <w:tcPr>
            <w:tcW w:w="60" w:type="dxa"/>
            <w:vAlign w:val="bottom"/>
          </w:tcPr>
          <w:p>
            <w:pPr>
              <w:spacing w:after="0"/>
              <w:rPr>
                <w:sz w:val="22"/>
                <w:szCs w:val="22"/>
                <w:color w:val="auto"/>
              </w:rPr>
            </w:pPr>
          </w:p>
        </w:tc>
      </w:tr>
      <w:tr>
        <w:trPr>
          <w:trHeight w:val="25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and reserves</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39,502</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60" w:type="dxa"/>
            <w:vAlign w:val="bottom"/>
          </w:tcPr>
          <w:p>
            <w:pPr>
              <w:spacing w:after="0"/>
              <w:rPr>
                <w:sz w:val="22"/>
                <w:szCs w:val="22"/>
                <w:color w:val="auto"/>
              </w:rPr>
            </w:pPr>
          </w:p>
        </w:tc>
      </w:tr>
      <w:tr>
        <w:trPr>
          <w:trHeight w:val="263"/>
        </w:trPr>
        <w:tc>
          <w:tcPr>
            <w:tcW w:w="5760" w:type="dxa"/>
            <w:vAlign w:val="bottom"/>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57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360,573</w:t>
            </w: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174,818</w:t>
            </w:r>
          </w:p>
        </w:tc>
        <w:tc>
          <w:tcPr>
            <w:tcW w:w="60" w:type="dxa"/>
            <w:vAlign w:val="bottom"/>
          </w:tcPr>
          <w:p>
            <w:pPr>
              <w:spacing w:after="0"/>
              <w:rPr>
                <w:sz w:val="22"/>
                <w:szCs w:val="22"/>
                <w:color w:val="auto"/>
              </w:rPr>
            </w:pPr>
          </w:p>
        </w:tc>
      </w:tr>
      <w:tr>
        <w:trPr>
          <w:trHeight w:val="263"/>
        </w:trPr>
        <w:tc>
          <w:tcPr>
            <w:tcW w:w="576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(360,573)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(174,818)</w:t>
            </w:r>
          </w:p>
        </w:tc>
      </w:tr>
      <w:tr>
        <w:trPr>
          <w:trHeight w:val="277"/>
        </w:trPr>
        <w:tc>
          <w:tcPr>
            <w:tcW w:w="5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gridSpan w:val="2"/>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83"/>
        </w:trPr>
        <w:tc>
          <w:tcPr>
            <w:tcW w:w="5760" w:type="dxa"/>
            <w:vAlign w:val="bottom"/>
          </w:tcPr>
          <w:p>
            <w:pPr>
              <w:spacing w:after="0"/>
              <w:rPr>
                <w:sz w:val="20"/>
                <w:szCs w:val="20"/>
                <w:color w:val="auto"/>
              </w:rPr>
            </w:pPr>
            <w:r>
              <w:rPr>
                <w:rFonts w:ascii="Arial" w:cs="Arial" w:eastAsia="Arial" w:hAnsi="Arial"/>
                <w:sz w:val="18"/>
                <w:szCs w:val="18"/>
                <w:color w:val="auto"/>
              </w:rPr>
              <w:t>Net deferred tax assets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-410845</wp:posOffset>
            </wp:positionV>
            <wp:extent cx="427736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-753745</wp:posOffset>
            </wp:positionV>
            <wp:extent cx="427736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-2399665</wp:posOffset>
            </wp:positionV>
            <wp:extent cx="426910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82"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As of December 31, 2020, and 2019, the Company has no undistributed earnings from its foreign subsidiaries. Accordingly, no deferred tax liability has been established.</w:t>
      </w:r>
    </w:p>
    <w:p>
      <w:pPr>
        <w:spacing w:after="0" w:line="103"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Judgment must be used in considering the relative impact of negative and positive evidence.</w:t>
      </w: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Based on the weight of the available evidence, which includes the Company’s historical operating losses, lack of taxable income, and the accumulated deficit, as of December 31, 2020 and 2019, the Company provided a full valuation allowance against its US and state deferred tax assets. The valuation allowance for deferred tax assets was $360.6 million and $174.8 million, as of December 31, 2020 and 2019, respectively. The valuation allowance on our net deferred taxes increased by $185.8 million and increased by $80.7 million during the years ended December 31, 2020 and 2019, respectively.</w:t>
      </w:r>
    </w:p>
    <w:p>
      <w:pPr>
        <w:spacing w:after="0" w:line="97"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Company had federal and state net operating loss carryforwards of approximately $960.7 million and $716.1 million, respectively, as of December 31, 2020, which will begin to expire at various dates beginning in 2028, if not utilized. The Company also had federal and state tax research and development tax credit carryforwards of approximately $44.8 million and $36.1 million, respectively. The federal research and development tax credit carryforwards will expire at various dates beginning in 2034, if not utilized. The state research and development tax credit carryforwards do not expire.</w:t>
      </w:r>
    </w:p>
    <w:p>
      <w:pPr>
        <w:spacing w:after="0" w:line="125"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The reconciliation of taxes at the federal statutory rate to our provision for income taxes for the years ended December 31, 2020 and 2019 was as follows: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156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r>
      <w:tr>
        <w:trPr>
          <w:trHeight w:val="26"/>
        </w:trPr>
        <w:tc>
          <w:tcPr>
            <w:tcW w:w="5920" w:type="dxa"/>
            <w:vAlign w:val="bottom"/>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97"/>
        </w:trPr>
        <w:tc>
          <w:tcPr>
            <w:tcW w:w="59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r>
      <w:tr>
        <w:trPr>
          <w:trHeight w:val="26"/>
        </w:trPr>
        <w:tc>
          <w:tcPr>
            <w:tcW w:w="5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57"/>
        </w:trPr>
        <w:tc>
          <w:tcPr>
            <w:tcW w:w="59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r>
      <w:tr>
        <w:trPr>
          <w:trHeight w:val="25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Mark-to-market adjustment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r>
      <w:tr>
        <w:trPr>
          <w:trHeight w:val="256"/>
        </w:trPr>
        <w:tc>
          <w:tcPr>
            <w:tcW w:w="59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(0.8)</w:t>
            </w:r>
          </w:p>
        </w:tc>
      </w:tr>
      <w:tr>
        <w:trPr>
          <w:trHeight w:val="25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2"/>
                <w:szCs w:val="22"/>
                <w:color w:val="auto"/>
              </w:rPr>
            </w:pPr>
          </w:p>
        </w:tc>
      </w:tr>
      <w:tr>
        <w:trPr>
          <w:trHeight w:val="263"/>
        </w:trPr>
        <w:tc>
          <w:tcPr>
            <w:tcW w:w="59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tcPr>
          <w:p>
            <w:pPr>
              <w:spacing w:after="0"/>
              <w:rPr>
                <w:sz w:val="22"/>
                <w:szCs w:val="2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(20.1)</w:t>
            </w:r>
          </w:p>
        </w:tc>
        <w:tc>
          <w:tcPr>
            <w:tcW w:w="20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(20.8)</w:t>
            </w:r>
          </w:p>
        </w:tc>
      </w:tr>
      <w:tr>
        <w:trPr>
          <w:trHeight w:val="20"/>
        </w:trPr>
        <w:tc>
          <w:tcPr>
            <w:tcW w:w="5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9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24"/>
                <w:szCs w:val="24"/>
                <w:color w:val="auto"/>
              </w:rPr>
            </w:pPr>
          </w:p>
        </w:tc>
        <w:tc>
          <w:tcPr>
            <w:tcW w:w="7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-1208405</wp:posOffset>
            </wp:positionV>
            <wp:extent cx="13716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-1208405</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left="1260" w:right="579" w:firstLine="360"/>
        <w:spacing w:after="0" w:line="286" w:lineRule="auto"/>
        <w:rPr>
          <w:sz w:val="20"/>
          <w:szCs w:val="20"/>
          <w:color w:val="auto"/>
        </w:rPr>
      </w:pPr>
      <w:r>
        <w:rPr>
          <w:rFonts w:ascii="Arial" w:cs="Arial" w:eastAsia="Arial" w:hAnsi="Arial"/>
          <w:sz w:val="17"/>
          <w:szCs w:val="17"/>
          <w:color w:val="auto"/>
        </w:rPr>
        <w:t>The Internal Revenue Code of 1986, as amended, imposes restrictions on the utilization of net operating losses and certain credits in the event of an “ownership change” of a corporation. Accordingly, a company’s ability to use net operating losses and certain credits may be limited as prescribed under</w:t>
      </w:r>
    </w:p>
    <w:p>
      <w:pPr>
        <w:spacing w:after="0" w:line="9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Internal Revenue Code Section 382, which provide for limitations on net operating losses carryforwards and certain built in losses following ownership changes, and Section 383, which provides for special limitations on certain excess credits, etc. (collectively, “IRC Section 382”). Utilization of the carryforwards may be subject to substantial annual limitation due to the ownership change limitations provided by the IRC Section 382 and similar state provisions, resulting in a reduction in the gross deferral tax assets before considering the valuation allowance.</w:t>
      </w:r>
    </w:p>
    <w:p>
      <w:pPr>
        <w:spacing w:after="0" w:line="125"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Company files US, state, and foreign income tax returns with varying statutes of limitations. The federal, state, and foreign returns statute of limitations remains open for tax years from 2008 and thereafter. There are currently no income tax audits underway by US, state, or foreign tax authorities.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Uncertain Tax Positions</w:t>
      </w:r>
    </w:p>
    <w:p>
      <w:pPr>
        <w:spacing w:after="0" w:line="148" w:lineRule="exact"/>
        <w:rPr>
          <w:sz w:val="20"/>
          <w:szCs w:val="20"/>
          <w:color w:val="auto"/>
        </w:rPr>
      </w:pPr>
    </w:p>
    <w:p>
      <w:pPr>
        <w:jc w:val="both"/>
        <w:ind w:left="1260" w:right="539" w:firstLine="360"/>
        <w:spacing w:after="0" w:line="263" w:lineRule="auto"/>
        <w:rPr>
          <w:sz w:val="20"/>
          <w:szCs w:val="20"/>
          <w:color w:val="auto"/>
        </w:rPr>
      </w:pPr>
      <w:r>
        <w:rPr>
          <w:rFonts w:ascii="Arial" w:cs="Arial" w:eastAsia="Arial" w:hAnsi="Arial"/>
          <w:sz w:val="18"/>
          <w:szCs w:val="18"/>
          <w:color w:val="auto"/>
        </w:rPr>
        <w:t>As of December 31, 2020, and 2019, the total amount of unrecognized tax benefits was approximately $42.9 million and $20.6 million, respectively. The Company does not anticipate a significant change in the total amount of unrecognized tax benefits within the next 12 months.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summarizes the activity related to unrecognized tax benefits for the years ended</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and 2019 (in thousands):</w:t>
      </w:r>
    </w:p>
    <w:p>
      <w:pPr>
        <w:spacing w:after="0" w:line="38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48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60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060" w:type="dxa"/>
            <w:vAlign w:val="bottom"/>
          </w:tcPr>
          <w:p>
            <w:pPr>
              <w:spacing w:after="0"/>
              <w:rPr>
                <w:sz w:val="17"/>
                <w:szCs w:val="17"/>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6"/>
        </w:trPr>
        <w:tc>
          <w:tcPr>
            <w:tcW w:w="6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beginning of period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$20,635</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$11,647</w:t>
            </w:r>
          </w:p>
        </w:tc>
        <w:tc>
          <w:tcPr>
            <w:tcW w:w="60" w:type="dxa"/>
            <w:vAlign w:val="bottom"/>
          </w:tcPr>
          <w:p>
            <w:pPr>
              <w:spacing w:after="0"/>
              <w:rPr>
                <w:sz w:val="21"/>
                <w:szCs w:val="21"/>
                <w:color w:val="auto"/>
              </w:rPr>
            </w:pPr>
          </w:p>
        </w:tc>
      </w:tr>
      <w:tr>
        <w:trPr>
          <w:trHeight w:val="257"/>
        </w:trPr>
        <w:tc>
          <w:tcPr>
            <w:tcW w:w="6060" w:type="dxa"/>
            <w:vAlign w:val="bottom"/>
          </w:tcPr>
          <w:p>
            <w:pPr>
              <w:spacing w:after="0"/>
              <w:rPr>
                <w:sz w:val="20"/>
                <w:szCs w:val="20"/>
                <w:color w:val="auto"/>
              </w:rPr>
            </w:pPr>
            <w:r>
              <w:rPr>
                <w:rFonts w:ascii="Arial" w:cs="Arial" w:eastAsia="Arial" w:hAnsi="Arial"/>
                <w:sz w:val="18"/>
                <w:szCs w:val="18"/>
                <w:color w:val="auto"/>
              </w:rPr>
              <w:t>Gross increases – prior-period tax positions</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r>
      <w:tr>
        <w:trPr>
          <w:trHeight w:val="257"/>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 – prior-period tax positions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56"/>
        </w:trPr>
        <w:tc>
          <w:tcPr>
            <w:tcW w:w="6060" w:type="dxa"/>
            <w:vAlign w:val="bottom"/>
          </w:tcPr>
          <w:p>
            <w:pPr>
              <w:spacing w:after="0"/>
              <w:rPr>
                <w:sz w:val="20"/>
                <w:szCs w:val="20"/>
                <w:color w:val="auto"/>
              </w:rPr>
            </w:pPr>
            <w:r>
              <w:rPr>
                <w:rFonts w:ascii="Arial" w:cs="Arial" w:eastAsia="Arial" w:hAnsi="Arial"/>
                <w:sz w:val="18"/>
                <w:szCs w:val="18"/>
                <w:color w:val="auto"/>
              </w:rPr>
              <w:t>Gross increases – current-period tax positions</w:t>
            </w:r>
          </w:p>
        </w:tc>
        <w:tc>
          <w:tcPr>
            <w:tcW w:w="600" w:type="dxa"/>
            <w:vAlign w:val="bottom"/>
          </w:tcPr>
          <w:p>
            <w:pPr>
              <w:jc w:val="right"/>
              <w:spacing w:after="0"/>
              <w:rPr>
                <w:sz w:val="20"/>
                <w:szCs w:val="20"/>
                <w:color w:val="auto"/>
              </w:rPr>
            </w:pPr>
            <w:r>
              <w:rPr>
                <w:rFonts w:ascii="Arial" w:cs="Arial" w:eastAsia="Arial" w:hAnsi="Arial"/>
                <w:sz w:val="18"/>
                <w:szCs w:val="18"/>
                <w:color w:val="auto"/>
              </w:rPr>
              <w:t>22,382</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8,995</w:t>
            </w:r>
          </w:p>
        </w:tc>
        <w:tc>
          <w:tcPr>
            <w:tcW w:w="60" w:type="dxa"/>
            <w:vAlign w:val="bottom"/>
          </w:tcPr>
          <w:p>
            <w:pPr>
              <w:spacing w:after="0"/>
              <w:rPr>
                <w:sz w:val="22"/>
                <w:szCs w:val="22"/>
                <w:color w:val="auto"/>
              </w:rPr>
            </w:pPr>
          </w:p>
        </w:tc>
      </w:tr>
      <w:tr>
        <w:trPr>
          <w:trHeight w:val="257"/>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decrease – current-period tax positions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2"/>
                <w:szCs w:val="22"/>
                <w:color w:val="auto"/>
              </w:rPr>
            </w:pPr>
          </w:p>
        </w:tc>
      </w:tr>
      <w:tr>
        <w:trPr>
          <w:trHeight w:val="263"/>
        </w:trPr>
        <w:tc>
          <w:tcPr>
            <w:tcW w:w="6060" w:type="dxa"/>
            <w:vAlign w:val="bottom"/>
          </w:tcPr>
          <w:p>
            <w:pPr>
              <w:spacing w:after="0"/>
              <w:rPr>
                <w:sz w:val="20"/>
                <w:szCs w:val="20"/>
                <w:color w:val="auto"/>
              </w:rPr>
            </w:pPr>
            <w:r>
              <w:rPr>
                <w:rFonts w:ascii="Arial" w:cs="Arial" w:eastAsia="Arial" w:hAnsi="Arial"/>
                <w:sz w:val="18"/>
                <w:szCs w:val="18"/>
                <w:color w:val="auto"/>
              </w:rPr>
              <w:t>Statute lapse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benefit – end of period</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$42,894</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$20,635</w:t>
            </w:r>
          </w:p>
        </w:tc>
        <w:tc>
          <w:tcPr>
            <w:tcW w:w="60" w:type="dxa"/>
            <w:vAlign w:val="bottom"/>
          </w:tcPr>
          <w:p>
            <w:pPr>
              <w:spacing w:after="0"/>
              <w:rPr>
                <w:sz w:val="24"/>
                <w:szCs w:val="24"/>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7197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-1207770</wp:posOffset>
            </wp:positionV>
            <wp:extent cx="13716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-1207770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Related to the unrecognized tax benefits above, the Company recognized interest expense and penalty expense as part of income tax expenses in the consolidated statements of operations according to the following table (in thousands):</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Year Ended December 31,</w:t>
            </w:r>
          </w:p>
        </w:tc>
      </w:tr>
      <w:tr>
        <w:trPr>
          <w:trHeight w:val="26"/>
        </w:trPr>
        <w:tc>
          <w:tcPr>
            <w:tcW w:w="5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8"/>
        </w:trPr>
        <w:tc>
          <w:tcPr>
            <w:tcW w:w="5900" w:type="dxa"/>
            <w:vAlign w:val="bottom"/>
          </w:tcPr>
          <w:p>
            <w:pPr>
              <w:spacing w:after="0"/>
              <w:rPr>
                <w:sz w:val="17"/>
                <w:szCs w:val="17"/>
                <w:color w:val="auto"/>
              </w:rPr>
            </w:pP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2019</w:t>
            </w:r>
          </w:p>
        </w:tc>
      </w:tr>
      <w:tr>
        <w:trPr>
          <w:trHeight w:val="26"/>
        </w:trPr>
        <w:tc>
          <w:tcPr>
            <w:tcW w:w="59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$16</w:t>
            </w:r>
          </w:p>
        </w:tc>
      </w:tr>
      <w:tr>
        <w:trPr>
          <w:trHeight w:val="257"/>
        </w:trPr>
        <w:tc>
          <w:tcPr>
            <w:tcW w:w="5900" w:type="dxa"/>
            <w:vAlign w:val="bottom"/>
          </w:tcPr>
          <w:p>
            <w:pPr>
              <w:spacing w:after="0"/>
              <w:rPr>
                <w:sz w:val="20"/>
                <w:szCs w:val="20"/>
                <w:color w:val="auto"/>
              </w:rPr>
            </w:pPr>
            <w:r>
              <w:rPr>
                <w:rFonts w:ascii="Arial" w:cs="Arial" w:eastAsia="Arial" w:hAnsi="Arial"/>
                <w:sz w:val="18"/>
                <w:szCs w:val="18"/>
                <w:color w:val="auto"/>
              </w:rPr>
              <w:t>Penalty expense</w:t>
            </w: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2"/>
                <w:szCs w:val="22"/>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-334010</wp:posOffset>
            </wp:positionV>
            <wp:extent cx="13716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-334010</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As of December 31, 2020, the Company has recognized a liability for interest expense and penalties of $60 thousand and $9 thousand, respectively, which is included within income tax liabilities in the consolidated balance sheet.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 NET LOSS PER SHARE</w:t>
      </w:r>
    </w:p>
    <w:p>
      <w:pPr>
        <w:spacing w:after="0" w:line="148" w:lineRule="exact"/>
        <w:rPr>
          <w:sz w:val="20"/>
          <w:szCs w:val="20"/>
          <w:color w:val="auto"/>
        </w:rPr>
      </w:pPr>
    </w:p>
    <w:p>
      <w:pPr>
        <w:jc w:val="right"/>
        <w:ind w:right="499"/>
        <w:spacing w:after="0"/>
        <w:rPr>
          <w:sz w:val="20"/>
          <w:szCs w:val="20"/>
          <w:color w:val="auto"/>
        </w:rPr>
      </w:pPr>
      <w:r>
        <w:rPr>
          <w:rFonts w:ascii="Arial" w:cs="Arial" w:eastAsia="Arial" w:hAnsi="Arial"/>
          <w:sz w:val="18"/>
          <w:szCs w:val="18"/>
          <w:color w:val="auto"/>
        </w:rPr>
        <w:t>Basic and diluted net loss per share are calculated as follows (in thousands, except per share amounts):</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1"/>
              </w:rPr>
              <w:t>Year Ended December 31,</w:t>
            </w:r>
          </w:p>
        </w:tc>
      </w:tr>
      <w:tr>
        <w:trPr>
          <w:trHeight w:val="25"/>
        </w:trPr>
        <w:tc>
          <w:tcPr>
            <w:tcW w:w="56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5"/>
        </w:trPr>
        <w:tc>
          <w:tcPr>
            <w:tcW w:w="56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5620" w:type="dxa"/>
            <w:vAlign w:val="bottom"/>
          </w:tcPr>
          <w:p>
            <w:pPr>
              <w:spacing w:after="0"/>
              <w:rPr>
                <w:sz w:val="20"/>
                <w:szCs w:val="20"/>
                <w:color w:val="auto"/>
              </w:rPr>
            </w:pPr>
            <w:r>
              <w:rPr>
                <w:rFonts w:ascii="Arial" w:cs="Arial" w:eastAsia="Arial" w:hAnsi="Arial"/>
                <w:sz w:val="18"/>
                <w:szCs w:val="18"/>
                <w:color w:val="auto"/>
              </w:rPr>
              <w:t>Numerator:</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(719,380)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(277,357)</w:t>
            </w:r>
          </w:p>
        </w:tc>
        <w:tc>
          <w:tcPr>
            <w:tcW w:w="60" w:type="dxa"/>
            <w:vAlign w:val="bottom"/>
          </w:tcPr>
          <w:p>
            <w:pPr>
              <w:spacing w:after="0"/>
              <w:rPr>
                <w:sz w:val="22"/>
                <w:szCs w:val="22"/>
                <w:color w:val="auto"/>
              </w:rPr>
            </w:pP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Deemed contribution related to repurchase of Series B convertible</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preferred shares</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5"/>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Deemed contribution related to repurchase of Series C convertible</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56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shares</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60" w:type="dxa"/>
            <w:vAlign w:val="bottom"/>
          </w:tcPr>
          <w:p>
            <w:pPr>
              <w:spacing w:after="0"/>
              <w:rPr>
                <w:sz w:val="20"/>
                <w:szCs w:val="20"/>
                <w:color w:val="auto"/>
              </w:rPr>
            </w:pPr>
          </w:p>
        </w:tc>
      </w:tr>
      <w:tr>
        <w:trPr>
          <w:trHeight w:val="20"/>
        </w:trPr>
        <w:tc>
          <w:tcPr>
            <w:tcW w:w="5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62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(705,596)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(269,422)</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Weighted-average shares outstanding – basic</w:t>
            </w: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9,389,540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7,789,421</w:t>
            </w:r>
          </w:p>
        </w:tc>
        <w:tc>
          <w:tcPr>
            <w:tcW w:w="60" w:type="dxa"/>
            <w:vAlign w:val="bottom"/>
          </w:tcPr>
          <w:p>
            <w:pPr>
              <w:spacing w:after="0"/>
              <w:rPr>
                <w:sz w:val="22"/>
                <w:szCs w:val="22"/>
                <w:color w:val="auto"/>
              </w:rPr>
            </w:pPr>
          </w:p>
        </w:tc>
      </w:tr>
      <w:tr>
        <w:trPr>
          <w:trHeight w:val="229"/>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dilutive potential common shares from share options, share</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62"/>
        </w:trPr>
        <w:tc>
          <w:tcPr>
            <w:tcW w:w="56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awards and employee share purchase plan</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63"/>
        </w:trPr>
        <w:tc>
          <w:tcPr>
            <w:tcW w:w="5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Weighted-average shares outstanding – diluted</w:t>
            </w:r>
          </w:p>
        </w:tc>
        <w:tc>
          <w:tcPr>
            <w:tcW w:w="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9,389,540</w:t>
            </w:r>
          </w:p>
        </w:tc>
        <w:tc>
          <w:tcPr>
            <w:tcW w:w="220" w:type="dxa"/>
            <w:vAlign w:val="bottom"/>
            <w:tcBorders>
              <w:top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7,789,421</w:t>
            </w:r>
          </w:p>
        </w:tc>
        <w:tc>
          <w:tcPr>
            <w:tcW w:w="60" w:type="dxa"/>
            <w:vAlign w:val="bottom"/>
          </w:tcPr>
          <w:p>
            <w:pPr>
              <w:spacing w:after="0"/>
              <w:rPr>
                <w:sz w:val="22"/>
                <w:szCs w:val="22"/>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83"/>
        </w:trPr>
        <w:tc>
          <w:tcPr>
            <w:tcW w:w="5620" w:type="dxa"/>
            <w:vAlign w:val="bottom"/>
          </w:tcPr>
          <w:p>
            <w:pPr>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(75.15)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(34.59)</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4"/>
        </w:trPr>
        <w:tc>
          <w:tcPr>
            <w:tcW w:w="5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60" w:type="dxa"/>
            <w:vAlign w:val="bottom"/>
          </w:tcPr>
          <w:p>
            <w:pPr>
              <w:spacing w:after="0"/>
              <w:rPr>
                <w:sz w:val="24"/>
                <w:szCs w:val="24"/>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-2699385</wp:posOffset>
            </wp:positionV>
            <wp:extent cx="13716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-2699385</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The following table sets forth the potential common shares as of the end of each period presented that are not included in the calculation of diluted net loss per share because to do so would be anti-dilutive: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9" w:name="page220"/>
    <w:bookmarkEnd w:id="219"/>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04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As of December 31,</w:t>
            </w:r>
          </w:p>
        </w:tc>
      </w:tr>
      <w:tr>
        <w:trPr>
          <w:trHeight w:val="26"/>
        </w:trPr>
        <w:tc>
          <w:tcPr>
            <w:tcW w:w="5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8"/>
        </w:trPr>
        <w:tc>
          <w:tcPr>
            <w:tcW w:w="5440" w:type="dxa"/>
            <w:vAlign w:val="bottom"/>
          </w:tcPr>
          <w:p>
            <w:pPr>
              <w:spacing w:after="0"/>
              <w:rPr>
                <w:sz w:val="17"/>
                <w:szCs w:val="17"/>
                <w:color w:val="auto"/>
              </w:rPr>
            </w:pPr>
          </w:p>
        </w:tc>
        <w:tc>
          <w:tcPr>
            <w:tcW w:w="900" w:type="dxa"/>
            <w:vAlign w:val="bottom"/>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r>
      <w:tr>
        <w:trPr>
          <w:trHeight w:val="26"/>
        </w:trPr>
        <w:tc>
          <w:tcPr>
            <w:tcW w:w="5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362,011,991</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190,084,166</w:t>
            </w:r>
          </w:p>
        </w:tc>
      </w:tr>
      <w:tr>
        <w:trPr>
          <w:trHeight w:val="257"/>
        </w:trPr>
        <w:tc>
          <w:tcPr>
            <w:tcW w:w="5440" w:type="dxa"/>
            <w:vAlign w:val="bottom"/>
          </w:tcPr>
          <w:p>
            <w:pPr>
              <w:spacing w:after="0"/>
              <w:rPr>
                <w:sz w:val="20"/>
                <w:szCs w:val="20"/>
                <w:color w:val="auto"/>
              </w:rPr>
            </w:pPr>
            <w:r>
              <w:rPr>
                <w:rFonts w:ascii="Arial" w:cs="Arial" w:eastAsia="Arial" w:hAnsi="Arial"/>
                <w:sz w:val="18"/>
                <w:szCs w:val="18"/>
                <w:color w:val="auto"/>
              </w:rPr>
              <w:t>Share options outstanding</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26,730,453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26,212,498</w:t>
            </w:r>
          </w:p>
        </w:tc>
      </w:tr>
      <w:tr>
        <w:trPr>
          <w:trHeight w:val="26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share warrant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585,023</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585,023</w:t>
            </w: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Total potential convertible securities to common shares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389,327,467</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216,881,686</w:t>
            </w:r>
          </w:p>
        </w:tc>
      </w:tr>
      <w:tr>
        <w:trPr>
          <w:trHeight w:val="21"/>
        </w:trPr>
        <w:tc>
          <w:tcPr>
            <w:tcW w:w="5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5060315</wp:posOffset>
            </wp:positionH>
            <wp:positionV relativeFrom="paragraph">
              <wp:posOffset>-719455</wp:posOffset>
            </wp:positionV>
            <wp:extent cx="13716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-719455</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 EMPLOYEE BENEFIT PLAN</w:t>
      </w:r>
    </w:p>
    <w:p>
      <w:pPr>
        <w:spacing w:after="0" w:line="14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in 2020 and 2019.</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14 — SEGMENT REPORTING</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The Company has determined that it operates in one operating segment and one reportable segment, as the CODM reviews financial information presented on a consolidated basis for purposes of making operating decisions, allocating resources, and evaluating financial performance.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15 — SUBSEQUENT EVENTS</w:t>
      </w:r>
    </w:p>
    <w:p>
      <w:pPr>
        <w:spacing w:after="0" w:line="162" w:lineRule="exact"/>
        <w:rPr>
          <w:sz w:val="20"/>
          <w:szCs w:val="20"/>
          <w:color w:val="auto"/>
        </w:rPr>
      </w:pPr>
    </w:p>
    <w:p>
      <w:pPr>
        <w:ind w:left="1260" w:right="639" w:firstLine="360"/>
        <w:spacing w:after="0" w:line="279" w:lineRule="auto"/>
        <w:rPr>
          <w:sz w:val="20"/>
          <w:szCs w:val="20"/>
          <w:color w:val="auto"/>
        </w:rPr>
      </w:pPr>
      <w:r>
        <w:rPr>
          <w:rFonts w:ascii="Arial" w:cs="Arial" w:eastAsia="Arial" w:hAnsi="Arial"/>
          <w:sz w:val="17"/>
          <w:szCs w:val="17"/>
          <w:color w:val="auto"/>
        </w:rPr>
        <w:t>In connection with the preparation of the financial statements for the year ended December 31, 2020, the Company has evaluated subsequent events through March 19, 2021, the date the financial statements were available to be issued, for both conditions existing and not existing at December 31, 2020, and concluded there were no subsequent events to recognize in the financial statements.</w:t>
      </w:r>
    </w:p>
    <w:p>
      <w:pPr>
        <w:spacing w:after="0" w:line="90"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In January 2021, the Company’s board of directors approved the 2021 Stock Incentive Plan (the “2021 Plan”). The 2021 Plan will replace the 2009 Plan and 2014 Plan. 3,981,178 shares reserved for future issuance under 2009 Plan and 2014 Plan will be removed and added to share reserve under the 2021 Plan. If outstanding share awards issued under the 2009 Plan and 2014 Plan 1) expire or terminate for any reason prior to exercise or settlement, 2) are forfeited, canceled or otherwise returned to the Company because of the failure to meet vesting conditions, or 3) are reacquired, withheld to satisfy a tax withholding obligation in connection with an award or to satisfy the purchase price or exercise price of a share award (collectively, the “Returning Shares”), will be added back to the 2021 Plan. The 2021 Plan provides for the grant of incentive share options, within the meaning of Section 422 of the Internal Revenue Code of 1986, as amended, to the Company’s employees and any parent and subsidiary corporations’ employees, and for the grant of nonstatutory share options, restricted shares. Restricted Stock Units (RSUs), share appreciation rights, performance based awards and cash based awards to the Company’s employees, directors, and consultants and its parent and subsidiary corporations’ employees and consultants. The 2021 Plan became effective in January 2021. 32,076,334 shares were authorized to issue under the 2021 Plan.</w:t>
      </w:r>
    </w:p>
    <w:p>
      <w:pPr>
        <w:spacing w:after="0" w:line="117" w:lineRule="exact"/>
        <w:rPr>
          <w:sz w:val="20"/>
          <w:szCs w:val="20"/>
          <w:color w:val="auto"/>
        </w:rPr>
      </w:pPr>
    </w:p>
    <w:p>
      <w:pPr>
        <w:ind w:left="1260" w:right="679" w:firstLine="360"/>
        <w:spacing w:after="0" w:line="301" w:lineRule="auto"/>
        <w:rPr>
          <w:sz w:val="20"/>
          <w:szCs w:val="20"/>
          <w:color w:val="auto"/>
        </w:rPr>
      </w:pPr>
      <w:r>
        <w:rPr>
          <w:rFonts w:ascii="Arial" w:cs="Arial" w:eastAsia="Arial" w:hAnsi="Arial"/>
          <w:sz w:val="16"/>
          <w:szCs w:val="16"/>
          <w:color w:val="auto"/>
        </w:rPr>
        <w:t>In February 2021, the Company entered into new lease agreements for retail locations in Manhasset, New York and in Chicago, Illinois. The leases commenced in February 2021 and will expire on or before January 31, 2031. Under the lease agreements, the Company will pay base rent from $0.5 million to $0.8 million annually. Base rent is subject to a 2.5% annual escalation clause during the lease term.</w:t>
      </w:r>
    </w:p>
    <w:p>
      <w:pPr>
        <w:spacing w:after="0" w:line="90"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In February 2021, the Company and Ayar entered into Amendment No. 1 to the original Series E Preferred Share Purchase Agreement (“Amendment No. 1”) entered into September 2020 (refer to Note 7). Under the Amendment No. 1, Ayar and the Company agreed to enter into the third closing of additional 50,612,262 Series E convertible preferred shares at $7.90 per share, aggregating to $400.0 million. Upon</w:t>
      </w:r>
    </w:p>
    <w:p>
      <w:pPr>
        <w:sectPr>
          <w:pgSz w:w="11900" w:h="16838" w:orient="portrait"/>
          <w:cols w:equalWidth="0" w:num="1">
            <w:col w:w="9879"/>
          </w:cols>
          <w:pgMar w:left="580" w:top="132" w:right="1440" w:bottom="1440" w:gutter="0" w:footer="0" w:header="0"/>
        </w:sectPr>
      </w:pP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0" w:name="page221"/>
    <w:bookmarkEnd w:id="220"/>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color w:val="auto"/>
        </w:rPr>
        <w:t>the signing of the Amendment No. 1, the Company received the issuance proceeds of $400.0 million from Ayar in February 2021.</w:t>
      </w:r>
    </w:p>
    <w:p>
      <w:pPr>
        <w:spacing w:after="0" w:line="90"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Amendment No. 1 also allowed the Company to provide an opportunity to all current convertible preferred shareholders other than Ayar (“Eligible Holders”) to purchase up to 8,977,769 Series E convertible preferred shares on a pro rata basis at $ 7.90 per share, aggregating to $71.0 million. The Company will issue the Offer Notice to all Eligible Holders two business days following the third closing, and all Eligible Holders have 14 calendar days (the “Exercise Period”) to notice the Company on the number of Series E convertible preferred shares they intend to purchase.</w:t>
      </w:r>
    </w:p>
    <w:p>
      <w:pPr>
        <w:spacing w:after="0" w:line="122"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Along with the execution of the Amendment No. 1, the Company also increased the authorized number of common shares and convertible preferred shares to 498,017,734 and 437,182,072 shares, respectively.</w:t>
      </w:r>
    </w:p>
    <w:p>
      <w:pPr>
        <w:spacing w:after="0" w:line="79" w:lineRule="exact"/>
        <w:rPr>
          <w:sz w:val="20"/>
          <w:szCs w:val="20"/>
          <w:color w:val="auto"/>
        </w:rPr>
      </w:pPr>
    </w:p>
    <w:p>
      <w:pPr>
        <w:ind w:left="1260" w:right="639" w:firstLine="360"/>
        <w:spacing w:after="0" w:line="262" w:lineRule="auto"/>
        <w:rPr>
          <w:sz w:val="20"/>
          <w:szCs w:val="20"/>
          <w:color w:val="auto"/>
        </w:rPr>
      </w:pPr>
      <w:r>
        <w:rPr>
          <w:rFonts w:ascii="Arial" w:cs="Arial" w:eastAsia="Arial" w:hAnsi="Arial"/>
          <w:sz w:val="17"/>
          <w:szCs w:val="17"/>
          <w:color w:val="auto"/>
        </w:rPr>
        <w:t>On February 22, 2021, Churchill Capital Corp IV (“CCIV”) (NYSE:CCIV), a special purpose acquisition company or SPAC, announced that it had entered into a definitive agreement for a merger that would result in the Company becoming a wholly owned subsidiary of CCIV. If such merger is ultimately completed, the Company would effectively comprise all of CCIV’s material operations.</w:t>
      </w:r>
    </w:p>
    <w:p>
      <w:pPr>
        <w:spacing w:after="0" w:line="91"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In February 2021, the Company’s board of directors granted a total of 1,035,000 RSUs under the 2021 Plan in connection with the proposed merger with CCIV. The aggregate grant date fair value of the RSUs is estimated to be between $38.8 million and $ 44.0 million based on the estimated fair value of our underlying common shares using preliminary valuation techniques with the most reliable information currently available. Actual fair value may differ from these estimates and such differences may be material. The RSUs are subject to a performance condition and a service condition. The performance condition will be satisfied upon the closing of the proposed merger with CCIV. The service condition for 25% of the RSUs will be satisfied 375 days after the closing of the proposed merger with CCIV and will be satisfied for the remaining RSUs in equal quarterly installments thereafter, subject to continuous employment through each vesting date.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Subsequent to the Original Issuance of Consolidated Financial Statements (Unaudited)</w:t>
      </w:r>
    </w:p>
    <w:p>
      <w:pPr>
        <w:spacing w:after="0" w:line="16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In March 2021, the Company’s board of directors granted a total of 1,066,631 RSUs under the 2021 Plan in connection with the proposed merger with CCIV. The aggregate grant date fair value of the RSUs is estimated to be between $53.6 million and $ 60.7 million based on the estimated fair value of our underlying common shares using preliminary valuation techniques with the most reliable information currently available. Actual fair value may differ from these estimates and such differences may be material. The RSUs are subject to a performance condition and a service condition. The performance condition will be satisfied upon the closing of the proposed merger with CCIV. The service condition for 25% of the RSUs will be satisfied 375 days after the closing of the proposed merger with CCIV and will be satisfied for the remaining RSUs in equal quarterly installments thereafter, subject to continuous employment through each vesting date.</w:t>
      </w:r>
    </w:p>
    <w:p>
      <w:pPr>
        <w:spacing w:after="0" w:line="121"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In March 2021, the Company’s board of directors granted a total of 11,293,177 RSUs to its CEO under the 2021 Plan in connection with the proposed merger with CCIV. The CEO RSU Award will be comprised of 5,232,507 RSUs subject to performance and service conditions (the “CEO Time-Based RSUs”) and 6,060,670 RSUs subject to performance and market conditions (the “CEO Performance RSUs”). The aggregate grant date fair value of the CEO RSU Award is estimated to be $556.1 million based on the estimated fair value of our underlying common shares using preliminary valuation techniques, including a Monte Carlo simulation method for awards with market conditions, with the most reliable information currently available. Actual fair value may differ from these estimates and such differences may be material. The performance condition of the CEO Time- Based RSUs and CEO Performance RSUs will be satisfied upon the closing of the proposed merger with CCIV. The service condition for the CEO Time- Based RSUs will be satisfied in 16 equal quarterly installments beginning after the closing of the proposed merger with CCIV, subject to continuous employment through each vesting date. The market conditions for the CEO Performance</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RSUs will be satisfied based upon the achievement of certain market capitalization goals of the combined company during the five-year period beginning after the closing of the proposed merger with CCIV, subject to continuous employment through each vesting date.</w:t>
      </w:r>
    </w:p>
    <w:p>
      <w:pPr>
        <w:spacing w:after="0" w:line="103"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In April 2021, the Company issued 25,306,130 Series E Preferred Shares at a purchase price of approximately $7.90 per share for an aggregate purchase price of $200.0 million. The total number of shares issued include 202,449 shares issued to the CEO.</w:t>
      </w:r>
    </w:p>
    <w:p>
      <w:pPr>
        <w:spacing w:after="0" w:line="116" w:lineRule="exact"/>
        <w:rPr>
          <w:sz w:val="20"/>
          <w:szCs w:val="20"/>
          <w:color w:val="auto"/>
        </w:rPr>
      </w:pPr>
    </w:p>
    <w:p>
      <w:pPr>
        <w:jc w:val="both"/>
        <w:ind w:left="1260" w:right="479" w:firstLine="360"/>
        <w:spacing w:after="0" w:line="271" w:lineRule="auto"/>
        <w:rPr>
          <w:sz w:val="20"/>
          <w:szCs w:val="20"/>
          <w:color w:val="auto"/>
        </w:rPr>
      </w:pPr>
      <w:r>
        <w:rPr>
          <w:rFonts w:ascii="Arial" w:cs="Arial" w:eastAsia="Arial" w:hAnsi="Arial"/>
          <w:sz w:val="17"/>
          <w:szCs w:val="17"/>
          <w:color w:val="auto"/>
        </w:rPr>
        <w:t>In May 2021, the Company completed its evaluation related to the exercise of the convertible preferred share warrant liability that was settled in its entirety in February 2021. Upon final settlement, the Company converted the warrants into $12.9 million of Series D convertible preferred shares and recorded a</w:t>
      </w:r>
    </w:p>
    <w:p>
      <w:pPr>
        <w:ind w:left="1260" w:right="919"/>
        <w:spacing w:after="0" w:line="260" w:lineRule="auto"/>
        <w:rPr>
          <w:sz w:val="20"/>
          <w:szCs w:val="20"/>
          <w:color w:val="auto"/>
        </w:rPr>
      </w:pPr>
      <w:r>
        <w:rPr>
          <w:rFonts w:ascii="Arial" w:cs="Arial" w:eastAsia="Arial" w:hAnsi="Arial"/>
          <w:sz w:val="18"/>
          <w:szCs w:val="18"/>
          <w:color w:val="auto"/>
        </w:rPr>
        <w:t>$7.0 million loss related to fair value remeasurement of the warrants in the consolidated statements of operations.</w:t>
      </w:r>
    </w:p>
    <w:p>
      <w:pPr>
        <w:spacing w:after="0" w:line="118" w:lineRule="exact"/>
        <w:rPr>
          <w:sz w:val="20"/>
          <w:szCs w:val="20"/>
          <w:color w:val="auto"/>
        </w:rPr>
      </w:pPr>
    </w:p>
    <w:p>
      <w:pPr>
        <w:ind w:left="1260" w:right="999" w:firstLine="360"/>
        <w:spacing w:after="0" w:line="274" w:lineRule="auto"/>
        <w:rPr>
          <w:sz w:val="20"/>
          <w:szCs w:val="20"/>
          <w:color w:val="auto"/>
        </w:rPr>
      </w:pPr>
      <w:r>
        <w:rPr>
          <w:rFonts w:ascii="Arial" w:cs="Arial" w:eastAsia="Arial" w:hAnsi="Arial"/>
          <w:sz w:val="17"/>
          <w:szCs w:val="17"/>
          <w:color w:val="auto"/>
        </w:rPr>
        <w:t>From March 2021 through May 2021, the Company entered into new lease agreements for retail locations in various locations. The leases commenced in April 2021 and will expire on or before</w:t>
      </w:r>
    </w:p>
    <w:p>
      <w:pPr>
        <w:ind w:left="1260" w:right="499"/>
        <w:spacing w:after="0" w:line="260" w:lineRule="auto"/>
        <w:rPr>
          <w:sz w:val="20"/>
          <w:szCs w:val="20"/>
          <w:color w:val="auto"/>
        </w:rPr>
      </w:pPr>
      <w:r>
        <w:rPr>
          <w:rFonts w:ascii="Arial" w:cs="Arial" w:eastAsia="Arial" w:hAnsi="Arial"/>
          <w:sz w:val="18"/>
          <w:szCs w:val="18"/>
          <w:color w:val="auto"/>
        </w:rPr>
        <w:t>March 2032. Under the lease agreements, the Company will pay base rent from $0.2 million to $1.2 million annually.</w:t>
      </w:r>
    </w:p>
    <w:p>
      <w:pPr>
        <w:spacing w:after="0" w:line="104"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On July 22, 2021, CCIV held a special meeting of stockholders to approve the Merger Agreement. Following the Closing on July 23, 2021 CCIV has changed its name to Lucid Group, Inc. and its Class A common stock, par value $0.0001 per share (“Common Stock”), and warrants began trading on The Nasdaq Stock Market LLC under the symbols “LCID” and “LCIDW,” respectively.</w:t>
      </w:r>
    </w:p>
    <w:p>
      <w:pPr>
        <w:spacing w:after="0" w:line="119" w:lineRule="exact"/>
        <w:rPr>
          <w:sz w:val="20"/>
          <w:szCs w:val="20"/>
          <w:color w:val="auto"/>
        </w:rPr>
      </w:pPr>
    </w:p>
    <w:p>
      <w:pPr>
        <w:ind w:left="1260" w:right="439" w:firstLine="360"/>
        <w:spacing w:after="0" w:line="283" w:lineRule="auto"/>
        <w:rPr>
          <w:sz w:val="20"/>
          <w:szCs w:val="20"/>
          <w:color w:val="auto"/>
        </w:rPr>
      </w:pPr>
      <w:r>
        <w:rPr>
          <w:rFonts w:ascii="Arial" w:cs="Arial" w:eastAsia="Arial" w:hAnsi="Arial"/>
          <w:sz w:val="16"/>
          <w:szCs w:val="16"/>
          <w:color w:val="auto"/>
        </w:rPr>
        <w:t>Immediately prior to the Closing, all of Lucid Group’s preferred shares (the “Lucid Preferred Shares”) then issued and outstanding were converted into Lucid Group’s common shares, par value $0.0001 per share (the “Lucid Common Shares”) in accordance with the terms of Lucid Group’s Memorandum and Articles of Association, such that each converted Lucid Preferred Share was no longer outstanding and ceased to exist, and each holder thereof thereafter ceased to have any rights with respect to such securities. At the date and time that the business combination became effective, each Lucid Common Share then issued and outstanding was automatically cancelled and the holders of Lucid Common Shares received 2.644 shares of Common Stock in exchange for each Lucid Common Share they held at such time, based on the Equity Value (as defined in the Merger Agreement) of $12.3 billion. The Equity Value equals (a) $11.8 billion plus</w:t>
      </w:r>
    </w:p>
    <w:p>
      <w:pPr>
        <w:spacing w:after="0" w:line="6" w:lineRule="exact"/>
        <w:rPr>
          <w:sz w:val="20"/>
          <w:szCs w:val="20"/>
          <w:color w:val="auto"/>
        </w:rPr>
      </w:pPr>
    </w:p>
    <w:p>
      <w:pPr>
        <w:ind w:left="1260" w:right="599"/>
        <w:spacing w:after="0" w:line="253" w:lineRule="auto"/>
        <w:tabs>
          <w:tab w:leader="none" w:pos="152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all cash and cash equivalents of Lucid Group and its subsidiaries less (ii) all indebtedness for borrowed money of Lucid Group and its subsidiaries, in each case as of two business days prior to the Closing. The holders of the Lucid Common Shares were issued 1,193,226,511 shares of Common Stock at the Closing.</w:t>
      </w:r>
    </w:p>
    <w:p>
      <w:pPr>
        <w:spacing w:after="0" w:line="1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2" w:name="page223"/>
    <w:bookmarkEnd w:id="222"/>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6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557,938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7"/>
                <w:szCs w:val="17"/>
                <w:color w:val="auto"/>
              </w:rPr>
              <w:t>Accounts receivable, net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480</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16"/>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receivable</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27,434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7"/>
                <w:szCs w:val="17"/>
                <w:color w:val="auto"/>
              </w:rPr>
              <w:t>Short-term investments</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505</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16"/>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Inventory</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28,224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7"/>
                <w:szCs w:val="17"/>
                <w:color w:val="auto"/>
              </w:rPr>
              <w:t>Prepaid expenses</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41,276</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21,840</w:t>
            </w:r>
          </w:p>
        </w:tc>
        <w:tc>
          <w:tcPr>
            <w:tcW w:w="0" w:type="dxa"/>
            <w:vAlign w:val="bottom"/>
          </w:tcPr>
          <w:p>
            <w:pPr>
              <w:spacing w:after="0"/>
              <w:rPr>
                <w:sz w:val="1"/>
                <w:szCs w:val="1"/>
                <w:color w:val="auto"/>
              </w:rPr>
            </w:pPr>
          </w:p>
        </w:tc>
      </w:tr>
      <w:tr>
        <w:trPr>
          <w:trHeight w:val="241"/>
        </w:trPr>
        <w:tc>
          <w:tcPr>
            <w:tcW w:w="63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current assets</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26,587</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682,444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662,556</w:t>
            </w:r>
          </w:p>
        </w:tc>
        <w:tc>
          <w:tcPr>
            <w:tcW w:w="0" w:type="dxa"/>
            <w:vAlign w:val="bottom"/>
          </w:tcPr>
          <w:p>
            <w:pPr>
              <w:spacing w:after="0"/>
              <w:rPr>
                <w:sz w:val="1"/>
                <w:szCs w:val="1"/>
                <w:color w:val="auto"/>
              </w:rPr>
            </w:pPr>
          </w:p>
        </w:tc>
      </w:tr>
      <w:tr>
        <w:trPr>
          <w:trHeight w:val="198"/>
        </w:trPr>
        <w:tc>
          <w:tcPr>
            <w:tcW w:w="63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887,774</w:t>
            </w: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713,274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7"/>
                <w:szCs w:val="17"/>
                <w:color w:val="auto"/>
              </w:rPr>
              <w:t>Right-of-use assets</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126,655</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63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noncurrent assets</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39,271</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6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95"/>
              </w:rPr>
              <w:t>1,736,144</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7"/>
                <w:szCs w:val="17"/>
                <w:b w:val="1"/>
                <w:bCs w:val="1"/>
                <w:color w:val="auto"/>
                <w:w w:val="95"/>
              </w:rPr>
              <w:t>1,402,681</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LIABILITIES, CONVERTIBLE PREFERRED SHARES AND SHAREHOLDERS’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360" w:type="dxa"/>
            <w:vAlign w:val="bottom"/>
            <w:tcBorders>
              <w:right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b w:val="1"/>
                <w:bCs w:val="1"/>
                <w:color w:val="auto"/>
              </w:rPr>
              <w:t>DEFICIT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13,970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7"/>
                <w:szCs w:val="17"/>
                <w:color w:val="auto"/>
              </w:rPr>
              <w:t>Accrued compensation</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24,187</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16,197</w:t>
            </w:r>
          </w:p>
        </w:tc>
        <w:tc>
          <w:tcPr>
            <w:tcW w:w="0" w:type="dxa"/>
            <w:vAlign w:val="bottom"/>
          </w:tcPr>
          <w:p>
            <w:pPr>
              <w:spacing w:after="0"/>
              <w:rPr>
                <w:sz w:val="1"/>
                <w:szCs w:val="1"/>
                <w:color w:val="auto"/>
              </w:rPr>
            </w:pPr>
          </w:p>
        </w:tc>
      </w:tr>
      <w:tr>
        <w:trPr>
          <w:trHeight w:val="216"/>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Finance lease liabilities, current portion</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2,572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360" w:type="dxa"/>
            <w:vAlign w:val="bottom"/>
          </w:tcPr>
          <w:p>
            <w:pPr>
              <w:ind w:left="180"/>
              <w:spacing w:after="0"/>
              <w:rPr>
                <w:sz w:val="20"/>
                <w:szCs w:val="20"/>
                <w:color w:val="auto"/>
              </w:rPr>
            </w:pPr>
            <w:r>
              <w:rPr>
                <w:rFonts w:ascii="Arial" w:cs="Arial" w:eastAsia="Arial" w:hAnsi="Arial"/>
                <w:sz w:val="17"/>
                <w:szCs w:val="17"/>
                <w:color w:val="auto"/>
              </w:rPr>
              <w:t>Other current liabilities</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159,049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151,753</w:t>
            </w:r>
          </w:p>
        </w:tc>
        <w:tc>
          <w:tcPr>
            <w:tcW w:w="0" w:type="dxa"/>
            <w:vAlign w:val="bottom"/>
          </w:tcPr>
          <w:p>
            <w:pPr>
              <w:spacing w:after="0"/>
              <w:rPr>
                <w:sz w:val="1"/>
                <w:szCs w:val="1"/>
                <w:color w:val="auto"/>
              </w:rPr>
            </w:pPr>
          </w:p>
        </w:tc>
      </w:tr>
      <w:tr>
        <w:trPr>
          <w:trHeight w:val="198"/>
        </w:trPr>
        <w:tc>
          <w:tcPr>
            <w:tcW w:w="6360" w:type="dxa"/>
            <w:vAlign w:val="bottom"/>
            <w:tcBorders>
              <w:top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current liabilities</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199,778</w:t>
            </w: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185,283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7"/>
                <w:szCs w:val="17"/>
                <w:color w:val="auto"/>
              </w:rPr>
              <w:t>Convertible preferred share warrant liability</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2,960</w:t>
            </w:r>
          </w:p>
        </w:tc>
        <w:tc>
          <w:tcPr>
            <w:tcW w:w="0" w:type="dxa"/>
            <w:vAlign w:val="bottom"/>
          </w:tcPr>
          <w:p>
            <w:pPr>
              <w:spacing w:after="0"/>
              <w:rPr>
                <w:sz w:val="1"/>
                <w:szCs w:val="1"/>
                <w:color w:val="auto"/>
              </w:rPr>
            </w:pPr>
          </w:p>
        </w:tc>
      </w:tr>
      <w:tr>
        <w:trPr>
          <w:trHeight w:val="216"/>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Finance lease liabilities, net of current portion</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3,963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164,547</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38,905</w:t>
            </w:r>
          </w:p>
        </w:tc>
        <w:tc>
          <w:tcPr>
            <w:tcW w:w="0" w:type="dxa"/>
            <w:vAlign w:val="bottom"/>
          </w:tcPr>
          <w:p>
            <w:pPr>
              <w:spacing w:after="0"/>
              <w:rPr>
                <w:sz w:val="1"/>
                <w:szCs w:val="1"/>
                <w:color w:val="auto"/>
              </w:rPr>
            </w:pPr>
          </w:p>
        </w:tc>
      </w:tr>
      <w:tr>
        <w:trPr>
          <w:trHeight w:val="241"/>
        </w:trPr>
        <w:tc>
          <w:tcPr>
            <w:tcW w:w="63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liabilities</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340"/>
              <w:spacing w:after="0"/>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368,531</w:t>
            </w: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227,382</w:t>
            </w:r>
          </w:p>
        </w:tc>
        <w:tc>
          <w:tcPr>
            <w:tcW w:w="0" w:type="dxa"/>
            <w:vAlign w:val="bottom"/>
          </w:tcPr>
          <w:p>
            <w:pPr>
              <w:spacing w:after="0"/>
              <w:rPr>
                <w:sz w:val="1"/>
                <w:szCs w:val="1"/>
                <w:color w:val="auto"/>
              </w:rPr>
            </w:pPr>
          </w:p>
        </w:tc>
      </w:tr>
      <w:tr>
        <w:trPr>
          <w:trHeight w:val="198"/>
        </w:trPr>
        <w:tc>
          <w:tcPr>
            <w:tcW w:w="63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Commitments and contingencies (Note 10)</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7"/>
                <w:szCs w:val="17"/>
                <w:b w:val="1"/>
                <w:bCs w:val="1"/>
                <w:color w:val="auto"/>
              </w:rPr>
              <w:t>CONVERTIBLE PREFERRED SHARES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360" w:type="dxa"/>
            <w:vAlign w:val="bottom"/>
            <w:tcBorders>
              <w:right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w w:val="96"/>
              </w:rPr>
              <w:t>Convertible preferred shares, $0.0001 par value; 437,182,072 and 400,510,507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60" w:type="dxa"/>
            <w:vAlign w:val="bottom"/>
            <w:tcBorders>
              <w:right w:val="single" w:sz="8" w:color="CCEEFF"/>
            </w:tcBorders>
            <w:shd w:val="clear" w:color="auto" w:fill="CCEEFF"/>
          </w:tcPr>
          <w:p>
            <w:pPr>
              <w:ind w:left="180"/>
              <w:spacing w:after="0" w:line="162" w:lineRule="exact"/>
              <w:rPr>
                <w:sz w:val="20"/>
                <w:szCs w:val="20"/>
                <w:color w:val="auto"/>
              </w:rPr>
            </w:pPr>
            <w:r>
              <w:rPr>
                <w:rFonts w:ascii="Arial" w:cs="Arial" w:eastAsia="Arial" w:hAnsi="Arial"/>
                <w:sz w:val="17"/>
                <w:szCs w:val="17"/>
                <w:color w:val="auto"/>
                <w:w w:val="98"/>
              </w:rPr>
              <w:t>authorized as of June 30, 2021 and December 31, 2020, respectively; 437,182,072</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Borders>
              <w:right w:val="single" w:sz="8" w:color="CCEEFF"/>
            </w:tcBorders>
            <w:shd w:val="clear" w:color="auto" w:fill="CCEEFF"/>
          </w:tcPr>
          <w:p>
            <w:pPr>
              <w:ind w:left="180"/>
              <w:spacing w:after="0" w:line="162" w:lineRule="exact"/>
              <w:rPr>
                <w:sz w:val="20"/>
                <w:szCs w:val="20"/>
                <w:color w:val="auto"/>
              </w:rPr>
            </w:pPr>
            <w:r>
              <w:rPr>
                <w:rFonts w:ascii="Arial" w:cs="Arial" w:eastAsia="Arial" w:hAnsi="Arial"/>
                <w:sz w:val="17"/>
                <w:szCs w:val="17"/>
                <w:color w:val="auto"/>
              </w:rPr>
              <w:t>and 362,011,991 shares issued and outstanding as of June 30, 2021 and</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Borders>
              <w:right w:val="single" w:sz="8" w:color="CCEEFF"/>
            </w:tcBorders>
            <w:shd w:val="clear" w:color="auto" w:fill="CCEEFF"/>
          </w:tcPr>
          <w:p>
            <w:pPr>
              <w:ind w:left="180"/>
              <w:spacing w:after="0" w:line="162" w:lineRule="exact"/>
              <w:rPr>
                <w:sz w:val="20"/>
                <w:szCs w:val="20"/>
                <w:color w:val="auto"/>
              </w:rPr>
            </w:pPr>
            <w:r>
              <w:rPr>
                <w:rFonts w:ascii="Arial" w:cs="Arial" w:eastAsia="Arial" w:hAnsi="Arial"/>
                <w:sz w:val="17"/>
                <w:szCs w:val="17"/>
                <w:color w:val="auto"/>
              </w:rPr>
              <w:t>December 31, 2020, respectively; liquidation preference of $4,399,174, and</w:t>
            </w: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w w:val="95"/>
              </w:rPr>
              <w:t>5,836,785</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5"/>
              </w:rPr>
              <w:t>2,494,076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$3,497,913 as of June 30, 2021 and December 31, 2020, respectively</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SHAREHOLDERS’ DEFICIT:</w:t>
            </w: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6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w w:val="97"/>
              </w:rPr>
              <w:t>Common shares, par value $0.0001; 498,017,734 and 450,000,098 shares authorized</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360" w:type="dxa"/>
            <w:vAlign w:val="bottom"/>
            <w:tcBorders>
              <w:right w:val="single" w:sz="8" w:color="CCEEFF"/>
            </w:tcBorders>
            <w:shd w:val="clear" w:color="auto" w:fill="CCEEFF"/>
          </w:tcPr>
          <w:p>
            <w:pPr>
              <w:ind w:left="180"/>
              <w:spacing w:after="0" w:line="162" w:lineRule="exact"/>
              <w:rPr>
                <w:sz w:val="20"/>
                <w:szCs w:val="20"/>
                <w:color w:val="auto"/>
              </w:rPr>
            </w:pPr>
            <w:r>
              <w:rPr>
                <w:rFonts w:ascii="Arial" w:cs="Arial" w:eastAsia="Arial" w:hAnsi="Arial"/>
                <w:sz w:val="17"/>
                <w:szCs w:val="17"/>
                <w:color w:val="auto"/>
              </w:rPr>
              <w:t>as of June 30, 2021 and December 31, 2020, respectively; 13,917,981 and</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Borders>
              <w:right w:val="single" w:sz="8" w:color="CCEEFF"/>
            </w:tcBorders>
            <w:shd w:val="clear" w:color="auto" w:fill="CCEEFF"/>
          </w:tcPr>
          <w:p>
            <w:pPr>
              <w:ind w:left="180"/>
              <w:spacing w:after="0" w:line="162" w:lineRule="exact"/>
              <w:rPr>
                <w:sz w:val="20"/>
                <w:szCs w:val="20"/>
                <w:color w:val="auto"/>
              </w:rPr>
            </w:pPr>
            <w:r>
              <w:rPr>
                <w:rFonts w:ascii="Arial" w:cs="Arial" w:eastAsia="Arial" w:hAnsi="Arial"/>
                <w:sz w:val="17"/>
                <w:szCs w:val="17"/>
                <w:color w:val="auto"/>
                <w:w w:val="99"/>
              </w:rPr>
              <w:t>10,889,451 shares issued and outstanding as of June 30, 2021 and December 31,</w:t>
            </w: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360" w:type="dxa"/>
            <w:vAlign w:val="bottom"/>
            <w:tcBorders>
              <w:right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color w:val="auto"/>
              </w:rPr>
              <w:t>2020, respectively</w:t>
            </w: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26,615</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38,115</w:t>
            </w:r>
          </w:p>
        </w:tc>
        <w:tc>
          <w:tcPr>
            <w:tcW w:w="0" w:type="dxa"/>
            <w:vAlign w:val="bottom"/>
          </w:tcPr>
          <w:p>
            <w:pPr>
              <w:spacing w:after="0"/>
              <w:rPr>
                <w:sz w:val="1"/>
                <w:szCs w:val="1"/>
                <w:color w:val="auto"/>
              </w:rPr>
            </w:pPr>
          </w:p>
        </w:tc>
      </w:tr>
      <w:tr>
        <w:trPr>
          <w:trHeight w:val="241"/>
        </w:trPr>
        <w:tc>
          <w:tcPr>
            <w:tcW w:w="6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(4,495,788)</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(1,356,893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tcPr>
          <w:p>
            <w:pPr>
              <w:ind w:left="340"/>
              <w:spacing w:after="0"/>
              <w:rPr>
                <w:sz w:val="20"/>
                <w:szCs w:val="20"/>
                <w:color w:val="auto"/>
              </w:rPr>
            </w:pPr>
            <w:r>
              <w:rPr>
                <w:rFonts w:ascii="Arial" w:cs="Arial" w:eastAsia="Arial" w:hAnsi="Arial"/>
                <w:sz w:val="17"/>
                <w:szCs w:val="17"/>
                <w:color w:val="auto"/>
              </w:rPr>
              <w:t>Total shareholders’ deficit</w:t>
            </w: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(4,469,172)</w:t>
            </w: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w w:val="89"/>
              </w:rPr>
              <w:t>(1,318,777)</w:t>
            </w:r>
          </w:p>
        </w:tc>
        <w:tc>
          <w:tcPr>
            <w:tcW w:w="0" w:type="dxa"/>
            <w:vAlign w:val="bottom"/>
          </w:tcPr>
          <w:p>
            <w:pPr>
              <w:spacing w:after="0"/>
              <w:rPr>
                <w:sz w:val="1"/>
                <w:szCs w:val="1"/>
                <w:color w:val="auto"/>
              </w:rPr>
            </w:pPr>
          </w:p>
        </w:tc>
      </w:tr>
      <w:tr>
        <w:trPr>
          <w:trHeight w:val="171"/>
        </w:trPr>
        <w:tc>
          <w:tcPr>
            <w:tcW w:w="6360" w:type="dxa"/>
            <w:vAlign w:val="bottom"/>
            <w:tcBorders>
              <w:top w:val="single" w:sz="8" w:color="CCEEFF"/>
              <w:right w:val="single" w:sz="8" w:color="CCEEFF"/>
            </w:tcBorders>
            <w:shd w:val="clear" w:color="auto" w:fill="CCEEFF"/>
          </w:tcPr>
          <w:p>
            <w:pPr>
              <w:spacing w:after="0" w:line="171" w:lineRule="exact"/>
              <w:rPr>
                <w:sz w:val="20"/>
                <w:szCs w:val="20"/>
                <w:color w:val="auto"/>
              </w:rPr>
            </w:pPr>
            <w:r>
              <w:rPr>
                <w:rFonts w:ascii="Arial" w:cs="Arial" w:eastAsia="Arial" w:hAnsi="Arial"/>
                <w:sz w:val="17"/>
                <w:szCs w:val="17"/>
                <w:b w:val="1"/>
                <w:bCs w:val="1"/>
                <w:color w:val="auto"/>
              </w:rPr>
              <w:t>TOTAL LIABILITIES, CONVERTIBLE PREFERRED SHARES AND</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1,736,144</w:t>
            </w:r>
          </w:p>
        </w:tc>
        <w:tc>
          <w:tcPr>
            <w:tcW w:w="180" w:type="dxa"/>
            <w:vAlign w:val="bottom"/>
            <w:tcBorders>
              <w:top w:val="single" w:sz="8" w:color="CCEEFF"/>
              <w:right w:val="single" w:sz="8" w:color="CCEEFF"/>
            </w:tcBorders>
            <w:vMerge w:val="restart"/>
            <w:shd w:val="clear" w:color="auto" w:fill="CCEEFF"/>
          </w:tcPr>
          <w:p>
            <w:pPr>
              <w:spacing w:after="0"/>
              <w:rPr>
                <w:sz w:val="14"/>
                <w:szCs w:val="14"/>
                <w:color w:val="auto"/>
              </w:rPr>
            </w:pPr>
          </w:p>
        </w:tc>
        <w:tc>
          <w:tcPr>
            <w:tcW w:w="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1,402,681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SHAREHOLDERS’ DEFICIT</w:t>
            </w: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-281940</wp:posOffset>
            </wp:positionV>
            <wp:extent cx="468058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6805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-2133600</wp:posOffset>
            </wp:positionV>
            <wp:extent cx="468058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6805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-2990850</wp:posOffset>
            </wp:positionV>
            <wp:extent cx="468058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68058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-4525645</wp:posOffset>
            </wp:positionV>
            <wp:extent cx="468058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68058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-5931535</wp:posOffset>
            </wp:positionV>
            <wp:extent cx="467169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7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3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6"/>
                <w:szCs w:val="16"/>
                <w:color w:val="auto"/>
              </w:rPr>
            </w:pPr>
          </w:p>
        </w:tc>
        <w:tc>
          <w:tcPr>
            <w:tcW w:w="18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0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4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176,802</w:t>
            </w: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97,940</w:t>
            </w: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344,171</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207,699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4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72,272</w:t>
            </w:r>
          </w:p>
        </w:tc>
        <w:tc>
          <w:tcPr>
            <w:tcW w:w="1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15,539</w:t>
            </w:r>
          </w:p>
        </w:tc>
        <w:tc>
          <w:tcPr>
            <w:tcW w:w="8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203,924</w:t>
            </w:r>
          </w:p>
        </w:tc>
        <w:tc>
          <w:tcPr>
            <w:tcW w:w="10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29,784</w:t>
            </w:r>
          </w:p>
        </w:tc>
        <w:tc>
          <w:tcPr>
            <w:tcW w:w="0" w:type="dxa"/>
            <w:vAlign w:val="bottom"/>
          </w:tcPr>
          <w:p>
            <w:pPr>
              <w:spacing w:after="0"/>
              <w:rPr>
                <w:sz w:val="1"/>
                <w:szCs w:val="1"/>
                <w:color w:val="auto"/>
              </w:rPr>
            </w:pPr>
          </w:p>
        </w:tc>
      </w:tr>
      <w:tr>
        <w:trPr>
          <w:trHeight w:val="20"/>
        </w:trPr>
        <w:tc>
          <w:tcPr>
            <w:tcW w:w="4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249,074</w:t>
            </w: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113,479</w:t>
            </w:r>
          </w:p>
        </w:tc>
        <w:tc>
          <w:tcPr>
            <w:tcW w:w="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548,095</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237,483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(248,919)</w:t>
            </w:r>
          </w:p>
        </w:tc>
        <w:tc>
          <w:tcPr>
            <w:tcW w:w="10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(113,420)</w:t>
            </w:r>
          </w:p>
        </w:tc>
        <w:tc>
          <w:tcPr>
            <w:tcW w:w="8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(547,712)</w:t>
            </w:r>
          </w:p>
        </w:tc>
        <w:tc>
          <w:tcPr>
            <w:tcW w:w="1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(237,416)</w:t>
            </w:r>
          </w:p>
        </w:tc>
        <w:tc>
          <w:tcPr>
            <w:tcW w:w="0" w:type="dxa"/>
            <w:vAlign w:val="bottom"/>
          </w:tcPr>
          <w:p>
            <w:pPr>
              <w:spacing w:after="0"/>
              <w:rPr>
                <w:sz w:val="1"/>
                <w:szCs w:val="1"/>
                <w:color w:val="auto"/>
              </w:rPr>
            </w:pPr>
          </w:p>
        </w:tc>
      </w:tr>
      <w:tr>
        <w:trPr>
          <w:trHeight w:val="257"/>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00" w:type="dxa"/>
            <w:vAlign w:val="bottom"/>
          </w:tcPr>
          <w:p>
            <w:pPr>
              <w:ind w:left="180"/>
              <w:spacing w:after="0"/>
              <w:rPr>
                <w:sz w:val="20"/>
                <w:szCs w:val="20"/>
                <w:color w:val="auto"/>
              </w:rPr>
            </w:pPr>
            <w:r>
              <w:rPr>
                <w:rFonts w:ascii="Arial" w:cs="Arial" w:eastAsia="Arial" w:hAnsi="Arial"/>
                <w:sz w:val="18"/>
                <w:szCs w:val="18"/>
                <w:color w:val="auto"/>
              </w:rPr>
              <w:t>Change in fair value of forward contracts</w:t>
            </w:r>
          </w:p>
        </w:tc>
        <w:tc>
          <w:tcPr>
            <w:tcW w:w="1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(12,382)</w:t>
            </w:r>
          </w:p>
        </w:tc>
        <w:tc>
          <w:tcPr>
            <w:tcW w:w="10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(3,203)</w:t>
            </w:r>
          </w:p>
        </w:tc>
        <w:tc>
          <w:tcPr>
            <w:tcW w:w="8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(454,546)</w:t>
            </w:r>
          </w:p>
        </w:tc>
        <w:tc>
          <w:tcPr>
            <w:tcW w:w="1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(8,719)</w:t>
            </w:r>
          </w:p>
        </w:tc>
        <w:tc>
          <w:tcPr>
            <w:tcW w:w="0" w:type="dxa"/>
            <w:vAlign w:val="bottom"/>
          </w:tcPr>
          <w:p>
            <w:pPr>
              <w:spacing w:after="0"/>
              <w:rPr>
                <w:sz w:val="1"/>
                <w:szCs w:val="1"/>
                <w:color w:val="auto"/>
              </w:rPr>
            </w:pPr>
          </w:p>
        </w:tc>
      </w:tr>
      <w:tr>
        <w:trPr>
          <w:trHeight w:val="229"/>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convertible preferred share</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(6,976)</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7"/>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24"/>
                <w:szCs w:val="24"/>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24"/>
                <w:szCs w:val="24"/>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1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(12,802)</w:t>
            </w:r>
          </w:p>
        </w:tc>
        <w:tc>
          <w:tcPr>
            <w:tcW w:w="10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(3,893)</w:t>
            </w:r>
          </w:p>
        </w:tc>
        <w:tc>
          <w:tcPr>
            <w:tcW w:w="8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(461,957)</w:t>
            </w:r>
          </w:p>
        </w:tc>
        <w:tc>
          <w:tcPr>
            <w:tcW w:w="1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(9,552)</w:t>
            </w:r>
          </w:p>
        </w:tc>
        <w:tc>
          <w:tcPr>
            <w:tcW w:w="0" w:type="dxa"/>
            <w:vAlign w:val="bottom"/>
          </w:tcPr>
          <w:p>
            <w:pPr>
              <w:spacing w:after="0"/>
              <w:rPr>
                <w:sz w:val="1"/>
                <w:szCs w:val="1"/>
                <w:color w:val="auto"/>
              </w:rPr>
            </w:pPr>
          </w:p>
        </w:tc>
      </w:tr>
      <w:tr>
        <w:trPr>
          <w:trHeight w:val="20"/>
        </w:trPr>
        <w:tc>
          <w:tcPr>
            <w:tcW w:w="4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(benefit from) income taxes</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(261,721)</w:t>
            </w:r>
          </w:p>
        </w:tc>
        <w:tc>
          <w:tcPr>
            <w:tcW w:w="100" w:type="dxa"/>
            <w:vAlign w:val="bottom"/>
            <w:shd w:val="clear" w:color="auto" w:fill="CCEEFF"/>
          </w:tcPr>
          <w:p>
            <w:pPr>
              <w:spacing w:after="0"/>
              <w:rPr>
                <w:sz w:val="23"/>
                <w:szCs w:val="23"/>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(117,313)</w:t>
            </w: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(1,009,669)</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(246,968)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4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(261,726)</w:t>
            </w:r>
          </w:p>
        </w:tc>
        <w:tc>
          <w:tcPr>
            <w:tcW w:w="100" w:type="dxa"/>
            <w:vAlign w:val="bottom"/>
            <w:shd w:val="clear" w:color="auto" w:fill="CCEEFF"/>
          </w:tcPr>
          <w:p>
            <w:pPr>
              <w:spacing w:after="0"/>
              <w:rPr>
                <w:sz w:val="23"/>
                <w:szCs w:val="23"/>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(117,285)</w:t>
            </w: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(1,009,678)</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(246,868)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400" w:type="dxa"/>
            <w:vAlign w:val="bottom"/>
          </w:tcPr>
          <w:p>
            <w:pPr>
              <w:ind w:left="180"/>
              <w:spacing w:after="0"/>
              <w:rPr>
                <w:sz w:val="20"/>
                <w:szCs w:val="20"/>
                <w:color w:val="auto"/>
              </w:rPr>
            </w:pPr>
            <w:r>
              <w:rPr>
                <w:rFonts w:ascii="Arial" w:cs="Arial" w:eastAsia="Arial" w:hAnsi="Arial"/>
                <w:sz w:val="18"/>
                <w:szCs w:val="18"/>
                <w:color w:val="auto"/>
                <w:w w:val="99"/>
              </w:rPr>
              <w:t>Deemed dividend related to the issuance of Series E</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convertible preferred shares</w:t>
            </w: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(2,167,332)</w:t>
            </w: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(261,726)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(117,285)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(3,177,010)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(246,868)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(19.06)</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(14.10)</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(243.59)</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37"/>
        </w:trPr>
        <w:tc>
          <w:tcPr>
            <w:tcW w:w="4400" w:type="dxa"/>
            <w:vAlign w:val="bottom"/>
          </w:tcPr>
          <w:p>
            <w:pPr>
              <w:ind w:left="180"/>
              <w:spacing w:after="0"/>
              <w:rPr>
                <w:sz w:val="20"/>
                <w:szCs w:val="20"/>
                <w:color w:val="auto"/>
              </w:rPr>
            </w:pPr>
            <w:r>
              <w:rPr>
                <w:rFonts w:ascii="Arial" w:cs="Arial" w:eastAsia="Arial" w:hAnsi="Arial"/>
                <w:sz w:val="18"/>
                <w:szCs w:val="18"/>
                <w:color w:val="auto"/>
              </w:rPr>
              <w:t>shareholders – basic and diluted</w:t>
            </w:r>
          </w:p>
        </w:tc>
        <w:tc>
          <w:tcPr>
            <w:tcW w:w="10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4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40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shares used in computing net loss per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share attributable to common shareholders – basic and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13,728,639</w:t>
            </w: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8,319,168</w:t>
            </w:r>
          </w:p>
        </w:tc>
        <w:tc>
          <w:tcPr>
            <w:tcW w:w="8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13,042,653</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8,117,746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-967740</wp:posOffset>
            </wp:positionV>
            <wp:extent cx="7747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-967740</wp:posOffset>
            </wp:positionV>
            <wp:extent cx="7683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-967740</wp:posOffset>
            </wp:positionV>
            <wp:extent cx="344614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-1464945</wp:posOffset>
            </wp:positionV>
            <wp:extent cx="7747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-1464945</wp:posOffset>
            </wp:positionV>
            <wp:extent cx="768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-1464945</wp:posOffset>
            </wp:positionV>
            <wp:extent cx="344614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-1824990</wp:posOffset>
            </wp:positionV>
            <wp:extent cx="7747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-1824990</wp:posOffset>
            </wp:positionV>
            <wp:extent cx="7683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-1824990</wp:posOffset>
            </wp:positionV>
            <wp:extent cx="344614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-3333750</wp:posOffset>
            </wp:positionV>
            <wp:extent cx="7747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-3333750</wp:posOffset>
            </wp:positionV>
            <wp:extent cx="7683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-3333750</wp:posOffset>
            </wp:positionV>
            <wp:extent cx="344614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-4003040</wp:posOffset>
            </wp:positionV>
            <wp:extent cx="7747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-4003040</wp:posOffset>
            </wp:positionV>
            <wp:extent cx="7683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-4003040</wp:posOffset>
            </wp:positionV>
            <wp:extent cx="344614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-4345305</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-4345305</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-4345305</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-4345305</wp:posOffset>
            </wp:positionV>
            <wp:extent cx="342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CONDENSED CONSOLIDATED STATEMENTS OF CONVERTIBLE PREFERRED SHARES AND</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SHAREHOLDERS’ DEFICIT</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500" w:type="dxa"/>
        <w:tblCellMar>
          <w:top w:w="0" w:type="dxa"/>
          <w:left w:w="0" w:type="dxa"/>
          <w:bottom w:w="0" w:type="dxa"/>
          <w:right w:w="0" w:type="dxa"/>
        </w:tblCellMar>
      </w:tblPr>
      <w:tr>
        <w:trPr>
          <w:trHeight w:val="23"/>
        </w:trPr>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0"/>
              </w:rPr>
              <w:t>Convertible</w:t>
            </w:r>
          </w:p>
        </w:tc>
        <w:tc>
          <w:tcPr>
            <w:tcW w:w="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75"/>
              </w:rPr>
              <w:t>Additional</w:t>
            </w: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line="20" w:lineRule="exact"/>
              <w:rPr>
                <w:sz w:val="1"/>
                <w:szCs w:val="1"/>
                <w:color w:val="auto"/>
              </w:rPr>
            </w:pPr>
          </w:p>
        </w:tc>
      </w:tr>
      <w:tr>
        <w:trPr>
          <w:trHeight w:val="139"/>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Preferred Shares</w:t>
            </w:r>
          </w:p>
        </w:tc>
        <w:tc>
          <w:tcPr>
            <w:tcW w:w="80" w:type="dxa"/>
            <w:vAlign w:val="bottom"/>
            <w:vMerge w:val="restart"/>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Common Shares</w:t>
            </w:r>
          </w:p>
        </w:tc>
        <w:tc>
          <w:tcPr>
            <w:tcW w:w="260" w:type="dxa"/>
            <w:vAlign w:val="bottom"/>
            <w:vMerge w:val="restart"/>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gridSpan w:val="6"/>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60" w:type="dxa"/>
            <w:vAlign w:val="bottom"/>
            <w:gridSpan w:val="3"/>
          </w:tcPr>
          <w:p>
            <w:pPr>
              <w:jc w:val="center"/>
              <w:ind w:right="420"/>
              <w:spacing w:after="0" w:line="125"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jc w:val="center"/>
              <w:ind w:right="380"/>
              <w:spacing w:after="0" w:line="125" w:lineRule="exact"/>
              <w:rPr>
                <w:sz w:val="20"/>
                <w:szCs w:val="20"/>
                <w:color w:val="auto"/>
              </w:rPr>
            </w:pPr>
            <w:r>
              <w:rPr>
                <w:rFonts w:ascii="Arial" w:cs="Arial" w:eastAsia="Arial" w:hAnsi="Arial"/>
                <w:sz w:val="14"/>
                <w:szCs w:val="14"/>
                <w:b w:val="1"/>
                <w:bCs w:val="1"/>
                <w:color w:val="auto"/>
                <w:w w:val="79"/>
              </w:rPr>
              <w:t>Accumulated</w:t>
            </w:r>
          </w:p>
        </w:tc>
        <w:tc>
          <w:tcPr>
            <w:tcW w:w="720" w:type="dxa"/>
            <w:vAlign w:val="bottom"/>
            <w:gridSpan w:val="2"/>
          </w:tcPr>
          <w:p>
            <w:pPr>
              <w:jc w:val="center"/>
              <w:ind w:right="20"/>
              <w:spacing w:after="0" w:line="125" w:lineRule="exact"/>
              <w:rPr>
                <w:sz w:val="20"/>
                <w:szCs w:val="20"/>
                <w:color w:val="auto"/>
              </w:rPr>
            </w:pPr>
            <w:r>
              <w:rPr>
                <w:rFonts w:ascii="Arial" w:cs="Arial" w:eastAsia="Arial" w:hAnsi="Arial"/>
                <w:sz w:val="14"/>
                <w:szCs w:val="14"/>
                <w:b w:val="1"/>
                <w:bCs w:val="1"/>
                <w:color w:val="auto"/>
                <w:w w:val="75"/>
              </w:rPr>
              <w:t>Stockholders’</w:t>
            </w:r>
          </w:p>
        </w:tc>
        <w:tc>
          <w:tcPr>
            <w:tcW w:w="0" w:type="dxa"/>
            <w:vAlign w:val="bottom"/>
          </w:tcPr>
          <w:p>
            <w:pPr>
              <w:spacing w:after="0"/>
              <w:rPr>
                <w:sz w:val="1"/>
                <w:szCs w:val="1"/>
                <w:color w:val="auto"/>
              </w:rPr>
            </w:pPr>
          </w:p>
        </w:tc>
      </w:tr>
      <w:tr>
        <w:trPr>
          <w:trHeight w:val="190"/>
        </w:trPr>
        <w:tc>
          <w:tcPr>
            <w:tcW w:w="3480" w:type="dxa"/>
            <w:vAlign w:val="bottom"/>
          </w:tcPr>
          <w:p>
            <w:pPr>
              <w:spacing w:after="0"/>
              <w:rPr>
                <w:sz w:val="20"/>
                <w:szCs w:val="20"/>
                <w:color w:val="auto"/>
              </w:rPr>
            </w:pPr>
            <w:r>
              <w:rPr>
                <w:rFonts w:ascii="Arial" w:cs="Arial" w:eastAsia="Arial" w:hAnsi="Arial"/>
                <w:sz w:val="14"/>
                <w:szCs w:val="14"/>
                <w:b w:val="1"/>
                <w:bCs w:val="1"/>
                <w:color w:val="auto"/>
              </w:rPr>
              <w:t>Three months ended June 30, 2021</w:t>
            </w:r>
          </w:p>
        </w:tc>
        <w:tc>
          <w:tcPr>
            <w:tcW w:w="180" w:type="dxa"/>
            <w:vAlign w:val="bottom"/>
          </w:tcPr>
          <w:p>
            <w:pPr>
              <w:spacing w:after="0"/>
              <w:rPr>
                <w:sz w:val="16"/>
                <w:szCs w:val="16"/>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6"/>
                <w:szCs w:val="16"/>
                <w:color w:val="auto"/>
              </w:rPr>
            </w:pPr>
          </w:p>
        </w:tc>
        <w:tc>
          <w:tcPr>
            <w:tcW w:w="7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3"/>
              </w:rPr>
              <w:t>Amount</w:t>
            </w:r>
          </w:p>
        </w:tc>
        <w:tc>
          <w:tcPr>
            <w:tcW w:w="8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Capital</w:t>
            </w: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Deficit</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0"/>
        </w:trPr>
        <w:tc>
          <w:tcPr>
            <w:tcW w:w="3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March 31, 2021</w:t>
            </w:r>
          </w:p>
        </w:tc>
        <w:tc>
          <w:tcPr>
            <w:tcW w:w="18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4"/>
              </w:rPr>
              <w:t>411,875,942</w:t>
            </w:r>
          </w:p>
        </w:tc>
        <w:tc>
          <w:tcPr>
            <w:tcW w:w="260" w:type="dxa"/>
            <w:vAlign w:val="bottom"/>
            <w:tcBorders>
              <w:left w:val="single" w:sz="8" w:color="CCEEFF"/>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2"/>
              </w:rPr>
              <w:t>$4,454,811</w:t>
            </w:r>
          </w:p>
        </w:tc>
        <w:tc>
          <w:tcPr>
            <w:tcW w:w="80" w:type="dxa"/>
            <w:vAlign w:val="bottom"/>
            <w:tcBorders>
              <w:lef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9"/>
              </w:rPr>
              <w:t>13,498,196</w:t>
            </w:r>
          </w:p>
        </w:tc>
        <w:tc>
          <w:tcPr>
            <w:tcW w:w="240" w:type="dxa"/>
            <w:vAlign w:val="bottom"/>
            <w:tcBorders>
              <w:left w:val="single" w:sz="8" w:color="CCEEFF"/>
              <w:right w:val="single" w:sz="8" w:color="CCEEFF"/>
            </w:tcBorders>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$ 6,198</w:t>
            </w: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86"/>
              </w:rPr>
              <w:t>$ (4,234,062)</w:t>
            </w:r>
          </w:p>
        </w:tc>
        <w:tc>
          <w:tcPr>
            <w:tcW w:w="38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85"/>
              </w:rPr>
              <w:t>$(4,227,863)</w:t>
            </w:r>
          </w:p>
        </w:tc>
        <w:tc>
          <w:tcPr>
            <w:tcW w:w="0" w:type="dxa"/>
            <w:vAlign w:val="bottom"/>
          </w:tcPr>
          <w:p>
            <w:pPr>
              <w:spacing w:after="0"/>
              <w:rPr>
                <w:sz w:val="1"/>
                <w:szCs w:val="1"/>
                <w:color w:val="auto"/>
              </w:rPr>
            </w:pPr>
          </w:p>
        </w:tc>
      </w:tr>
      <w:tr>
        <w:trPr>
          <w:trHeight w:val="175"/>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4"/>
          </w:tcPr>
          <w:p>
            <w:pPr>
              <w:jc w:val="right"/>
              <w:ind w:right="44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(261,726)</w:t>
            </w:r>
          </w:p>
        </w:tc>
        <w:tc>
          <w:tcPr>
            <w:tcW w:w="38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(261,726)</w:t>
            </w:r>
          </w:p>
        </w:tc>
        <w:tc>
          <w:tcPr>
            <w:tcW w:w="0" w:type="dxa"/>
            <w:vAlign w:val="bottom"/>
          </w:tcPr>
          <w:p>
            <w:pPr>
              <w:spacing w:after="0"/>
              <w:rPr>
                <w:sz w:val="1"/>
                <w:szCs w:val="1"/>
                <w:color w:val="auto"/>
              </w:rPr>
            </w:pPr>
          </w:p>
        </w:tc>
      </w:tr>
      <w:tr>
        <w:trPr>
          <w:trHeight w:val="176"/>
        </w:trPr>
        <w:tc>
          <w:tcPr>
            <w:tcW w:w="36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Issuance of Series E convertible preferred shares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25,306,130</w:t>
            </w:r>
          </w:p>
        </w:tc>
        <w:tc>
          <w:tcPr>
            <w:tcW w:w="260" w:type="dxa"/>
            <w:vAlign w:val="bottom"/>
            <w:tcBorders>
              <w:left w:val="single" w:sz="8" w:color="CCEEFF"/>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1,361,273</w:t>
            </w:r>
          </w:p>
        </w:tc>
        <w:tc>
          <w:tcPr>
            <w:tcW w:w="80" w:type="dxa"/>
            <w:vAlign w:val="bottom"/>
            <w:tcBorders>
              <w:lef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640" w:type="dxa"/>
            <w:vAlign w:val="bottom"/>
            <w:tcBorders>
              <w:right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15,719</w:t>
            </w: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08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15,719</w:t>
            </w:r>
          </w:p>
        </w:tc>
        <w:tc>
          <w:tcPr>
            <w:tcW w:w="0" w:type="dxa"/>
            <w:vAlign w:val="bottom"/>
          </w:tcPr>
          <w:p>
            <w:pPr>
              <w:spacing w:after="0"/>
              <w:rPr>
                <w:sz w:val="1"/>
                <w:szCs w:val="1"/>
                <w:color w:val="auto"/>
              </w:rPr>
            </w:pPr>
          </w:p>
        </w:tc>
      </w:tr>
      <w:tr>
        <w:trPr>
          <w:trHeight w:val="148"/>
        </w:trPr>
        <w:tc>
          <w:tcPr>
            <w:tcW w:w="36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Share-based compensation related to Series E</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20,701</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4"/>
            <w:vMerge w:val="restart"/>
          </w:tcPr>
          <w:p>
            <w:pPr>
              <w:jc w:val="right"/>
              <w:ind w:right="440"/>
              <w:spacing w:after="0"/>
              <w:rPr>
                <w:sz w:val="20"/>
                <w:szCs w:val="20"/>
                <w:color w:val="auto"/>
              </w:rPr>
            </w:pPr>
            <w:r>
              <w:rPr>
                <w:rFonts w:ascii="Arial" w:cs="Arial" w:eastAsia="Arial" w:hAnsi="Arial"/>
                <w:sz w:val="14"/>
                <w:szCs w:val="14"/>
                <w:color w:val="auto"/>
              </w:rPr>
              <w:t>—</w:t>
            </w:r>
          </w:p>
        </w:tc>
        <w:tc>
          <w:tcPr>
            <w:tcW w:w="86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rPr>
              <w:t>—</w:t>
            </w:r>
          </w:p>
        </w:tc>
        <w:tc>
          <w:tcPr>
            <w:tcW w:w="108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convertible preferred shares</w:t>
            </w:r>
          </w:p>
        </w:tc>
        <w:tc>
          <w:tcPr>
            <w:tcW w:w="9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Exercise of share options</w:t>
            </w: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419,785</w:t>
            </w:r>
          </w:p>
        </w:tc>
        <w:tc>
          <w:tcPr>
            <w:tcW w:w="240" w:type="dxa"/>
            <w:vAlign w:val="bottom"/>
            <w:tcBorders>
              <w:left w:val="single" w:sz="8" w:color="CCEEFF"/>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40" w:type="dxa"/>
            <w:vAlign w:val="bottom"/>
            <w:tcBorders>
              <w:right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08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97"/>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40" w:type="dxa"/>
            <w:vAlign w:val="bottom"/>
            <w:gridSpan w:val="4"/>
          </w:tcPr>
          <w:p>
            <w:pPr>
              <w:jc w:val="right"/>
              <w:ind w:right="4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3,748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3,748</w:t>
            </w:r>
          </w:p>
        </w:tc>
        <w:tc>
          <w:tcPr>
            <w:tcW w:w="0" w:type="dxa"/>
            <w:vAlign w:val="bottom"/>
          </w:tcPr>
          <w:p>
            <w:pPr>
              <w:spacing w:after="0"/>
              <w:rPr>
                <w:sz w:val="1"/>
                <w:szCs w:val="1"/>
                <w:color w:val="auto"/>
              </w:rPr>
            </w:pPr>
          </w:p>
        </w:tc>
      </w:tr>
      <w:tr>
        <w:trPr>
          <w:trHeight w:val="20"/>
        </w:trPr>
        <w:tc>
          <w:tcPr>
            <w:tcW w:w="34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3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as of June 30, 2021</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4"/>
              </w:rPr>
              <w:t>437,182,072</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2"/>
              </w:rPr>
              <w:t>$5,836,785</w:t>
            </w:r>
          </w:p>
        </w:tc>
        <w:tc>
          <w:tcPr>
            <w:tcW w:w="80" w:type="dxa"/>
            <w:vAlign w:val="bottom"/>
            <w:tcBorders>
              <w:left w:val="single" w:sz="8" w:color="CCEEFF"/>
            </w:tcBorders>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9"/>
              </w:rPr>
              <w:t>13,917,981</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0"/>
              </w:rPr>
              <w:t>$ 26,615</w:t>
            </w:r>
          </w:p>
        </w:tc>
        <w:tc>
          <w:tcPr>
            <w:tcW w:w="140" w:type="dxa"/>
            <w:vAlign w:val="bottom"/>
            <w:tcBorders>
              <w:left w:val="single" w:sz="8" w:color="CCEEFF"/>
              <w:right w:val="single" w:sz="8" w:color="CCEEFF"/>
            </w:tcBorders>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86"/>
              </w:rPr>
              <w:t>$ (4,495,788)</w:t>
            </w:r>
          </w:p>
        </w:tc>
        <w:tc>
          <w:tcPr>
            <w:tcW w:w="380" w:type="dxa"/>
            <w:vAlign w:val="bottom"/>
            <w:tcBorders>
              <w:left w:val="single" w:sz="8" w:color="CCEEFF"/>
              <w:right w:val="single" w:sz="8" w:color="CCEEFF"/>
            </w:tcBorders>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85"/>
              </w:rPr>
              <w:t>$(4,469,172)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7"/>
            <w:vMerge w:val="restart"/>
          </w:tcPr>
          <w:p>
            <w:pPr>
              <w:jc w:val="center"/>
              <w:ind w:right="140"/>
              <w:spacing w:after="0"/>
              <w:rPr>
                <w:sz w:val="20"/>
                <w:szCs w:val="20"/>
                <w:color w:val="auto"/>
              </w:rPr>
            </w:pPr>
            <w:r>
              <w:rPr>
                <w:rFonts w:ascii="Arial" w:cs="Arial" w:eastAsia="Arial" w:hAnsi="Arial"/>
                <w:sz w:val="14"/>
                <w:szCs w:val="14"/>
                <w:b w:val="1"/>
                <w:bCs w:val="1"/>
                <w:color w:val="auto"/>
                <w:w w:val="88"/>
              </w:rPr>
              <w:t>Convertible</w:t>
            </w:r>
          </w:p>
        </w:tc>
        <w:tc>
          <w:tcPr>
            <w:tcW w:w="20" w:type="dxa"/>
            <w:vAlign w:val="bottom"/>
          </w:tcPr>
          <w:p>
            <w:pPr>
              <w:spacing w:after="0"/>
              <w:rPr>
                <w:sz w:val="21"/>
                <w:szCs w:val="21"/>
                <w:color w:val="auto"/>
              </w:rPr>
            </w:pPr>
          </w:p>
        </w:tc>
        <w:tc>
          <w:tcPr>
            <w:tcW w:w="100" w:type="dxa"/>
            <w:vAlign w:val="bottom"/>
            <w:vMerge w:val="restart"/>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75"/>
              </w:rPr>
              <w:t>Additional</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9"/>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7"/>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Preferred Shares</w:t>
            </w:r>
          </w:p>
        </w:tc>
        <w:tc>
          <w:tcPr>
            <w:tcW w:w="160" w:type="dxa"/>
            <w:vAlign w:val="bottom"/>
            <w:gridSpan w:val="4"/>
            <w:vMerge w:val="restart"/>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6"/>
            <w:vMerge w:val="restart"/>
          </w:tcPr>
          <w:p>
            <w:pPr>
              <w:jc w:val="right"/>
              <w:ind w:right="200"/>
              <w:spacing w:after="0"/>
              <w:rPr>
                <w:sz w:val="20"/>
                <w:szCs w:val="20"/>
                <w:color w:val="auto"/>
              </w:rPr>
            </w:pPr>
            <w:r>
              <w:rPr>
                <w:rFonts w:ascii="Arial" w:cs="Arial" w:eastAsia="Arial" w:hAnsi="Arial"/>
                <w:sz w:val="14"/>
                <w:szCs w:val="14"/>
                <w:b w:val="1"/>
                <w:bCs w:val="1"/>
                <w:color w:val="auto"/>
                <w:w w:val="98"/>
              </w:rPr>
              <w:t>Common Shares</w:t>
            </w:r>
          </w:p>
        </w:tc>
        <w:tc>
          <w:tcPr>
            <w:tcW w:w="260" w:type="dxa"/>
            <w:vAlign w:val="bottom"/>
            <w:vMerge w:val="restart"/>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160" w:type="dxa"/>
            <w:vAlign w:val="bottom"/>
            <w:gridSpan w:val="4"/>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gridSpan w:val="6"/>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60" w:type="dxa"/>
            <w:vAlign w:val="bottom"/>
            <w:gridSpan w:val="3"/>
          </w:tcPr>
          <w:p>
            <w:pPr>
              <w:jc w:val="center"/>
              <w:ind w:right="420"/>
              <w:spacing w:after="0" w:line="125"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jc w:val="center"/>
              <w:ind w:right="380"/>
              <w:spacing w:after="0" w:line="125" w:lineRule="exact"/>
              <w:rPr>
                <w:sz w:val="20"/>
                <w:szCs w:val="20"/>
                <w:color w:val="auto"/>
              </w:rPr>
            </w:pPr>
            <w:r>
              <w:rPr>
                <w:rFonts w:ascii="Arial" w:cs="Arial" w:eastAsia="Arial" w:hAnsi="Arial"/>
                <w:sz w:val="14"/>
                <w:szCs w:val="14"/>
                <w:b w:val="1"/>
                <w:bCs w:val="1"/>
                <w:color w:val="auto"/>
                <w:w w:val="79"/>
              </w:rPr>
              <w:t>Accumulated</w:t>
            </w:r>
          </w:p>
        </w:tc>
        <w:tc>
          <w:tcPr>
            <w:tcW w:w="720" w:type="dxa"/>
            <w:vAlign w:val="bottom"/>
            <w:gridSpan w:val="2"/>
          </w:tcPr>
          <w:p>
            <w:pPr>
              <w:jc w:val="center"/>
              <w:ind w:right="20"/>
              <w:spacing w:after="0" w:line="125" w:lineRule="exact"/>
              <w:rPr>
                <w:sz w:val="20"/>
                <w:szCs w:val="20"/>
                <w:color w:val="auto"/>
              </w:rPr>
            </w:pPr>
            <w:r>
              <w:rPr>
                <w:rFonts w:ascii="Arial" w:cs="Arial" w:eastAsia="Arial" w:hAnsi="Arial"/>
                <w:sz w:val="14"/>
                <w:szCs w:val="14"/>
                <w:b w:val="1"/>
                <w:bCs w:val="1"/>
                <w:color w:val="auto"/>
                <w:w w:val="75"/>
              </w:rPr>
              <w:t>Stockholders’</w:t>
            </w:r>
          </w:p>
        </w:tc>
        <w:tc>
          <w:tcPr>
            <w:tcW w:w="0" w:type="dxa"/>
            <w:vAlign w:val="bottom"/>
          </w:tcPr>
          <w:p>
            <w:pPr>
              <w:spacing w:after="0"/>
              <w:rPr>
                <w:sz w:val="1"/>
                <w:szCs w:val="1"/>
                <w:color w:val="auto"/>
              </w:rPr>
            </w:pPr>
          </w:p>
        </w:tc>
      </w:tr>
      <w:tr>
        <w:trPr>
          <w:trHeight w:val="190"/>
        </w:trPr>
        <w:tc>
          <w:tcPr>
            <w:tcW w:w="3480" w:type="dxa"/>
            <w:vAlign w:val="bottom"/>
          </w:tcPr>
          <w:p>
            <w:pPr>
              <w:spacing w:after="0"/>
              <w:rPr>
                <w:sz w:val="20"/>
                <w:szCs w:val="20"/>
                <w:color w:val="auto"/>
              </w:rPr>
            </w:pPr>
            <w:r>
              <w:rPr>
                <w:rFonts w:ascii="Arial" w:cs="Arial" w:eastAsia="Arial" w:hAnsi="Arial"/>
                <w:sz w:val="14"/>
                <w:szCs w:val="14"/>
                <w:b w:val="1"/>
                <w:bCs w:val="1"/>
                <w:color w:val="auto"/>
              </w:rPr>
              <w:t>Three months ended June 30, 2020</w:t>
            </w:r>
          </w:p>
        </w:tc>
        <w:tc>
          <w:tcPr>
            <w:tcW w:w="180" w:type="dxa"/>
            <w:vAlign w:val="bottom"/>
          </w:tcPr>
          <w:p>
            <w:pPr>
              <w:spacing w:after="0"/>
              <w:rPr>
                <w:sz w:val="16"/>
                <w:szCs w:val="16"/>
                <w:color w:val="auto"/>
              </w:rPr>
            </w:pPr>
          </w:p>
        </w:tc>
        <w:tc>
          <w:tcPr>
            <w:tcW w:w="68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gridSpan w:val="4"/>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Shares</w:t>
            </w:r>
          </w:p>
        </w:tc>
        <w:tc>
          <w:tcPr>
            <w:tcW w:w="240" w:type="dxa"/>
            <w:vAlign w:val="bottom"/>
          </w:tcPr>
          <w:p>
            <w:pPr>
              <w:spacing w:after="0"/>
              <w:rPr>
                <w:sz w:val="16"/>
                <w:szCs w:val="16"/>
                <w:color w:val="auto"/>
              </w:rPr>
            </w:pPr>
          </w:p>
        </w:tc>
        <w:tc>
          <w:tcPr>
            <w:tcW w:w="7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3"/>
              </w:rPr>
              <w:t>Amount</w:t>
            </w:r>
          </w:p>
        </w:tc>
        <w:tc>
          <w:tcPr>
            <w:tcW w:w="8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Capital</w:t>
            </w: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Deficit</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0"/>
        </w:trPr>
        <w:tc>
          <w:tcPr>
            <w:tcW w:w="34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March 31, 2020</w:t>
            </w:r>
          </w:p>
        </w:tc>
        <w:tc>
          <w:tcPr>
            <w:tcW w:w="18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221,285,411</w:t>
            </w:r>
          </w:p>
        </w:tc>
        <w:tc>
          <w:tcPr>
            <w:tcW w:w="260" w:type="dxa"/>
            <w:vAlign w:val="bottom"/>
            <w:tcBorders>
              <w:left w:val="single" w:sz="8" w:color="CCEEFF"/>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1"/>
              </w:rPr>
              <w:t>$1,292,190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8,186,387</w:t>
            </w:r>
          </w:p>
        </w:tc>
        <w:tc>
          <w:tcPr>
            <w:tcW w:w="240" w:type="dxa"/>
            <w:vAlign w:val="bottom"/>
            <w:tcBorders>
              <w:left w:val="single" w:sz="8" w:color="CCEEFF"/>
              <w:right w:val="single" w:sz="8" w:color="CCEEFF"/>
            </w:tcBorders>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0"/>
              </w:rPr>
              <w:t>$ 17,436</w:t>
            </w: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 (767,096)</w:t>
            </w:r>
          </w:p>
        </w:tc>
        <w:tc>
          <w:tcPr>
            <w:tcW w:w="80" w:type="dxa"/>
            <w:vAlign w:val="bottom"/>
            <w:tcBorders>
              <w:left w:val="single" w:sz="8" w:color="CCEEFF"/>
            </w:tcBorders>
            <w:shd w:val="clear" w:color="auto" w:fill="CCEEFF"/>
          </w:tcPr>
          <w:p>
            <w:pPr>
              <w:spacing w:after="0"/>
              <w:rPr>
                <w:sz w:val="15"/>
                <w:szCs w:val="15"/>
                <w:color w:val="auto"/>
              </w:rPr>
            </w:pPr>
          </w:p>
        </w:tc>
        <w:tc>
          <w:tcPr>
            <w:tcW w:w="380" w:type="dxa"/>
            <w:vAlign w:val="bottom"/>
            <w:tcBorders>
              <w:left w:val="single" w:sz="8" w:color="CCEEFF"/>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$(749,659)</w:t>
            </w:r>
          </w:p>
        </w:tc>
        <w:tc>
          <w:tcPr>
            <w:tcW w:w="12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4"/>
          </w:tcPr>
          <w:p>
            <w:pPr>
              <w:jc w:val="right"/>
              <w:ind w:right="44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(117,285)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(117,285)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Issuance of Series D convertible preferred shares</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31,201,256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200,000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640" w:type="dxa"/>
            <w:vAlign w:val="bottom"/>
            <w:tcBorders>
              <w:right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Settlement of Series D contingent forward contract</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21,383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4"/>
            <w:vMerge w:val="restart"/>
          </w:tcPr>
          <w:p>
            <w:pPr>
              <w:jc w:val="right"/>
              <w:ind w:right="440"/>
              <w:spacing w:after="0"/>
              <w:rPr>
                <w:sz w:val="20"/>
                <w:szCs w:val="20"/>
                <w:color w:val="auto"/>
              </w:rPr>
            </w:pPr>
            <w:r>
              <w:rPr>
                <w:rFonts w:ascii="Arial" w:cs="Arial" w:eastAsia="Arial" w:hAnsi="Arial"/>
                <w:sz w:val="14"/>
                <w:szCs w:val="14"/>
                <w:color w:val="auto"/>
              </w:rPr>
              <w:t>—</w:t>
            </w:r>
          </w:p>
        </w:tc>
        <w:tc>
          <w:tcPr>
            <w:tcW w:w="86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rPr>
              <w:t>—</w:t>
            </w:r>
          </w:p>
        </w:tc>
        <w:tc>
          <w:tcPr>
            <w:tcW w:w="1080" w:type="dxa"/>
            <w:vAlign w:val="bottom"/>
            <w:gridSpan w:val="3"/>
            <w:vMerge w:val="restart"/>
          </w:tcPr>
          <w:p>
            <w:pPr>
              <w:jc w:val="right"/>
              <w:ind w:right="4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liability</w:t>
            </w:r>
          </w:p>
        </w:tc>
        <w:tc>
          <w:tcPr>
            <w:tcW w:w="9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Exercise of share options</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214,087</w:t>
            </w:r>
          </w:p>
        </w:tc>
        <w:tc>
          <w:tcPr>
            <w:tcW w:w="240" w:type="dxa"/>
            <w:vAlign w:val="bottom"/>
            <w:tcBorders>
              <w:left w:val="single" w:sz="8" w:color="CCEEFF"/>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40" w:type="dxa"/>
            <w:vAlign w:val="bottom"/>
            <w:tcBorders>
              <w:right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08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40" w:type="dxa"/>
            <w:vAlign w:val="bottom"/>
            <w:gridSpan w:val="4"/>
          </w:tcPr>
          <w:p>
            <w:pPr>
              <w:jc w:val="right"/>
              <w:ind w:right="4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1,010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as of June 30, 2020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252,486,667</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1"/>
              </w:rPr>
              <w:t>$1,513,573</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8,400,474</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0"/>
              </w:rPr>
              <w:t>$ 18,736</w:t>
            </w:r>
          </w:p>
        </w:tc>
        <w:tc>
          <w:tcPr>
            <w:tcW w:w="140" w:type="dxa"/>
            <w:vAlign w:val="bottom"/>
            <w:tcBorders>
              <w:left w:val="single" w:sz="8" w:color="CCEEFF"/>
              <w:right w:val="single" w:sz="8" w:color="CCEEFF"/>
            </w:tcBorders>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 (884,381)</w:t>
            </w:r>
          </w:p>
        </w:tc>
        <w:tc>
          <w:tcPr>
            <w:tcW w:w="80" w:type="dxa"/>
            <w:vAlign w:val="bottom"/>
            <w:tcBorders>
              <w:left w:val="single" w:sz="8" w:color="CCEEFF"/>
            </w:tcBorders>
            <w:shd w:val="clear" w:color="auto" w:fill="CCEEFF"/>
          </w:tcPr>
          <w:p>
            <w:pPr>
              <w:spacing w:after="0"/>
              <w:rPr>
                <w:sz w:val="21"/>
                <w:szCs w:val="21"/>
                <w:color w:val="auto"/>
              </w:rPr>
            </w:pPr>
          </w:p>
        </w:tc>
        <w:tc>
          <w:tcPr>
            <w:tcW w:w="380" w:type="dxa"/>
            <w:vAlign w:val="bottom"/>
            <w:tcBorders>
              <w:left w:val="single" w:sz="8" w:color="CCEEFF"/>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$(865,644)</w:t>
            </w:r>
          </w:p>
        </w:tc>
        <w:tc>
          <w:tcPr>
            <w:tcW w:w="12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88"/>
              </w:rPr>
              <w:t>Convertible</w:t>
            </w:r>
          </w:p>
        </w:tc>
        <w:tc>
          <w:tcPr>
            <w:tcW w:w="20" w:type="dxa"/>
            <w:vAlign w:val="bottom"/>
          </w:tcPr>
          <w:p>
            <w:pPr>
              <w:spacing w:after="0"/>
              <w:rPr>
                <w:sz w:val="21"/>
                <w:szCs w:val="21"/>
                <w:color w:val="auto"/>
              </w:rPr>
            </w:pPr>
          </w:p>
        </w:tc>
        <w:tc>
          <w:tcPr>
            <w:tcW w:w="120" w:type="dxa"/>
            <w:vAlign w:val="bottom"/>
            <w:gridSpan w:val="2"/>
            <w:vMerge w:val="restart"/>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1"/>
              </w:rPr>
              <w:t>Additional</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9"/>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6"/>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Preferred Shares</w:t>
            </w:r>
          </w:p>
        </w:tc>
        <w:tc>
          <w:tcPr>
            <w:tcW w:w="140" w:type="dxa"/>
            <w:vAlign w:val="bottom"/>
            <w:gridSpan w:val="3"/>
            <w:vMerge w:val="restart"/>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6"/>
            <w:vMerge w:val="restart"/>
          </w:tcPr>
          <w:p>
            <w:pPr>
              <w:jc w:val="right"/>
              <w:ind w:right="180"/>
              <w:spacing w:after="0"/>
              <w:rPr>
                <w:sz w:val="20"/>
                <w:szCs w:val="20"/>
                <w:color w:val="auto"/>
              </w:rPr>
            </w:pPr>
            <w:r>
              <w:rPr>
                <w:rFonts w:ascii="Arial" w:cs="Arial" w:eastAsia="Arial" w:hAnsi="Arial"/>
                <w:sz w:val="14"/>
                <w:szCs w:val="14"/>
                <w:b w:val="1"/>
                <w:bCs w:val="1"/>
                <w:color w:val="auto"/>
              </w:rPr>
              <w:t>Common Shares</w:t>
            </w:r>
          </w:p>
        </w:tc>
        <w:tc>
          <w:tcPr>
            <w:tcW w:w="260" w:type="dxa"/>
            <w:vAlign w:val="bottom"/>
            <w:vMerge w:val="restart"/>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140" w:type="dxa"/>
            <w:vAlign w:val="bottom"/>
            <w:gridSpan w:val="3"/>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20" w:type="dxa"/>
            <w:vAlign w:val="bottom"/>
            <w:gridSpan w:val="2"/>
          </w:tcPr>
          <w:p>
            <w:pPr>
              <w:spacing w:after="0"/>
              <w:rPr>
                <w:sz w:val="12"/>
                <w:szCs w:val="12"/>
                <w:color w:val="auto"/>
              </w:rPr>
            </w:pPr>
          </w:p>
        </w:tc>
        <w:tc>
          <w:tcPr>
            <w:tcW w:w="1320" w:type="dxa"/>
            <w:vAlign w:val="bottom"/>
            <w:tcBorders>
              <w:bottom w:val="single" w:sz="8" w:color="auto"/>
            </w:tcBorders>
            <w:gridSpan w:val="6"/>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60" w:type="dxa"/>
            <w:vAlign w:val="bottom"/>
            <w:gridSpan w:val="3"/>
          </w:tcPr>
          <w:p>
            <w:pPr>
              <w:jc w:val="center"/>
              <w:ind w:right="360"/>
              <w:spacing w:after="0" w:line="12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360"/>
              <w:spacing w:after="0" w:line="125" w:lineRule="exact"/>
              <w:rPr>
                <w:sz w:val="20"/>
                <w:szCs w:val="20"/>
                <w:color w:val="auto"/>
              </w:rPr>
            </w:pPr>
            <w:r>
              <w:rPr>
                <w:rFonts w:ascii="Arial" w:cs="Arial" w:eastAsia="Arial" w:hAnsi="Arial"/>
                <w:sz w:val="14"/>
                <w:szCs w:val="14"/>
                <w:b w:val="1"/>
                <w:bCs w:val="1"/>
                <w:color w:val="auto"/>
                <w:w w:val="81"/>
              </w:rPr>
              <w:t>Accumulated</w:t>
            </w:r>
          </w:p>
        </w:tc>
        <w:tc>
          <w:tcPr>
            <w:tcW w:w="720" w:type="dxa"/>
            <w:vAlign w:val="bottom"/>
            <w:gridSpan w:val="2"/>
          </w:tcPr>
          <w:p>
            <w:pPr>
              <w:jc w:val="center"/>
              <w:ind w:right="20"/>
              <w:spacing w:after="0" w:line="125" w:lineRule="exact"/>
              <w:rPr>
                <w:sz w:val="20"/>
                <w:szCs w:val="20"/>
                <w:color w:val="auto"/>
              </w:rPr>
            </w:pPr>
            <w:r>
              <w:rPr>
                <w:rFonts w:ascii="Arial" w:cs="Arial" w:eastAsia="Arial" w:hAnsi="Arial"/>
                <w:sz w:val="14"/>
                <w:szCs w:val="14"/>
                <w:b w:val="1"/>
                <w:bCs w:val="1"/>
                <w:color w:val="auto"/>
                <w:w w:val="75"/>
              </w:rPr>
              <w:t>Stockholders’</w:t>
            </w:r>
          </w:p>
        </w:tc>
        <w:tc>
          <w:tcPr>
            <w:tcW w:w="0" w:type="dxa"/>
            <w:vAlign w:val="bottom"/>
          </w:tcPr>
          <w:p>
            <w:pPr>
              <w:spacing w:after="0"/>
              <w:rPr>
                <w:sz w:val="1"/>
                <w:szCs w:val="1"/>
                <w:color w:val="auto"/>
              </w:rPr>
            </w:pPr>
          </w:p>
        </w:tc>
      </w:tr>
      <w:tr>
        <w:trPr>
          <w:trHeight w:val="190"/>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Six Months Ended June 30, 2021</w:t>
            </w:r>
          </w:p>
        </w:tc>
        <w:tc>
          <w:tcPr>
            <w:tcW w:w="1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20" w:type="dxa"/>
            <w:vAlign w:val="bottom"/>
            <w:tcBorders>
              <w:bottom w:val="single" w:sz="8" w:color="CCEEFF"/>
            </w:tcBorders>
            <w:gridSpan w:val="2"/>
          </w:tcPr>
          <w:p>
            <w:pPr>
              <w:spacing w:after="0"/>
              <w:rPr>
                <w:sz w:val="16"/>
                <w:szCs w:val="16"/>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4"/>
              </w:rPr>
              <w:t>Shares</w:t>
            </w:r>
          </w:p>
        </w:tc>
        <w:tc>
          <w:tcPr>
            <w:tcW w:w="2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2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Deficit</w:t>
            </w:r>
          </w:p>
        </w:tc>
        <w:tc>
          <w:tcPr>
            <w:tcW w:w="3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75"/>
        </w:trPr>
        <w:tc>
          <w:tcPr>
            <w:tcW w:w="3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2020</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92"/>
              </w:rPr>
              <w:t>362,011,991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1"/>
              </w:rPr>
              <w:t>$2,494,076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w w:val="88"/>
              </w:rPr>
              <w:t>10,889,451</w:t>
            </w:r>
          </w:p>
        </w:tc>
        <w:tc>
          <w:tcPr>
            <w:tcW w:w="22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b w:val="1"/>
                <w:bCs w:val="1"/>
                <w:color w:val="auto"/>
              </w:rPr>
              <w:t>$</w:t>
            </w:r>
          </w:p>
        </w:tc>
        <w:tc>
          <w:tcPr>
            <w:tcW w:w="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w:t>
            </w:r>
          </w:p>
        </w:tc>
        <w:tc>
          <w:tcPr>
            <w:tcW w:w="260" w:type="dxa"/>
            <w:vAlign w:val="bottom"/>
            <w:tcBorders>
              <w:right w:val="single" w:sz="8" w:color="CCEEFF"/>
            </w:tcBorders>
            <w:shd w:val="clear" w:color="auto" w:fill="CCEEFF"/>
          </w:tcPr>
          <w:p>
            <w:pPr>
              <w:spacing w:after="0"/>
              <w:rPr>
                <w:sz w:val="15"/>
                <w:szCs w:val="15"/>
                <w:color w:val="auto"/>
              </w:rPr>
            </w:pP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1"/>
              </w:rPr>
              <w:t>$ 38,115</w:t>
            </w:r>
          </w:p>
        </w:tc>
        <w:tc>
          <w:tcPr>
            <w:tcW w:w="26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86"/>
              </w:rPr>
              <w:t>$ (1,356,893)</w:t>
            </w:r>
          </w:p>
        </w:tc>
        <w:tc>
          <w:tcPr>
            <w:tcW w:w="38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85"/>
              </w:rPr>
              <w:t>$(1,318,777)</w:t>
            </w:r>
          </w:p>
        </w:tc>
        <w:tc>
          <w:tcPr>
            <w:tcW w:w="0" w:type="dxa"/>
            <w:vAlign w:val="bottom"/>
          </w:tcPr>
          <w:p>
            <w:pPr>
              <w:spacing w:after="0"/>
              <w:rPr>
                <w:sz w:val="1"/>
                <w:szCs w:val="1"/>
                <w:color w:val="auto"/>
              </w:rPr>
            </w:pPr>
          </w:p>
        </w:tc>
      </w:tr>
      <w:tr>
        <w:trPr>
          <w:trHeight w:val="175"/>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120" w:type="dxa"/>
            <w:vAlign w:val="bottom"/>
            <w:gridSpan w:val="2"/>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3"/>
          </w:tcPr>
          <w:p>
            <w:pPr>
              <w:jc w:val="right"/>
              <w:ind w:right="400"/>
              <w:spacing w:after="0"/>
              <w:rPr>
                <w:sz w:val="20"/>
                <w:szCs w:val="20"/>
                <w:color w:val="auto"/>
              </w:rPr>
            </w:pPr>
            <w:r>
              <w:rPr>
                <w:rFonts w:ascii="Arial" w:cs="Arial" w:eastAsia="Arial" w:hAnsi="Arial"/>
                <w:sz w:val="14"/>
                <w:szCs w:val="14"/>
                <w:color w:val="auto"/>
                <w:w w:val="85"/>
              </w:rPr>
              <w:t>—</w:t>
            </w:r>
          </w:p>
        </w:tc>
        <w:tc>
          <w:tcPr>
            <w:tcW w:w="86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(1,009,678)</w:t>
            </w:r>
          </w:p>
        </w:tc>
        <w:tc>
          <w:tcPr>
            <w:tcW w:w="38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(1,009,678)</w:t>
            </w:r>
          </w:p>
        </w:tc>
        <w:tc>
          <w:tcPr>
            <w:tcW w:w="0" w:type="dxa"/>
            <w:vAlign w:val="bottom"/>
          </w:tcPr>
          <w:p>
            <w:pPr>
              <w:spacing w:after="0"/>
              <w:rPr>
                <w:sz w:val="1"/>
                <w:szCs w:val="1"/>
                <w:color w:val="auto"/>
              </w:rPr>
            </w:pPr>
          </w:p>
        </w:tc>
      </w:tr>
      <w:tr>
        <w:trPr>
          <w:trHeight w:val="175"/>
        </w:trPr>
        <w:tc>
          <w:tcPr>
            <w:tcW w:w="36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Repurchase of Series B convertible preferred shares</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(1,333,333)</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120" w:type="dxa"/>
            <w:vAlign w:val="bottom"/>
            <w:tcBorders>
              <w:right w:val="single" w:sz="8" w:color="CCEEFF"/>
            </w:tcBorders>
            <w:gridSpan w:val="2"/>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w w:val="85"/>
              </w:rPr>
              <w:t>—</w:t>
            </w:r>
          </w:p>
        </w:tc>
        <w:tc>
          <w:tcPr>
            <w:tcW w:w="8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Issuance of Series D convertible preferred shares upon</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585,022</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12,936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w w:val="85"/>
              </w:rPr>
              <w:t>—</w:t>
            </w:r>
          </w:p>
        </w:tc>
        <w:tc>
          <w:tcPr>
            <w:tcW w:w="860" w:type="dxa"/>
            <w:vAlign w:val="bottom"/>
            <w:gridSpan w:val="3"/>
            <w:vMerge w:val="restart"/>
          </w:tcPr>
          <w:p>
            <w:pPr>
              <w:jc w:val="right"/>
              <w:ind w:right="340"/>
              <w:spacing w:after="0"/>
              <w:rPr>
                <w:sz w:val="20"/>
                <w:szCs w:val="20"/>
                <w:color w:val="auto"/>
              </w:rPr>
            </w:pPr>
            <w:r>
              <w:rPr>
                <w:rFonts w:ascii="Arial" w:cs="Arial" w:eastAsia="Arial" w:hAnsi="Arial"/>
                <w:sz w:val="14"/>
                <w:szCs w:val="14"/>
                <w:color w:val="auto"/>
              </w:rPr>
              <w:t>—</w:t>
            </w:r>
          </w:p>
        </w:tc>
        <w:tc>
          <w:tcPr>
            <w:tcW w:w="1080" w:type="dxa"/>
            <w:vAlign w:val="bottom"/>
            <w:gridSpan w:val="3"/>
            <w:vMerge w:val="restart"/>
          </w:tcPr>
          <w:p>
            <w:pPr>
              <w:jc w:val="right"/>
              <w:ind w:right="38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exercise of warrants</w:t>
            </w:r>
          </w:p>
        </w:tc>
        <w:tc>
          <w:tcPr>
            <w:tcW w:w="9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Issuance of Series E convertible preferred shares</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75,918,392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3,206,159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w w:val="85"/>
              </w:rPr>
              <w:t>—</w:t>
            </w:r>
          </w:p>
        </w:tc>
        <w:tc>
          <w:tcPr>
            <w:tcW w:w="6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(22,396)</w:t>
            </w:r>
          </w:p>
        </w:tc>
        <w:tc>
          <w:tcPr>
            <w:tcW w:w="26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(2,129,217)</w:t>
            </w:r>
          </w:p>
        </w:tc>
        <w:tc>
          <w:tcPr>
            <w:tcW w:w="38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4"/>
              </w:rPr>
              <w:t>(2,151,613)</w:t>
            </w:r>
          </w:p>
        </w:tc>
        <w:tc>
          <w:tcPr>
            <w:tcW w:w="0" w:type="dxa"/>
            <w:vAlign w:val="bottom"/>
          </w:tcPr>
          <w:p>
            <w:pPr>
              <w:spacing w:after="0"/>
              <w:rPr>
                <w:sz w:val="1"/>
                <w:szCs w:val="1"/>
                <w:color w:val="auto"/>
              </w:rPr>
            </w:pPr>
          </w:p>
        </w:tc>
      </w:tr>
      <w:tr>
        <w:trPr>
          <w:trHeight w:val="162"/>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related to Series E</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123,614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w w:val="85"/>
              </w:rPr>
              <w:t>—</w:t>
            </w:r>
          </w:p>
        </w:tc>
        <w:tc>
          <w:tcPr>
            <w:tcW w:w="860" w:type="dxa"/>
            <w:vAlign w:val="bottom"/>
            <w:gridSpan w:val="3"/>
            <w:vMerge w:val="restart"/>
          </w:tcPr>
          <w:p>
            <w:pPr>
              <w:jc w:val="right"/>
              <w:ind w:right="340"/>
              <w:spacing w:after="0"/>
              <w:rPr>
                <w:sz w:val="20"/>
                <w:szCs w:val="20"/>
                <w:color w:val="auto"/>
              </w:rPr>
            </w:pPr>
            <w:r>
              <w:rPr>
                <w:rFonts w:ascii="Arial" w:cs="Arial" w:eastAsia="Arial" w:hAnsi="Arial"/>
                <w:sz w:val="14"/>
                <w:szCs w:val="14"/>
                <w:color w:val="auto"/>
              </w:rPr>
              <w:t>—</w:t>
            </w:r>
          </w:p>
        </w:tc>
        <w:tc>
          <w:tcPr>
            <w:tcW w:w="1080" w:type="dxa"/>
            <w:vAlign w:val="bottom"/>
            <w:gridSpan w:val="3"/>
            <w:vMerge w:val="restart"/>
          </w:tcPr>
          <w:p>
            <w:pPr>
              <w:jc w:val="right"/>
              <w:ind w:right="38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convertible preferred shares</w:t>
            </w:r>
          </w:p>
        </w:tc>
        <w:tc>
          <w:tcPr>
            <w:tcW w:w="9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Exercise of share options</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6"/>
                <w:szCs w:val="16"/>
                <w:color w:val="auto"/>
              </w:rPr>
            </w:pPr>
          </w:p>
        </w:tc>
        <w:tc>
          <w:tcPr>
            <w:tcW w:w="120" w:type="dxa"/>
            <w:vAlign w:val="bottom"/>
            <w:tcBorders>
              <w:right w:val="single" w:sz="8" w:color="CCEEFF"/>
            </w:tcBorders>
            <w:gridSpan w:val="2"/>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3,028,530</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w w:val="85"/>
              </w:rPr>
              <w:t>—</w:t>
            </w: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5,266</w:t>
            </w:r>
          </w:p>
        </w:tc>
        <w:tc>
          <w:tcPr>
            <w:tcW w:w="260" w:type="dxa"/>
            <w:vAlign w:val="bottom"/>
            <w:tcBorders>
              <w:right w:val="single" w:sz="8" w:color="CCEEFF"/>
            </w:tcBorders>
            <w:shd w:val="clear" w:color="auto" w:fill="CCEEFF"/>
          </w:tcPr>
          <w:p>
            <w:pPr>
              <w:spacing w:after="0"/>
              <w:rPr>
                <w:sz w:val="16"/>
                <w:szCs w:val="16"/>
                <w:color w:val="auto"/>
              </w:rPr>
            </w:pPr>
          </w:p>
        </w:tc>
        <w:tc>
          <w:tcPr>
            <w:tcW w:w="108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5,266</w:t>
            </w:r>
          </w:p>
        </w:tc>
        <w:tc>
          <w:tcPr>
            <w:tcW w:w="0" w:type="dxa"/>
            <w:vAlign w:val="bottom"/>
          </w:tcPr>
          <w:p>
            <w:pPr>
              <w:spacing w:after="0"/>
              <w:rPr>
                <w:sz w:val="1"/>
                <w:szCs w:val="1"/>
                <w:color w:val="auto"/>
              </w:rPr>
            </w:pPr>
          </w:p>
        </w:tc>
      </w:tr>
      <w:tr>
        <w:trPr>
          <w:trHeight w:val="210"/>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8"/>
                <w:szCs w:val="18"/>
                <w:color w:val="auto"/>
              </w:rPr>
            </w:pPr>
          </w:p>
        </w:tc>
        <w:tc>
          <w:tcPr>
            <w:tcW w:w="120" w:type="dxa"/>
            <w:vAlign w:val="bottom"/>
            <w:gridSpan w:val="2"/>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400"/>
              <w:spacing w:after="0"/>
              <w:rPr>
                <w:sz w:val="20"/>
                <w:szCs w:val="20"/>
                <w:color w:val="auto"/>
              </w:rPr>
            </w:pPr>
            <w:r>
              <w:rPr>
                <w:rFonts w:ascii="Arial" w:cs="Arial" w:eastAsia="Arial" w:hAnsi="Arial"/>
                <w:sz w:val="14"/>
                <w:szCs w:val="14"/>
                <w:color w:val="auto"/>
                <w:w w:val="85"/>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5,630</w:t>
            </w:r>
          </w:p>
        </w:tc>
        <w:tc>
          <w:tcPr>
            <w:tcW w:w="26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5,630</w:t>
            </w:r>
          </w:p>
        </w:tc>
        <w:tc>
          <w:tcPr>
            <w:tcW w:w="0" w:type="dxa"/>
            <w:vAlign w:val="bottom"/>
          </w:tcPr>
          <w:p>
            <w:pPr>
              <w:spacing w:after="0"/>
              <w:rPr>
                <w:sz w:val="1"/>
                <w:szCs w:val="1"/>
                <w:color w:val="auto"/>
              </w:rPr>
            </w:pPr>
          </w:p>
        </w:tc>
      </w:tr>
      <w:tr>
        <w:trPr>
          <w:trHeight w:val="20"/>
        </w:trPr>
        <w:tc>
          <w:tcPr>
            <w:tcW w:w="34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as of June 30, 2021</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437,182,072</w:t>
            </w:r>
          </w:p>
        </w:tc>
        <w:tc>
          <w:tcPr>
            <w:tcW w:w="260" w:type="dxa"/>
            <w:vAlign w:val="bottom"/>
            <w:tcBorders>
              <w:left w:val="single" w:sz="8" w:color="CCEEFF"/>
              <w:right w:val="single" w:sz="8" w:color="CCEEFF"/>
            </w:tcBorders>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1"/>
              </w:rPr>
              <w:t>$5,836,785</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w w:val="88"/>
              </w:rPr>
              <w:t>13,917,981</w:t>
            </w:r>
          </w:p>
        </w:tc>
        <w:tc>
          <w:tcPr>
            <w:tcW w:w="22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b w:val="1"/>
                <w:bCs w:val="1"/>
                <w:color w:val="auto"/>
              </w:rPr>
              <w:t>$</w:t>
            </w:r>
          </w:p>
        </w:tc>
        <w:tc>
          <w:tcPr>
            <w:tcW w:w="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w:t>
            </w:r>
          </w:p>
        </w:tc>
        <w:tc>
          <w:tcPr>
            <w:tcW w:w="260" w:type="dxa"/>
            <w:vAlign w:val="bottom"/>
            <w:tcBorders>
              <w:right w:val="single" w:sz="8" w:color="CCEEFF"/>
            </w:tcBorders>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1"/>
              </w:rPr>
              <w:t>$ 26,615</w:t>
            </w:r>
          </w:p>
        </w:tc>
        <w:tc>
          <w:tcPr>
            <w:tcW w:w="260" w:type="dxa"/>
            <w:vAlign w:val="bottom"/>
            <w:tcBorders>
              <w:right w:val="single" w:sz="8" w:color="CCEEFF"/>
            </w:tcBorders>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86"/>
              </w:rPr>
              <w:t>$ (4,495,788)</w:t>
            </w:r>
          </w:p>
        </w:tc>
        <w:tc>
          <w:tcPr>
            <w:tcW w:w="380" w:type="dxa"/>
            <w:vAlign w:val="bottom"/>
            <w:tcBorders>
              <w:left w:val="single" w:sz="8" w:color="CCEEFF"/>
              <w:right w:val="single" w:sz="8" w:color="CCEEFF"/>
            </w:tcBorders>
            <w:shd w:val="clear" w:color="auto" w:fill="CCEEFF"/>
          </w:tcPr>
          <w:p>
            <w:pPr>
              <w:spacing w:after="0"/>
              <w:rPr>
                <w:sz w:val="22"/>
                <w:szCs w:val="22"/>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85"/>
              </w:rPr>
              <w:t>$(4,469,172)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gridSpan w:val="2"/>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7"/>
            <w:vMerge w:val="restart"/>
          </w:tcPr>
          <w:p>
            <w:pPr>
              <w:jc w:val="center"/>
              <w:ind w:right="140"/>
              <w:spacing w:after="0"/>
              <w:rPr>
                <w:sz w:val="20"/>
                <w:szCs w:val="20"/>
                <w:color w:val="auto"/>
              </w:rPr>
            </w:pPr>
            <w:r>
              <w:rPr>
                <w:rFonts w:ascii="Arial" w:cs="Arial" w:eastAsia="Arial" w:hAnsi="Arial"/>
                <w:sz w:val="14"/>
                <w:szCs w:val="14"/>
                <w:b w:val="1"/>
                <w:bCs w:val="1"/>
                <w:color w:val="auto"/>
                <w:w w:val="88"/>
              </w:rPr>
              <w:t>Convertible</w:t>
            </w:r>
          </w:p>
        </w:tc>
        <w:tc>
          <w:tcPr>
            <w:tcW w:w="20" w:type="dxa"/>
            <w:vAlign w:val="bottom"/>
          </w:tcPr>
          <w:p>
            <w:pPr>
              <w:spacing w:after="0"/>
              <w:rPr>
                <w:sz w:val="21"/>
                <w:szCs w:val="21"/>
                <w:color w:val="auto"/>
              </w:rPr>
            </w:pPr>
          </w:p>
        </w:tc>
        <w:tc>
          <w:tcPr>
            <w:tcW w:w="100" w:type="dxa"/>
            <w:vAlign w:val="bottom"/>
            <w:vMerge w:val="restart"/>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75"/>
              </w:rPr>
              <w:t>Additional</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9"/>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7"/>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Preferred Shares</w:t>
            </w:r>
          </w:p>
        </w:tc>
        <w:tc>
          <w:tcPr>
            <w:tcW w:w="160" w:type="dxa"/>
            <w:vAlign w:val="bottom"/>
            <w:gridSpan w:val="4"/>
            <w:vMerge w:val="restart"/>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6"/>
            <w:vMerge w:val="restart"/>
          </w:tcPr>
          <w:p>
            <w:pPr>
              <w:jc w:val="right"/>
              <w:ind w:right="200"/>
              <w:spacing w:after="0"/>
              <w:rPr>
                <w:sz w:val="20"/>
                <w:szCs w:val="20"/>
                <w:color w:val="auto"/>
              </w:rPr>
            </w:pPr>
            <w:r>
              <w:rPr>
                <w:rFonts w:ascii="Arial" w:cs="Arial" w:eastAsia="Arial" w:hAnsi="Arial"/>
                <w:sz w:val="14"/>
                <w:szCs w:val="14"/>
                <w:b w:val="1"/>
                <w:bCs w:val="1"/>
                <w:color w:val="auto"/>
                <w:w w:val="98"/>
              </w:rPr>
              <w:t>Common Shares</w:t>
            </w:r>
          </w:p>
        </w:tc>
        <w:tc>
          <w:tcPr>
            <w:tcW w:w="260" w:type="dxa"/>
            <w:vAlign w:val="bottom"/>
            <w:vMerge w:val="restart"/>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160" w:type="dxa"/>
            <w:vAlign w:val="bottom"/>
            <w:gridSpan w:val="4"/>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gridSpan w:val="6"/>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60" w:type="dxa"/>
            <w:vAlign w:val="bottom"/>
            <w:gridSpan w:val="3"/>
          </w:tcPr>
          <w:p>
            <w:pPr>
              <w:jc w:val="center"/>
              <w:ind w:right="420"/>
              <w:spacing w:after="0" w:line="125"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jc w:val="center"/>
              <w:ind w:right="380"/>
              <w:spacing w:after="0" w:line="125" w:lineRule="exact"/>
              <w:rPr>
                <w:sz w:val="20"/>
                <w:szCs w:val="20"/>
                <w:color w:val="auto"/>
              </w:rPr>
            </w:pPr>
            <w:r>
              <w:rPr>
                <w:rFonts w:ascii="Arial" w:cs="Arial" w:eastAsia="Arial" w:hAnsi="Arial"/>
                <w:sz w:val="14"/>
                <w:szCs w:val="14"/>
                <w:b w:val="1"/>
                <w:bCs w:val="1"/>
                <w:color w:val="auto"/>
                <w:w w:val="79"/>
              </w:rPr>
              <w:t>Accumulated</w:t>
            </w:r>
          </w:p>
        </w:tc>
        <w:tc>
          <w:tcPr>
            <w:tcW w:w="720" w:type="dxa"/>
            <w:vAlign w:val="bottom"/>
            <w:gridSpan w:val="2"/>
          </w:tcPr>
          <w:p>
            <w:pPr>
              <w:jc w:val="center"/>
              <w:ind w:right="20"/>
              <w:spacing w:after="0" w:line="125" w:lineRule="exact"/>
              <w:rPr>
                <w:sz w:val="20"/>
                <w:szCs w:val="20"/>
                <w:color w:val="auto"/>
              </w:rPr>
            </w:pPr>
            <w:r>
              <w:rPr>
                <w:rFonts w:ascii="Arial" w:cs="Arial" w:eastAsia="Arial" w:hAnsi="Arial"/>
                <w:sz w:val="14"/>
                <w:szCs w:val="14"/>
                <w:b w:val="1"/>
                <w:bCs w:val="1"/>
                <w:color w:val="auto"/>
                <w:w w:val="75"/>
              </w:rPr>
              <w:t>Stockholders’</w:t>
            </w:r>
          </w:p>
        </w:tc>
        <w:tc>
          <w:tcPr>
            <w:tcW w:w="0" w:type="dxa"/>
            <w:vAlign w:val="bottom"/>
          </w:tcPr>
          <w:p>
            <w:pPr>
              <w:spacing w:after="0"/>
              <w:rPr>
                <w:sz w:val="1"/>
                <w:szCs w:val="1"/>
                <w:color w:val="auto"/>
              </w:rPr>
            </w:pPr>
          </w:p>
        </w:tc>
      </w:tr>
      <w:tr>
        <w:trPr>
          <w:trHeight w:val="190"/>
        </w:trPr>
        <w:tc>
          <w:tcPr>
            <w:tcW w:w="3480" w:type="dxa"/>
            <w:vAlign w:val="bottom"/>
          </w:tcPr>
          <w:p>
            <w:pPr>
              <w:spacing w:after="0"/>
              <w:rPr>
                <w:sz w:val="20"/>
                <w:szCs w:val="20"/>
                <w:color w:val="auto"/>
              </w:rPr>
            </w:pPr>
            <w:r>
              <w:rPr>
                <w:rFonts w:ascii="Arial" w:cs="Arial" w:eastAsia="Arial" w:hAnsi="Arial"/>
                <w:sz w:val="14"/>
                <w:szCs w:val="14"/>
                <w:b w:val="1"/>
                <w:bCs w:val="1"/>
                <w:color w:val="auto"/>
              </w:rPr>
              <w:t>Six Months Ended June 30, 2020</w:t>
            </w:r>
          </w:p>
        </w:tc>
        <w:tc>
          <w:tcPr>
            <w:tcW w:w="180" w:type="dxa"/>
            <w:vAlign w:val="bottom"/>
          </w:tcPr>
          <w:p>
            <w:pPr>
              <w:spacing w:after="0"/>
              <w:rPr>
                <w:sz w:val="16"/>
                <w:szCs w:val="16"/>
                <w:color w:val="auto"/>
              </w:rPr>
            </w:pPr>
          </w:p>
        </w:tc>
        <w:tc>
          <w:tcPr>
            <w:tcW w:w="68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gridSpan w:val="4"/>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Shares</w:t>
            </w:r>
          </w:p>
        </w:tc>
        <w:tc>
          <w:tcPr>
            <w:tcW w:w="240" w:type="dxa"/>
            <w:vAlign w:val="bottom"/>
          </w:tcPr>
          <w:p>
            <w:pPr>
              <w:spacing w:after="0"/>
              <w:rPr>
                <w:sz w:val="16"/>
                <w:szCs w:val="16"/>
                <w:color w:val="auto"/>
              </w:rPr>
            </w:pPr>
          </w:p>
        </w:tc>
        <w:tc>
          <w:tcPr>
            <w:tcW w:w="7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3"/>
              </w:rPr>
              <w:t>Amount</w:t>
            </w:r>
          </w:p>
        </w:tc>
        <w:tc>
          <w:tcPr>
            <w:tcW w:w="8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Capital</w:t>
            </w: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Deficit</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0"/>
        </w:trPr>
        <w:tc>
          <w:tcPr>
            <w:tcW w:w="34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2019</w:t>
            </w:r>
          </w:p>
        </w:tc>
        <w:tc>
          <w:tcPr>
            <w:tcW w:w="18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190,084,166</w:t>
            </w:r>
          </w:p>
        </w:tc>
        <w:tc>
          <w:tcPr>
            <w:tcW w:w="260" w:type="dxa"/>
            <w:vAlign w:val="bottom"/>
            <w:tcBorders>
              <w:left w:val="single" w:sz="8" w:color="CCEEFF"/>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1"/>
              </w:rPr>
              <w:t>$1,074,010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8,051,722</w:t>
            </w:r>
          </w:p>
        </w:tc>
        <w:tc>
          <w:tcPr>
            <w:tcW w:w="240" w:type="dxa"/>
            <w:vAlign w:val="bottom"/>
            <w:tcBorders>
              <w:left w:val="single" w:sz="8" w:color="CCEEFF"/>
              <w:right w:val="single" w:sz="8" w:color="CCEEFF"/>
            </w:tcBorders>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0"/>
              </w:rPr>
              <w:t>$ 16,432</w:t>
            </w: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 (637,513)</w:t>
            </w:r>
          </w:p>
        </w:tc>
        <w:tc>
          <w:tcPr>
            <w:tcW w:w="80" w:type="dxa"/>
            <w:vAlign w:val="bottom"/>
            <w:tcBorders>
              <w:left w:val="single" w:sz="8" w:color="CCEEFF"/>
            </w:tcBorders>
            <w:shd w:val="clear" w:color="auto" w:fill="CCEEFF"/>
          </w:tcPr>
          <w:p>
            <w:pPr>
              <w:spacing w:after="0"/>
              <w:rPr>
                <w:sz w:val="15"/>
                <w:szCs w:val="15"/>
                <w:color w:val="auto"/>
              </w:rPr>
            </w:pPr>
          </w:p>
        </w:tc>
        <w:tc>
          <w:tcPr>
            <w:tcW w:w="380" w:type="dxa"/>
            <w:vAlign w:val="bottom"/>
            <w:tcBorders>
              <w:left w:val="single" w:sz="8" w:color="CCEEFF"/>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$(621,080)</w:t>
            </w:r>
          </w:p>
        </w:tc>
        <w:tc>
          <w:tcPr>
            <w:tcW w:w="12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4"/>
          </w:tcPr>
          <w:p>
            <w:pPr>
              <w:jc w:val="right"/>
              <w:ind w:right="44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(246,868)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(246,868)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Issuance of Series D convertible preferred shares</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62,402,501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400,000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640" w:type="dxa"/>
            <w:vAlign w:val="bottom"/>
            <w:tcBorders>
              <w:right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Settlement of Series D contingent forward contract</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39,563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4"/>
            <w:vMerge w:val="restart"/>
          </w:tcPr>
          <w:p>
            <w:pPr>
              <w:jc w:val="right"/>
              <w:ind w:right="440"/>
              <w:spacing w:after="0"/>
              <w:rPr>
                <w:sz w:val="20"/>
                <w:szCs w:val="20"/>
                <w:color w:val="auto"/>
              </w:rPr>
            </w:pPr>
            <w:r>
              <w:rPr>
                <w:rFonts w:ascii="Arial" w:cs="Arial" w:eastAsia="Arial" w:hAnsi="Arial"/>
                <w:sz w:val="14"/>
                <w:szCs w:val="14"/>
                <w:color w:val="auto"/>
              </w:rPr>
              <w:t>—</w:t>
            </w:r>
          </w:p>
        </w:tc>
        <w:tc>
          <w:tcPr>
            <w:tcW w:w="86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rPr>
              <w:t>—</w:t>
            </w:r>
          </w:p>
        </w:tc>
        <w:tc>
          <w:tcPr>
            <w:tcW w:w="1080" w:type="dxa"/>
            <w:vAlign w:val="bottom"/>
            <w:gridSpan w:val="3"/>
            <w:vMerge w:val="restart"/>
          </w:tcPr>
          <w:p>
            <w:pPr>
              <w:jc w:val="right"/>
              <w:ind w:right="4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liability</w:t>
            </w:r>
          </w:p>
        </w:tc>
        <w:tc>
          <w:tcPr>
            <w:tcW w:w="9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Exercise of share options</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348,752</w:t>
            </w:r>
          </w:p>
        </w:tc>
        <w:tc>
          <w:tcPr>
            <w:tcW w:w="240" w:type="dxa"/>
            <w:vAlign w:val="bottom"/>
            <w:tcBorders>
              <w:left w:val="single" w:sz="8" w:color="CCEEFF"/>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40" w:type="dxa"/>
            <w:vAlign w:val="bottom"/>
            <w:tcBorders>
              <w:right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08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2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40" w:type="dxa"/>
            <w:vAlign w:val="bottom"/>
            <w:gridSpan w:val="4"/>
          </w:tcPr>
          <w:p>
            <w:pPr>
              <w:jc w:val="right"/>
              <w:ind w:right="4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1,981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1,981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right w:val="single" w:sz="8" w:color="CCEEFF"/>
            </w:tcBorders>
            <w:gridSpan w:val="2"/>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as of June 30, 2020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252,486,667</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1"/>
              </w:rPr>
              <w:t>$1,513,573</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8,400,474</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0"/>
              </w:rPr>
              <w:t>$ 18,736</w:t>
            </w:r>
          </w:p>
        </w:tc>
        <w:tc>
          <w:tcPr>
            <w:tcW w:w="140" w:type="dxa"/>
            <w:vAlign w:val="bottom"/>
            <w:tcBorders>
              <w:left w:val="single" w:sz="8" w:color="CCEEFF"/>
              <w:right w:val="single" w:sz="8" w:color="CCEEFF"/>
            </w:tcBorders>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 (884,381)</w:t>
            </w:r>
          </w:p>
        </w:tc>
        <w:tc>
          <w:tcPr>
            <w:tcW w:w="80" w:type="dxa"/>
            <w:vAlign w:val="bottom"/>
            <w:tcBorders>
              <w:left w:val="single" w:sz="8" w:color="CCEEFF"/>
            </w:tcBorders>
            <w:shd w:val="clear" w:color="auto" w:fill="CCEEFF"/>
          </w:tcPr>
          <w:p>
            <w:pPr>
              <w:spacing w:after="0"/>
              <w:rPr>
                <w:sz w:val="21"/>
                <w:szCs w:val="21"/>
                <w:color w:val="auto"/>
              </w:rPr>
            </w:pPr>
          </w:p>
        </w:tc>
        <w:tc>
          <w:tcPr>
            <w:tcW w:w="380" w:type="dxa"/>
            <w:vAlign w:val="bottom"/>
            <w:tcBorders>
              <w:left w:val="single" w:sz="8" w:color="CCEEFF"/>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$(865,644)</w:t>
            </w:r>
          </w:p>
        </w:tc>
        <w:tc>
          <w:tcPr>
            <w:tcW w:w="12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-4937125</wp:posOffset>
            </wp:positionV>
            <wp:extent cx="431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-4937125</wp:posOffset>
            </wp:positionV>
            <wp:extent cx="21463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-4937125</wp:posOffset>
            </wp:positionV>
            <wp:extent cx="22288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-4937125</wp:posOffset>
            </wp:positionV>
            <wp:extent cx="61722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-4937125</wp:posOffset>
            </wp:positionV>
            <wp:extent cx="12890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-4937125</wp:posOffset>
            </wp:positionV>
            <wp:extent cx="288861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-5716905</wp:posOffset>
            </wp:positionV>
            <wp:extent cx="12001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-5716905</wp:posOffset>
            </wp:positionV>
            <wp:extent cx="12001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-5716905</wp:posOffset>
            </wp:positionV>
            <wp:extent cx="12001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-5716905</wp:posOffset>
            </wp:positionV>
            <wp:extent cx="13716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-5716905</wp:posOffset>
            </wp:positionV>
            <wp:extent cx="13716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-5716905</wp:posOffset>
            </wp:positionV>
            <wp:extent cx="12890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-5716905</wp:posOffset>
            </wp:positionV>
            <wp:extent cx="12001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6414770</wp:posOffset>
            </wp:positionH>
            <wp:positionV relativeFrom="paragraph">
              <wp:posOffset>-3462655</wp:posOffset>
            </wp:positionV>
            <wp:extent cx="7747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-3462655</wp:posOffset>
            </wp:positionV>
            <wp:extent cx="28257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-3462655</wp:posOffset>
            </wp:positionV>
            <wp:extent cx="25717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-3462655</wp:posOffset>
            </wp:positionV>
            <wp:extent cx="61722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-3462655</wp:posOffset>
            </wp:positionV>
            <wp:extent cx="13716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-3462655</wp:posOffset>
            </wp:positionV>
            <wp:extent cx="292290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922905"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-4242435</wp:posOffset>
            </wp:positionV>
            <wp:extent cx="12001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-4242435</wp:posOffset>
            </wp:positionV>
            <wp:extent cx="12890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-4242435</wp:posOffset>
            </wp:positionV>
            <wp:extent cx="12001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-4242435</wp:posOffset>
            </wp:positionV>
            <wp:extent cx="1371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-4242435</wp:posOffset>
            </wp:positionV>
            <wp:extent cx="13716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-4242435</wp:posOffset>
            </wp:positionV>
            <wp:extent cx="12890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-4242435</wp:posOffset>
            </wp:positionV>
            <wp:extent cx="12001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6449060</wp:posOffset>
            </wp:positionH>
            <wp:positionV relativeFrom="paragraph">
              <wp:posOffset>-1653540</wp:posOffset>
            </wp:positionV>
            <wp:extent cx="431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5789295</wp:posOffset>
            </wp:positionH>
            <wp:positionV relativeFrom="paragraph">
              <wp:posOffset>-1653540</wp:posOffset>
            </wp:positionV>
            <wp:extent cx="20574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-1653540</wp:posOffset>
            </wp:positionV>
            <wp:extent cx="19748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-1653540</wp:posOffset>
            </wp:positionV>
            <wp:extent cx="60007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-1653540</wp:posOffset>
            </wp:positionV>
            <wp:extent cx="12890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-1653540</wp:posOffset>
            </wp:positionV>
            <wp:extent cx="292290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922905"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-2767965</wp:posOffset>
            </wp:positionV>
            <wp:extent cx="12001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-2767965</wp:posOffset>
            </wp:positionV>
            <wp:extent cx="12001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-2767965</wp:posOffset>
            </wp:positionV>
            <wp:extent cx="12001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-2767965</wp:posOffset>
            </wp:positionV>
            <wp:extent cx="12890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-2767965</wp:posOffset>
            </wp:positionV>
            <wp:extent cx="12001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-2767965</wp:posOffset>
            </wp:positionV>
            <wp:extent cx="12001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-2767965</wp:posOffset>
            </wp:positionV>
            <wp:extent cx="11112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6414770</wp:posOffset>
            </wp:positionH>
            <wp:positionV relativeFrom="paragraph">
              <wp:posOffset>-170815</wp:posOffset>
            </wp:positionV>
            <wp:extent cx="7747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-170815</wp:posOffset>
            </wp:positionV>
            <wp:extent cx="28257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-170815</wp:posOffset>
            </wp:positionV>
            <wp:extent cx="25717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-170815</wp:posOffset>
            </wp:positionV>
            <wp:extent cx="61722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-170815</wp:posOffset>
            </wp:positionV>
            <wp:extent cx="13716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-170815</wp:posOffset>
            </wp:positionV>
            <wp:extent cx="292290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922905" cy="889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-951230</wp:posOffset>
            </wp:positionV>
            <wp:extent cx="12001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-951230</wp:posOffset>
            </wp:positionV>
            <wp:extent cx="12890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-951230</wp:posOffset>
            </wp:positionV>
            <wp:extent cx="12001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-951230</wp:posOffset>
            </wp:positionV>
            <wp:extent cx="13716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-951230</wp:posOffset>
            </wp:positionV>
            <wp:extent cx="13716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-951230</wp:posOffset>
            </wp:positionV>
            <wp:extent cx="12890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-951230</wp:posOffset>
            </wp:positionV>
            <wp:extent cx="12001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4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225" w:name="page226"/>
    <w:bookmarkEnd w:id="225"/>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 thousands)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66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4"/>
                <w:szCs w:val="14"/>
                <w:color w:val="auto"/>
              </w:rPr>
              <w:t>Net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w w:val="92"/>
              </w:rPr>
              <w:t>(1,009,678)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3"/>
              </w:rPr>
              <w:t>(246,868)</w:t>
            </w:r>
          </w:p>
        </w:tc>
        <w:tc>
          <w:tcPr>
            <w:tcW w:w="0" w:type="dxa"/>
            <w:vAlign w:val="bottom"/>
          </w:tcPr>
          <w:p>
            <w:pPr>
              <w:spacing w:after="0"/>
              <w:rPr>
                <w:sz w:val="1"/>
                <w:szCs w:val="1"/>
                <w:color w:val="auto"/>
              </w:rPr>
            </w:pPr>
          </w:p>
        </w:tc>
      </w:tr>
      <w:tr>
        <w:trPr>
          <w:trHeight w:val="189"/>
        </w:trPr>
        <w:tc>
          <w:tcPr>
            <w:tcW w:w="6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11,738</w:t>
            </w: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3,292</w:t>
            </w:r>
          </w:p>
        </w:tc>
        <w:tc>
          <w:tcPr>
            <w:tcW w:w="0" w:type="dxa"/>
            <w:vAlign w:val="bottom"/>
          </w:tcPr>
          <w:p>
            <w:pPr>
              <w:spacing w:after="0"/>
              <w:rPr>
                <w:sz w:val="1"/>
                <w:szCs w:val="1"/>
                <w:color w:val="auto"/>
              </w:rPr>
            </w:pPr>
          </w:p>
        </w:tc>
      </w:tr>
      <w:tr>
        <w:trPr>
          <w:trHeight w:val="189"/>
        </w:trPr>
        <w:tc>
          <w:tcPr>
            <w:tcW w:w="66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Amortization of insurance premium</w:t>
            </w: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2,747</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80"/>
              <w:spacing w:after="0"/>
              <w:rPr>
                <w:sz w:val="20"/>
                <w:szCs w:val="20"/>
                <w:color w:val="auto"/>
              </w:rPr>
            </w:pPr>
            <w:r>
              <w:rPr>
                <w:rFonts w:ascii="Arial" w:cs="Arial" w:eastAsia="Arial" w:hAnsi="Arial"/>
                <w:sz w:val="14"/>
                <w:szCs w:val="14"/>
                <w:color w:val="auto"/>
              </w:rPr>
              <w:t>Non-cash operating lease cost</w:t>
            </w: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13,502</w:t>
            </w: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6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Share-based compensation</w:t>
            </w: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129,244</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80"/>
              <w:spacing w:after="0"/>
              <w:rPr>
                <w:sz w:val="20"/>
                <w:szCs w:val="20"/>
                <w:color w:val="auto"/>
              </w:rPr>
            </w:pPr>
            <w:r>
              <w:rPr>
                <w:rFonts w:ascii="Arial" w:cs="Arial" w:eastAsia="Arial" w:hAnsi="Arial"/>
                <w:sz w:val="14"/>
                <w:szCs w:val="14"/>
                <w:color w:val="auto"/>
              </w:rPr>
              <w:t>Loss on disposal of property and equipment</w:t>
            </w: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9"/>
        </w:trPr>
        <w:tc>
          <w:tcPr>
            <w:tcW w:w="66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Change in fair value of contingent forward contracts</w:t>
            </w: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454,546</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80"/>
              <w:spacing w:after="0"/>
              <w:rPr>
                <w:sz w:val="20"/>
                <w:szCs w:val="20"/>
                <w:color w:val="auto"/>
              </w:rPr>
            </w:pPr>
            <w:r>
              <w:rPr>
                <w:rFonts w:ascii="Arial" w:cs="Arial" w:eastAsia="Arial" w:hAnsi="Arial"/>
                <w:sz w:val="14"/>
                <w:szCs w:val="14"/>
                <w:color w:val="auto"/>
              </w:rPr>
              <w:t>Change in fair value of warrants</w:t>
            </w: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6,976</w:t>
            </w: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9"/>
        </w:trPr>
        <w:tc>
          <w:tcPr>
            <w:tcW w:w="6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9"/>
        </w:trPr>
        <w:tc>
          <w:tcPr>
            <w:tcW w:w="66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Inventory</w:t>
            </w: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(27,181)</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80"/>
              <w:spacing w:after="0"/>
              <w:rPr>
                <w:sz w:val="20"/>
                <w:szCs w:val="20"/>
                <w:color w:val="auto"/>
              </w:rPr>
            </w:pPr>
            <w:r>
              <w:rPr>
                <w:rFonts w:ascii="Arial" w:cs="Arial" w:eastAsia="Arial" w:hAnsi="Arial"/>
                <w:sz w:val="14"/>
                <w:szCs w:val="14"/>
                <w:color w:val="auto"/>
              </w:rPr>
              <w:t>Prepaid expenses</w:t>
            </w: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(11,233)</w:t>
            </w: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3,469</w:t>
            </w:r>
          </w:p>
        </w:tc>
        <w:tc>
          <w:tcPr>
            <w:tcW w:w="0" w:type="dxa"/>
            <w:vAlign w:val="bottom"/>
          </w:tcPr>
          <w:p>
            <w:pPr>
              <w:spacing w:after="0"/>
              <w:rPr>
                <w:sz w:val="1"/>
                <w:szCs w:val="1"/>
                <w:color w:val="auto"/>
              </w:rPr>
            </w:pPr>
          </w:p>
        </w:tc>
      </w:tr>
      <w:tr>
        <w:trPr>
          <w:trHeight w:val="189"/>
        </w:trPr>
        <w:tc>
          <w:tcPr>
            <w:tcW w:w="66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(2,380)</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80"/>
              <w:spacing w:after="0"/>
              <w:rPr>
                <w:sz w:val="20"/>
                <w:szCs w:val="20"/>
                <w:color w:val="auto"/>
              </w:rPr>
            </w:pPr>
            <w:r>
              <w:rPr>
                <w:rFonts w:ascii="Arial" w:cs="Arial" w:eastAsia="Arial" w:hAnsi="Arial"/>
                <w:sz w:val="14"/>
                <w:szCs w:val="14"/>
                <w:color w:val="auto"/>
              </w:rPr>
              <w:t>Other noncurrent assets and security deposit</w:t>
            </w: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(3,870)</w:t>
            </w:r>
          </w:p>
        </w:tc>
        <w:tc>
          <w:tcPr>
            <w:tcW w:w="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(2,455)</w:t>
            </w:r>
          </w:p>
        </w:tc>
        <w:tc>
          <w:tcPr>
            <w:tcW w:w="0" w:type="dxa"/>
            <w:vAlign w:val="bottom"/>
          </w:tcPr>
          <w:p>
            <w:pPr>
              <w:spacing w:after="0"/>
              <w:rPr>
                <w:sz w:val="1"/>
                <w:szCs w:val="1"/>
                <w:color w:val="auto"/>
              </w:rPr>
            </w:pPr>
          </w:p>
        </w:tc>
      </w:tr>
      <w:tr>
        <w:trPr>
          <w:trHeight w:val="189"/>
        </w:trPr>
        <w:tc>
          <w:tcPr>
            <w:tcW w:w="66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(11,871)</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80"/>
              <w:spacing w:after="0"/>
              <w:rPr>
                <w:sz w:val="20"/>
                <w:szCs w:val="20"/>
                <w:color w:val="auto"/>
              </w:rPr>
            </w:pPr>
            <w:r>
              <w:rPr>
                <w:rFonts w:ascii="Arial" w:cs="Arial" w:eastAsia="Arial" w:hAnsi="Arial"/>
                <w:sz w:val="14"/>
                <w:szCs w:val="14"/>
                <w:color w:val="auto"/>
              </w:rPr>
              <w:t>Accrued compensation</w:t>
            </w: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7,990</w:t>
            </w: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6,128</w:t>
            </w:r>
          </w:p>
        </w:tc>
        <w:tc>
          <w:tcPr>
            <w:tcW w:w="0" w:type="dxa"/>
            <w:vAlign w:val="bottom"/>
          </w:tcPr>
          <w:p>
            <w:pPr>
              <w:spacing w:after="0"/>
              <w:rPr>
                <w:sz w:val="1"/>
                <w:szCs w:val="1"/>
                <w:color w:val="auto"/>
              </w:rPr>
            </w:pPr>
          </w:p>
        </w:tc>
      </w:tr>
      <w:tr>
        <w:trPr>
          <w:trHeight w:val="189"/>
        </w:trPr>
        <w:tc>
          <w:tcPr>
            <w:tcW w:w="66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Operating lease liability</w:t>
            </w: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(7,742)</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80"/>
              <w:spacing w:after="0"/>
              <w:rPr>
                <w:sz w:val="20"/>
                <w:szCs w:val="20"/>
                <w:color w:val="auto"/>
              </w:rPr>
            </w:pPr>
            <w:r>
              <w:rPr>
                <w:rFonts w:ascii="Arial" w:cs="Arial" w:eastAsia="Arial" w:hAnsi="Arial"/>
                <w:sz w:val="14"/>
                <w:szCs w:val="14"/>
                <w:color w:val="auto"/>
              </w:rPr>
              <w:t>Financed insurance premium</w:t>
            </w:r>
          </w:p>
        </w:tc>
        <w:tc>
          <w:tcPr>
            <w:tcW w:w="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(10,950)</w:t>
            </w: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660" w:type="dxa"/>
            <w:vAlign w:val="bottom"/>
            <w:tcBorders>
              <w:bottom w:val="single" w:sz="8" w:color="CCEEFF"/>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Other current liabilities and accrued liabilities</w:t>
            </w: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4,522</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60" w:type="dxa"/>
            <w:vAlign w:val="bottom"/>
          </w:tcPr>
          <w:p>
            <w:pPr>
              <w:ind w:left="440"/>
              <w:spacing w:after="0"/>
              <w:rPr>
                <w:sz w:val="20"/>
                <w:szCs w:val="20"/>
                <w:color w:val="auto"/>
              </w:rPr>
            </w:pPr>
            <w:r>
              <w:rPr>
                <w:rFonts w:ascii="Arial" w:cs="Arial" w:eastAsia="Arial" w:hAnsi="Arial"/>
                <w:sz w:val="14"/>
                <w:szCs w:val="14"/>
                <w:color w:val="auto"/>
              </w:rPr>
              <w:t>Net cash used in operating activities</w:t>
            </w:r>
          </w:p>
        </w:tc>
        <w:tc>
          <w:tcPr>
            <w:tcW w:w="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(453,804)</w:t>
            </w:r>
          </w:p>
        </w:tc>
        <w:tc>
          <w:tcPr>
            <w:tcW w:w="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3"/>
              </w:rPr>
              <w:t>(208,242)</w:t>
            </w:r>
          </w:p>
        </w:tc>
        <w:tc>
          <w:tcPr>
            <w:tcW w:w="0" w:type="dxa"/>
            <w:vAlign w:val="bottom"/>
          </w:tcPr>
          <w:p>
            <w:pPr>
              <w:spacing w:after="0"/>
              <w:rPr>
                <w:sz w:val="1"/>
                <w:szCs w:val="1"/>
                <w:color w:val="auto"/>
              </w:rPr>
            </w:pPr>
          </w:p>
        </w:tc>
      </w:tr>
      <w:tr>
        <w:trPr>
          <w:trHeight w:val="196"/>
        </w:trPr>
        <w:tc>
          <w:tcPr>
            <w:tcW w:w="66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280"/>
              <w:spacing w:after="0"/>
              <w:rPr>
                <w:sz w:val="20"/>
                <w:szCs w:val="20"/>
                <w:color w:val="auto"/>
              </w:rPr>
            </w:pPr>
            <w:r>
              <w:rPr>
                <w:rFonts w:ascii="Arial" w:cs="Arial" w:eastAsia="Arial" w:hAnsi="Arial"/>
                <w:sz w:val="14"/>
                <w:szCs w:val="14"/>
                <w:color w:val="auto"/>
              </w:rPr>
              <w:t>Purchases of property, equipment, and software</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(206,533)</w:t>
            </w:r>
          </w:p>
        </w:tc>
        <w:tc>
          <w:tcPr>
            <w:tcW w:w="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3"/>
              </w:rPr>
              <w:t>(251,090)</w:t>
            </w:r>
          </w:p>
        </w:tc>
        <w:tc>
          <w:tcPr>
            <w:tcW w:w="0" w:type="dxa"/>
            <w:vAlign w:val="bottom"/>
          </w:tcPr>
          <w:p>
            <w:pPr>
              <w:spacing w:after="0"/>
              <w:rPr>
                <w:sz w:val="1"/>
                <w:szCs w:val="1"/>
                <w:color w:val="auto"/>
              </w:rPr>
            </w:pPr>
          </w:p>
        </w:tc>
      </w:tr>
      <w:tr>
        <w:trPr>
          <w:trHeight w:val="203"/>
        </w:trPr>
        <w:tc>
          <w:tcPr>
            <w:tcW w:w="6660" w:type="dxa"/>
            <w:vAlign w:val="bottom"/>
            <w:tcBorders>
              <w:bottom w:val="single" w:sz="8" w:color="CCEEFF"/>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Proceed from sale of property, equipment, and software</w:t>
            </w: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ind w:left="440"/>
              <w:spacing w:after="0"/>
              <w:rPr>
                <w:sz w:val="20"/>
                <w:szCs w:val="20"/>
                <w:color w:val="auto"/>
              </w:rPr>
            </w:pPr>
            <w:r>
              <w:rPr>
                <w:rFonts w:ascii="Arial" w:cs="Arial" w:eastAsia="Arial" w:hAnsi="Arial"/>
                <w:sz w:val="14"/>
                <w:szCs w:val="14"/>
                <w:color w:val="auto"/>
              </w:rPr>
              <w:t>Net cash used in investing activities</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(206,514)</w:t>
            </w:r>
          </w:p>
        </w:tc>
        <w:tc>
          <w:tcPr>
            <w:tcW w:w="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3"/>
              </w:rPr>
              <w:t>(251,090)</w:t>
            </w:r>
          </w:p>
        </w:tc>
        <w:tc>
          <w:tcPr>
            <w:tcW w:w="0" w:type="dxa"/>
            <w:vAlign w:val="bottom"/>
          </w:tcPr>
          <w:p>
            <w:pPr>
              <w:spacing w:after="0"/>
              <w:rPr>
                <w:sz w:val="1"/>
                <w:szCs w:val="1"/>
                <w:color w:val="auto"/>
              </w:rPr>
            </w:pPr>
          </w:p>
        </w:tc>
      </w:tr>
      <w:tr>
        <w:trPr>
          <w:trHeight w:val="203"/>
        </w:trPr>
        <w:tc>
          <w:tcPr>
            <w:tcW w:w="6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40"/>
              <w:spacing w:after="0"/>
              <w:rPr>
                <w:sz w:val="20"/>
                <w:szCs w:val="20"/>
                <w:color w:val="auto"/>
              </w:rPr>
            </w:pPr>
            <w:r>
              <w:rPr>
                <w:rFonts w:ascii="Arial" w:cs="Arial" w:eastAsia="Arial" w:hAnsi="Arial"/>
                <w:sz w:val="14"/>
                <w:szCs w:val="14"/>
                <w:color w:val="auto"/>
              </w:rPr>
              <w:t>Payment for short-term insurance financing note</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(2,747)</w:t>
            </w: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6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 for capital lease liabilities</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40"/>
              <w:spacing w:after="0"/>
              <w:rPr>
                <w:sz w:val="20"/>
                <w:szCs w:val="20"/>
                <w:color w:val="auto"/>
              </w:rPr>
            </w:pPr>
            <w:r>
              <w:rPr>
                <w:rFonts w:ascii="Arial" w:cs="Arial" w:eastAsia="Arial" w:hAnsi="Arial"/>
                <w:sz w:val="14"/>
                <w:szCs w:val="14"/>
                <w:color w:val="auto"/>
              </w:rPr>
              <w:t>Payment for finance lease liabilities</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(1,364)</w:t>
            </w: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6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short-term insurance financing note</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10,950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40"/>
              <w:spacing w:after="0"/>
              <w:rPr>
                <w:sz w:val="20"/>
                <w:szCs w:val="20"/>
                <w:color w:val="auto"/>
              </w:rPr>
            </w:pPr>
            <w:r>
              <w:rPr>
                <w:rFonts w:ascii="Arial" w:cs="Arial" w:eastAsia="Arial" w:hAnsi="Arial"/>
                <w:sz w:val="14"/>
                <w:szCs w:val="14"/>
                <w:color w:val="auto"/>
              </w:rPr>
              <w:t>Repurchase of Series B convertible preferred shares</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6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issuance of Series D convertible preferred shares</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40"/>
              <w:spacing w:after="0"/>
              <w:rPr>
                <w:sz w:val="20"/>
                <w:szCs w:val="20"/>
                <w:color w:val="auto"/>
              </w:rPr>
            </w:pPr>
            <w:r>
              <w:rPr>
                <w:rFonts w:ascii="Arial" w:cs="Arial" w:eastAsia="Arial" w:hAnsi="Arial"/>
                <w:sz w:val="14"/>
                <w:szCs w:val="14"/>
                <w:color w:val="auto"/>
              </w:rPr>
              <w:t>Proceeds from issuance of Series E convertible preferred shares</w:t>
            </w: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600,000</w:t>
            </w: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66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exercise of share options</w:t>
            </w: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5,266</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ind w:left="440"/>
              <w:spacing w:after="0"/>
              <w:rPr>
                <w:sz w:val="20"/>
                <w:szCs w:val="20"/>
                <w:color w:val="auto"/>
              </w:rPr>
            </w:pPr>
            <w:r>
              <w:rPr>
                <w:rFonts w:ascii="Arial" w:cs="Arial" w:eastAsia="Arial" w:hAnsi="Arial"/>
                <w:sz w:val="14"/>
                <w:szCs w:val="14"/>
                <w:color w:val="auto"/>
              </w:rPr>
              <w:t>Net cash provided by financing activities</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612,105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400,233</w:t>
            </w:r>
          </w:p>
        </w:tc>
        <w:tc>
          <w:tcPr>
            <w:tcW w:w="0" w:type="dxa"/>
            <w:vAlign w:val="bottom"/>
          </w:tcPr>
          <w:p>
            <w:pPr>
              <w:spacing w:after="0"/>
              <w:rPr>
                <w:sz w:val="1"/>
                <w:szCs w:val="1"/>
                <w:color w:val="auto"/>
              </w:rPr>
            </w:pPr>
          </w:p>
        </w:tc>
      </w:tr>
      <w:tr>
        <w:trPr>
          <w:trHeight w:val="20"/>
        </w:trPr>
        <w:tc>
          <w:tcPr>
            <w:tcW w:w="66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decrease in cash, cash equivalents, and restricted cash</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(48,213)</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(59,099)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40"/>
              <w:spacing w:after="0"/>
              <w:rPr>
                <w:sz w:val="20"/>
                <w:szCs w:val="20"/>
                <w:color w:val="auto"/>
              </w:rPr>
            </w:pPr>
            <w:r>
              <w:rPr>
                <w:rFonts w:ascii="Arial" w:cs="Arial" w:eastAsia="Arial" w:hAnsi="Arial"/>
                <w:sz w:val="14"/>
                <w:szCs w:val="14"/>
                <w:color w:val="auto"/>
              </w:rPr>
              <w:t>Beginning cash, cash equivalents, and restricted cash</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640,418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379,651</w:t>
            </w:r>
          </w:p>
        </w:tc>
        <w:tc>
          <w:tcPr>
            <w:tcW w:w="0" w:type="dxa"/>
            <w:vAlign w:val="bottom"/>
          </w:tcPr>
          <w:p>
            <w:pPr>
              <w:spacing w:after="0"/>
              <w:rPr>
                <w:sz w:val="1"/>
                <w:szCs w:val="1"/>
                <w:color w:val="auto"/>
              </w:rPr>
            </w:pPr>
          </w:p>
        </w:tc>
      </w:tr>
      <w:tr>
        <w:trPr>
          <w:trHeight w:val="221"/>
        </w:trPr>
        <w:tc>
          <w:tcPr>
            <w:tcW w:w="6660" w:type="dxa"/>
            <w:vAlign w:val="bottom"/>
            <w:tcBorders>
              <w:top w:val="single" w:sz="8" w:color="CCEEFF"/>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Ending cash, cash equivalents, and restricted cash</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592,205</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320,552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paid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activity:</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Property and equipment included in accounts payable and accrued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(24,661)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4"/>
                <w:szCs w:val="14"/>
                <w:color w:val="auto"/>
              </w:rPr>
              <w:t>Settlement of Series D convertible preferred share contingent forward contract</w:t>
            </w: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(39,563)</w:t>
            </w:r>
          </w:p>
        </w:tc>
        <w:tc>
          <w:tcPr>
            <w:tcW w:w="0" w:type="dxa"/>
            <w:vAlign w:val="bottom"/>
          </w:tcPr>
          <w:p>
            <w:pPr>
              <w:spacing w:after="0"/>
              <w:rPr>
                <w:sz w:val="1"/>
                <w:szCs w:val="1"/>
                <w:color w:val="auto"/>
              </w:rPr>
            </w:pPr>
          </w:p>
        </w:tc>
      </w:tr>
      <w:tr>
        <w:trPr>
          <w:trHeight w:val="203"/>
        </w:trPr>
        <w:tc>
          <w:tcPr>
            <w:tcW w:w="6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Conversion of Series D preferred share warrant to Series D convertible preferred share</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9,936</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4"/>
                <w:szCs w:val="14"/>
                <w:color w:val="auto"/>
              </w:rPr>
              <w:t>Issuance of Series E convertible preferred share contingent forward contracts</w:t>
            </w: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2,167,332</w:t>
            </w: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Settlement of Series E convertible preferred share contingent forward contract</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2"/>
              </w:rPr>
              <w:t>(2,621,878)</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4"/>
                <w:szCs w:val="14"/>
                <w:color w:val="auto"/>
              </w:rPr>
              <w:t>Capital contribution upon issuance of Series E preferred shares</w:t>
            </w: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15,719</w:t>
            </w:r>
          </w:p>
        </w:tc>
        <w:tc>
          <w:tcPr>
            <w:tcW w:w="8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Property and equipment acquired through leases</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(4,437)</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660" w:type="dxa"/>
            <w:vAlign w:val="bottom"/>
          </w:tcPr>
          <w:p>
            <w:pPr>
              <w:spacing w:after="0"/>
              <w:rPr>
                <w:sz w:val="20"/>
                <w:szCs w:val="20"/>
                <w:color w:val="auto"/>
              </w:rPr>
            </w:pPr>
            <w:r>
              <w:rPr>
                <w:rFonts w:ascii="Arial" w:cs="Arial" w:eastAsia="Arial" w:hAnsi="Arial"/>
                <w:sz w:val="14"/>
                <w:szCs w:val="14"/>
                <w:color w:val="auto"/>
              </w:rPr>
              <w:t>Capital leases retired upon adoption of new lease accounting standard</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3,257</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-1595120</wp:posOffset>
            </wp:positionV>
            <wp:extent cx="48260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8260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-1860550</wp:posOffset>
            </wp:positionV>
            <wp:extent cx="482600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8260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-3686175</wp:posOffset>
            </wp:positionV>
            <wp:extent cx="48260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826000" cy="88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-6343650</wp:posOffset>
            </wp:positionV>
            <wp:extent cx="13716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-6343650</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5"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6" w:name="page227"/>
    <w:bookmarkEnd w:id="226"/>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ATIEVA, INC. AND SUBSIDIARIES</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 w:lineRule="exact"/>
        <w:rPr>
          <w:sz w:val="20"/>
          <w:szCs w:val="20"/>
          <w:color w:val="auto"/>
        </w:rPr>
      </w:pPr>
    </w:p>
    <w:p>
      <w:pPr>
        <w:jc w:val="right"/>
        <w:ind w:right="4039"/>
        <w:spacing w:after="0"/>
        <w:rPr>
          <w:sz w:val="20"/>
          <w:szCs w:val="20"/>
          <w:color w:val="auto"/>
        </w:rPr>
      </w:pPr>
      <w:r>
        <w:rPr>
          <w:rFonts w:ascii="Arial" w:cs="Arial" w:eastAsia="Arial" w:hAnsi="Arial"/>
          <w:sz w:val="18"/>
          <w:szCs w:val="18"/>
          <w:b w:val="1"/>
          <w:bCs w:val="1"/>
          <w:color w:val="auto"/>
        </w:rPr>
        <w:t>June 30, 2021</w:t>
      </w:r>
    </w:p>
    <w:p>
      <w:pPr>
        <w:jc w:val="right"/>
        <w:ind w:right="4059"/>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579" w:firstLine="360"/>
        <w:spacing w:after="0" w:line="268" w:lineRule="auto"/>
        <w:rPr>
          <w:sz w:val="20"/>
          <w:szCs w:val="20"/>
          <w:color w:val="auto"/>
        </w:rPr>
      </w:pPr>
      <w:r>
        <w:rPr>
          <w:rFonts w:ascii="Arial" w:cs="Arial" w:eastAsia="Arial" w:hAnsi="Arial"/>
          <w:sz w:val="17"/>
          <w:szCs w:val="17"/>
          <w:color w:val="auto"/>
        </w:rPr>
        <w:t>Atieva, Inc. and its wholly owned subsidiaries (collectively, “Lucid,” the “Company,” “we,” “us” or “our”) is a technology and automotive company. The Company was founded in Silicon Valley in 2007 to develop the next generation of electric vehicle (“</w:t>
      </w:r>
      <w:r>
        <w:rPr>
          <w:rFonts w:ascii="Arial" w:cs="Arial" w:eastAsia="Arial" w:hAnsi="Arial"/>
          <w:sz w:val="17"/>
          <w:szCs w:val="17"/>
          <w:i w:val="1"/>
          <w:iCs w:val="1"/>
          <w:color w:val="auto"/>
        </w:rPr>
        <w:t>EV</w:t>
      </w:r>
      <w:r>
        <w:rPr>
          <w:rFonts w:ascii="Arial" w:cs="Arial" w:eastAsia="Arial" w:hAnsi="Arial"/>
          <w:sz w:val="17"/>
          <w:szCs w:val="17"/>
          <w:color w:val="auto"/>
        </w:rPr>
        <w:t>”) technologies. Today, Lucid is a vertically-integrated company which (i) designs, engineers and builds electric vehicles, EV powertrains and battery systems in-house using our own equipment and factory, (ii) plans to offer a refined customer experience at our own geographically-distributed retail and service locations and through direct-to-consumer and retail sales and</w:t>
      </w:r>
    </w:p>
    <w:p>
      <w:pPr>
        <w:spacing w:after="0" w:line="1" w:lineRule="exact"/>
        <w:rPr>
          <w:sz w:val="20"/>
          <w:szCs w:val="20"/>
          <w:color w:val="auto"/>
        </w:rPr>
      </w:pPr>
    </w:p>
    <w:p>
      <w:pPr>
        <w:ind w:left="1260" w:right="579"/>
        <w:spacing w:after="0" w:line="252" w:lineRule="auto"/>
        <w:tabs>
          <w:tab w:leader="none" w:pos="159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boasts a strong product roadmap of future vehicle programs and technologies. On February 22, 2021, Churchill Capital Corp IV (“CCIV”) (NYSE:CCIV), a special purpose acquisition company or SPAC, entered into a definitive agreement for a merger that would result in the Company becoming a wholly owned subsidiary of CCIV. Upon the completion of the merger on July 23, 2021 (the “Closing”), the Company changed its name to Lucid Group, Inc. (“Lucid Group”) and effectively comprised all of CCIV’s material operations.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Going Concern</w:t>
      </w:r>
    </w:p>
    <w:p>
      <w:pPr>
        <w:spacing w:after="0" w:line="162"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The Company devotes its efforts to business planning, research and development, recruiting of management and technical staff, acquiring operating assets, and raising capital.</w:t>
      </w:r>
    </w:p>
    <w:p>
      <w:pPr>
        <w:spacing w:after="0" w:line="103"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From inception through June 30, 2021, the Company has incurred operating losses and negative cash flows from operating activities. For the six months ended June 30, 2021 and 2020, the Company has incurred operating losses, including net losses of $1.0 billion and $246.9 million, respectively. The Company has an accumulated deficit of $4.5 billion as of June 30, 2021.</w:t>
      </w:r>
    </w:p>
    <w:p>
      <w:pPr>
        <w:spacing w:after="0" w:line="106"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As of the end of June 30, 2021, the Company completed the first phase of the construction of its newly built manufacturing plant in Casa Grande, Arizona (the “Arizona plant”). The Company plans to begin commercial production of its first vehicle, the Lucid Air, in the second half of 2021, along with the continued expansion of the Arizona plant and build-out of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are not identified and confirmed.</w:t>
      </w:r>
    </w:p>
    <w:p>
      <w:pPr>
        <w:spacing w:after="0" w:line="124"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The Company’s existing sources of liquidity include cash and cash equivalents. Historically, the Company has been able to obtain debt and equity financing as disclosed in these condensed consolidated financial statements. The Company has funded operations primarily with issuances of convertible preferred shares. Upon the completion of the merger with CCIV, the Company received approximately an incremental $2.1 billion in cash from CCIV. In addition, the Company received $2.5 billion in Private Investment in Public Entity (“PIPE”) investment. As such, this business combination eliminated the substantial doubt about the Company’s ability to continue as a going concern within one year after the date the Current Report on Form 8-K/A to which this document forms an exhibit is available to be filed.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Significant Risks and Uncertainties</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The Company’s current business activities consist of research and development efforts to design and develop a high-performance fully electric vehicle and advanced electric vehicle powertrain components, including battery pack systems; building of the Company’s production operations in Casa Grande, Arizona; and build-out of the Company’s retail stores and service centers for distribution of the vehicles to customers. The Company is subject to the risks associated with such activities, including the need to further develop</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7" w:name="page228"/>
    <w:bookmarkEnd w:id="227"/>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62" w:lineRule="auto"/>
        <w:rPr>
          <w:sz w:val="20"/>
          <w:szCs w:val="20"/>
          <w:color w:val="auto"/>
        </w:rPr>
      </w:pPr>
      <w:r>
        <w:rPr>
          <w:rFonts w:ascii="Arial" w:cs="Arial" w:eastAsia="Arial" w:hAnsi="Arial"/>
          <w:sz w:val="17"/>
          <w:szCs w:val="17"/>
          <w:color w:val="auto"/>
        </w:rPr>
        <w:t>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its ability to access potential markets, and secure long-term financing.</w:t>
      </w:r>
    </w:p>
    <w:p>
      <w:pPr>
        <w:spacing w:after="0" w:line="91"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The Company participates in a dynamic high-technology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pacing w:after="0" w:line="10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In late 2019, a novel strain of coronavirus (COVID-19) began to affect the population of China and expanded into a worldwide pandemic during 2020, leading to significant business and supply chain disruption, as well as broad-based changes in supply and demand. The Company’s operations have experienced disruptions, such as temporary closure of its offices, and those of its customers and suppliers, and product research and development. The Company was able to proceed with the construction of the Arizona plant while still meeting all COVID-19 restrictions and required safety measures. The extent of the impact of COVID-19 on the Company’s operational and financial performance will depend on future developments, including the duration and spread of the outbreak. Nevertheless, COVID-19 presents a material uncertainty and risk with respect to the Company, its performance, and its financial results and could adversely affect the Company’s financial position and results of operations.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 and Preparation</w:t>
      </w:r>
    </w:p>
    <w:p>
      <w:pPr>
        <w:spacing w:after="0" w:line="16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accompanying unaudited interim condensed consolidated financial statements included herein have been prepared pursuant to instructions to the rules and regulations of the U.S. Securities and Exchange Commission (“SEC”). Under these rules and regulations, some information and footnote disclosures normally included in the financial statements prepared under accounting principles generally accepted in the United States of America (“U.S. GAAP”) have been condensed or omitted. These financial statements should be read together with the Company’s audited financial statements for the year ended December 31, 2020 and 2019 included in Lucid Group’s Registration Statement on Form S-1, filed with the SEC on August 2, 2021.</w:t>
      </w:r>
    </w:p>
    <w:p>
      <w:pPr>
        <w:spacing w:after="0" w:line="113"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In management’s opinion, these unaudited condensed consolidated financial statements have been prepared on the same basis as the annual financial statements and reflect all adjustments, which include only normal recurring adjustments necessary for the fair statement of the Company’s financial position as of June 30, 2021, the results of operations for the three and six months ended June 30, 2021 and 2020, and cash flows for the six months ended June 30, 2021 and 2020. The results of operations for the three and six months ended June 30, 2021 are not necessarily indicative of the results to be expected for the full year ending December 31, 2021 or any other future interim or annual period.</w:t>
      </w:r>
    </w:p>
    <w:p>
      <w:pPr>
        <w:spacing w:after="0" w:line="112"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7"/>
          <w:szCs w:val="17"/>
          <w:color w:val="auto"/>
        </w:rPr>
        <w:t>The condensed consolidated financial statements include the accounts of the Company and its wholly owned subsidiaries. All intercompany balances and transactions have been eliminated in consolidation.</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the determination of the useful lives of property and equipment, fair values of warrants, fair value of contingent forward contracts liability, fair values of common shares, accounting for income taxes, and share-based compensation expense, and estimated incremental borrowing rates for assessing operating and financing lease liabilities. These estimates and assumptions are based on management’s best estimates and judgment. Management evaluates its estimates and assumptions on an ongoing basis using historical experience and other factors, including the current economic</w:t>
      </w:r>
    </w:p>
    <w:p>
      <w:pPr>
        <w:spacing w:after="0" w:line="36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8" w:name="page229"/>
    <w:bookmarkEnd w:id="228"/>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99"/>
        <w:spacing w:after="0" w:line="243" w:lineRule="auto"/>
        <w:rPr>
          <w:sz w:val="20"/>
          <w:szCs w:val="20"/>
          <w:color w:val="auto"/>
        </w:rPr>
      </w:pPr>
      <w:r>
        <w:rPr>
          <w:rFonts w:ascii="Arial" w:cs="Arial" w:eastAsia="Arial" w:hAnsi="Arial"/>
          <w:sz w:val="18"/>
          <w:szCs w:val="18"/>
          <w:color w:val="auto"/>
        </w:rPr>
        <w:t>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The Company considers all highly liquid investments with an original or remaining maturity at the date of purchase of three months or less to be cash equivalents.</w:t>
      </w:r>
    </w:p>
    <w:p>
      <w:pPr>
        <w:spacing w:after="0" w:line="103"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Restricted cash in the other current assets is comprised primarily of customer reservation payments for electric vehicles and other escrow deposit for building of the Arizona plant. Restricted cash included in other non-current assets is primarily related to letters of credit issued to the landlord for the Company’s headquarter in Newark, California and retail locations, and escrow deposit required under the escrow agreement for the lease with Pinal county, Arizona, related to the Arizona plant.</w:t>
      </w:r>
    </w:p>
    <w:p>
      <w:pPr>
        <w:spacing w:after="0" w:line="122"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The following table provides a reconciliation of cash and restricted cash to amounts shown in the statements of cash flows (in thousands):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c>
          <w:tcPr>
            <w:tcW w:w="10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68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June 30,</w:t>
            </w:r>
          </w:p>
        </w:tc>
      </w:tr>
      <w:tr>
        <w:trPr>
          <w:trHeight w:val="186"/>
        </w:trPr>
        <w:tc>
          <w:tcPr>
            <w:tcW w:w="5540" w:type="dxa"/>
            <w:vAlign w:val="bottom"/>
          </w:tcPr>
          <w:p>
            <w:pPr>
              <w:spacing w:after="0"/>
              <w:rPr>
                <w:sz w:val="16"/>
                <w:szCs w:val="16"/>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2020</w:t>
            </w:r>
          </w:p>
        </w:tc>
      </w:tr>
      <w:tr>
        <w:trPr>
          <w:trHeight w:val="26"/>
        </w:trPr>
        <w:tc>
          <w:tcPr>
            <w:tcW w:w="55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$557,938</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$614,412</w:t>
            </w:r>
          </w:p>
        </w:tc>
        <w:tc>
          <w:tcPr>
            <w:tcW w:w="240" w:type="dxa"/>
            <w:vAlign w:val="bottom"/>
            <w:tcBorders>
              <w:right w:val="single" w:sz="8" w:color="CCEEFF"/>
            </w:tcBorders>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$293,896</w:t>
            </w:r>
          </w:p>
        </w:tc>
      </w:tr>
      <w:tr>
        <w:trPr>
          <w:trHeight w:val="257"/>
        </w:trPr>
        <w:tc>
          <w:tcPr>
            <w:tcW w:w="554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10,989</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11,278</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18,456</w:t>
            </w:r>
          </w:p>
        </w:tc>
      </w:tr>
      <w:tr>
        <w:trPr>
          <w:trHeight w:val="263"/>
        </w:trPr>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included in other noncurrent assets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23,278</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14,728</w:t>
            </w:r>
          </w:p>
        </w:tc>
        <w:tc>
          <w:tcPr>
            <w:tcW w:w="240" w:type="dxa"/>
            <w:vAlign w:val="bottom"/>
            <w:tcBorders>
              <w:right w:val="single" w:sz="8" w:color="CCEEFF"/>
            </w:tcBorders>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r>
      <w:tr>
        <w:trPr>
          <w:trHeight w:val="20"/>
        </w:trPr>
        <w:tc>
          <w:tcPr>
            <w:tcW w:w="55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$592,205</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$640,418</w:t>
            </w: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$320,552</w:t>
            </w:r>
          </w:p>
        </w:tc>
      </w:tr>
      <w:tr>
        <w:trPr>
          <w:trHeight w:val="21"/>
        </w:trPr>
        <w:tc>
          <w:tcPr>
            <w:tcW w:w="5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-719455</wp:posOffset>
            </wp:positionV>
            <wp:extent cx="476631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left="1260" w:right="539" w:firstLine="360"/>
        <w:spacing w:after="0" w:line="276"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of cash, cash equivalents, short-term investments, and accounts receivable. The Company places its cash primarily with domestic financial institutions that are federally insured within statutory limits, but at times its deposits may exceed federally insured limits. Further, accounts receivable primarily consists of current trade receivables from a single customer as of June 30, 2021 and December 31, 2020, and all of the Company’s revenue is from the same customer for the three and six months ended June 30, 2021 and 2020.</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June 30, 2021, there were no material changes in the other significant accounting policies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disclosed in Note 2 of the audited consolidated financial statements as of and for the years ended</w:t>
      </w:r>
    </w:p>
    <w:p>
      <w:pPr>
        <w:ind w:left="1260"/>
        <w:spacing w:after="0"/>
        <w:rPr>
          <w:sz w:val="20"/>
          <w:szCs w:val="20"/>
          <w:color w:val="auto"/>
        </w:rPr>
      </w:pPr>
      <w:r>
        <w:rPr>
          <w:rFonts w:ascii="Arial" w:cs="Arial" w:eastAsia="Arial" w:hAnsi="Arial"/>
          <w:sz w:val="17"/>
          <w:szCs w:val="17"/>
          <w:color w:val="auto"/>
        </w:rPr>
        <w:t>December 31, 2020 and 2019 included in Lucid Group’s Registration Statement on Form S-1 filed with SEC</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on August 2, 2021.</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In February 2016, the FASB issued ASU No. 2016-02 (“ASC 842”), Leases, to require lessees to recognize all leases, with certain exceptions, on the balance sheet, while recognition on the statement of operations will remain similar to current lease accounting. Subsequently, the FASB issued ASU No. 2018-10, Codification Improvements to Topic 842, Leases, ASU No. 2018-11, Targeted Improvements, ASU No. 2018-20, Narrow-Scope Improvements for Lessors, and ASU 2019-01, Codification Improvements, to clarify and amend the guidance in ASU No. 2016-02. ASC 842 eliminates real estate-specific provisions and modifies certain aspects of lessor accounting. This standard is effective for interim and annual periods beginning after December 15, 2018 for public business entities. Private companies are required to adopt the new leases standard for annual periods beginning after December 15, 2021 and interim periods in annual periods beginning after December 15, 2022. Early adoption is permitted for all entities. The Company adopted ASC 842 as of January 1, 2021 using the modified retrospective approach (“adoption of the new lease standard”). This approach allows entities to either apply the new lease standard to the beginning of the earliest period presented or only to the consolidated financial statements in the period of adoption without</w:t>
      </w:r>
    </w:p>
    <w:p>
      <w:pPr>
        <w:spacing w:after="0" w:line="36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9" w:name="page230"/>
    <w:bookmarkEnd w:id="229"/>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38" w:lineRule="auto"/>
        <w:rPr>
          <w:sz w:val="20"/>
          <w:szCs w:val="20"/>
          <w:color w:val="auto"/>
        </w:rPr>
      </w:pPr>
      <w:r>
        <w:rPr>
          <w:rFonts w:ascii="Arial" w:cs="Arial" w:eastAsia="Arial" w:hAnsi="Arial"/>
          <w:sz w:val="18"/>
          <w:szCs w:val="18"/>
          <w:color w:val="auto"/>
        </w:rPr>
        <w:t>restating prior periods. The Company has elected to apply the new guidance at the date of adoption without restating prior periods. In addition, the Company elected the package of practical expedients permitted under the transition guidance within the new standard, which allowed the Company to carry forward the historical determination of contracts as leases, lease classification and not reassess initial direct costs for historical lease arrangements. Accordingly, previously reported financial statements, including footnote disclosures, have not been recast to reflect the application of the new standard to all comparative periods presented. The finance lease classification under ASC 842 includes leases previously classified as capital leases under ASC 840.</w:t>
      </w:r>
    </w:p>
    <w:p>
      <w:pPr>
        <w:spacing w:after="0" w:line="113" w:lineRule="exact"/>
        <w:rPr>
          <w:sz w:val="20"/>
          <w:szCs w:val="20"/>
          <w:color w:val="auto"/>
        </w:rPr>
      </w:pPr>
    </w:p>
    <w:p>
      <w:pPr>
        <w:ind w:left="1260" w:right="499" w:firstLine="360"/>
        <w:spacing w:after="0" w:line="294" w:lineRule="auto"/>
        <w:rPr>
          <w:sz w:val="20"/>
          <w:szCs w:val="20"/>
          <w:color w:val="auto"/>
        </w:rPr>
      </w:pPr>
      <w:r>
        <w:rPr>
          <w:rFonts w:ascii="Arial" w:cs="Arial" w:eastAsia="Arial" w:hAnsi="Arial"/>
          <w:sz w:val="16"/>
          <w:szCs w:val="16"/>
          <w:color w:val="auto"/>
        </w:rPr>
        <w:t>The Company has lease agreements with lease and non-lease components and has elected not to utilize the practical expedient to account for lease and non -lease components together, rather the Company is accounting for the lease and non-lease components separately on the consolidated financial statements.</w:t>
      </w:r>
    </w:p>
    <w:p>
      <w:pPr>
        <w:spacing w:after="0" w:line="80"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Operating lease assets are included within operating lease right-of-use (“ROU”) assets. Finance lease assets are included within property, plant and equipment, net. The corresponding operating lease liabilities and finance lease liabilities are included within other current liabilities and other long-term liabilities on the Company’s consolidated balance sheet as of June 30, 2021.</w:t>
      </w:r>
    </w:p>
    <w:p>
      <w:pPr>
        <w:spacing w:after="0" w:line="120"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The Company has elected not to present short-term leases on the consolidated balance sheet as these leases have a lease term of 12 months or less at lease inception and do not contain purchase options or renewal terms that the Company is reasonably certain to exercise. All other lease assets and lease liabilities are recognized based on the present value of lease payments over the lease term at the later of ASC 842 adoption date or lease commencement date. Because most of the Company’s leases do not provide an implicit rate of return, the Company used the Company’s incremental borrowing rate based on the information available at adoption date or lease commencement date in determining the present value of lease payments.</w:t>
      </w:r>
    </w:p>
    <w:p>
      <w:pPr>
        <w:spacing w:after="0" w:line="11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Adoption of the new lease standard on January 1, 2021 had a material impact on the Company’s interim unaudited consolidated financial statements. The most significant impacts related to the (i) recording of ROU asset of $94.2 million, and (ii) recording lease liability of $126.0 million, as of January 1, 2021 on the consolidated balance sheets. The Company also reclassified prepaid expenses of $0.2 million and deferred rent balance, including tenant improvement allowances, and other liability balances of $31.8 million relating to the Company’s existing lease arrangements as of December 31, 2020, into the ROU asset balance as of January 1, 2021. ROU assets represent the Company’s right to use an underlying asset for the lease term and lease liabilities represent the Company’s obligation to make lease payments arising from the lease. The standard did not materially impact the Company’s consolidated statement of operations and consolidated statement of cash flows.</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cumulative effect of the changes made to the Company’s consolidated balance sheet as of</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January 1, 2021 for the adoption of the new lease standard was as follows (in thousands):</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Balances at</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Adjustments from</w:t>
            </w:r>
          </w:p>
        </w:tc>
        <w:tc>
          <w:tcPr>
            <w:tcW w:w="980" w:type="dxa"/>
            <w:vAlign w:val="bottom"/>
          </w:tcPr>
          <w:p>
            <w:pPr>
              <w:spacing w:after="0"/>
              <w:rPr>
                <w:sz w:val="14"/>
                <w:szCs w:val="14"/>
                <w:color w:val="auto"/>
              </w:rPr>
            </w:pPr>
          </w:p>
        </w:tc>
      </w:tr>
      <w:tr>
        <w:trPr>
          <w:trHeight w:val="162"/>
        </w:trPr>
        <w:tc>
          <w:tcPr>
            <w:tcW w:w="45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Adoption of New Lease</w:t>
            </w:r>
          </w:p>
        </w:tc>
        <w:tc>
          <w:tcPr>
            <w:tcW w:w="980" w:type="dxa"/>
            <w:vAlign w:val="bottom"/>
          </w:tcPr>
          <w:p>
            <w:pPr>
              <w:jc w:val="right"/>
              <w:ind w:right="75"/>
              <w:spacing w:after="0"/>
              <w:rPr>
                <w:sz w:val="20"/>
                <w:szCs w:val="20"/>
                <w:color w:val="auto"/>
              </w:rPr>
            </w:pPr>
            <w:r>
              <w:rPr>
                <w:rFonts w:ascii="Arial" w:cs="Arial" w:eastAsia="Arial" w:hAnsi="Arial"/>
                <w:sz w:val="14"/>
                <w:szCs w:val="14"/>
                <w:b w:val="1"/>
                <w:bCs w:val="1"/>
                <w:color w:val="auto"/>
              </w:rPr>
              <w:t>Balances at</w:t>
            </w:r>
          </w:p>
        </w:tc>
      </w:tr>
      <w:tr>
        <w:trPr>
          <w:trHeight w:val="186"/>
        </w:trPr>
        <w:tc>
          <w:tcPr>
            <w:tcW w:w="45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Standard</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0"/>
              </w:rPr>
              <w:t>January 1, 2021</w:t>
            </w:r>
          </w:p>
        </w:tc>
      </w:tr>
      <w:tr>
        <w:trPr>
          <w:trHeight w:val="25"/>
        </w:trPr>
        <w:tc>
          <w:tcPr>
            <w:tcW w:w="45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57"/>
        </w:trPr>
        <w:tc>
          <w:tcPr>
            <w:tcW w:w="450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860" w:type="dxa"/>
            <w:vAlign w:val="bottom"/>
          </w:tcPr>
          <w:p>
            <w:pPr>
              <w:jc w:val="right"/>
              <w:spacing w:after="0"/>
              <w:rPr>
                <w:sz w:val="20"/>
                <w:szCs w:val="20"/>
                <w:color w:val="auto"/>
              </w:rPr>
            </w:pPr>
            <w:r>
              <w:rPr>
                <w:rFonts w:ascii="Arial" w:cs="Arial" w:eastAsia="Arial" w:hAnsi="Arial"/>
                <w:sz w:val="18"/>
                <w:szCs w:val="18"/>
                <w:color w:val="auto"/>
              </w:rPr>
              <w:t>$ 21,840</w:t>
            </w:r>
          </w:p>
        </w:tc>
        <w:tc>
          <w:tcPr>
            <w:tcW w:w="220" w:type="dxa"/>
            <w:vAlign w:val="bottom"/>
          </w:tcPr>
          <w:p>
            <w:pPr>
              <w:spacing w:after="0"/>
              <w:rPr>
                <w:sz w:val="22"/>
                <w:szCs w:val="22"/>
                <w:color w:val="auto"/>
              </w:rPr>
            </w:pPr>
          </w:p>
        </w:tc>
        <w:tc>
          <w:tcPr>
            <w:tcW w:w="1420" w:type="dxa"/>
            <w:vAlign w:val="bottom"/>
          </w:tcPr>
          <w:p>
            <w:pPr>
              <w:jc w:val="right"/>
              <w:ind w:right="277"/>
              <w:spacing w:after="0"/>
              <w:rPr>
                <w:sz w:val="20"/>
                <w:szCs w:val="20"/>
                <w:color w:val="auto"/>
              </w:rPr>
            </w:pPr>
            <w:r>
              <w:rPr>
                <w:rFonts w:ascii="Arial" w:cs="Arial" w:eastAsia="Arial" w:hAnsi="Arial"/>
                <w:sz w:val="18"/>
                <w:szCs w:val="18"/>
                <w:color w:val="auto"/>
              </w:rPr>
              <w:t>$  (180)</w:t>
            </w:r>
          </w:p>
        </w:tc>
        <w:tc>
          <w:tcPr>
            <w:tcW w:w="220" w:type="dxa"/>
            <w:vAlign w:val="bottom"/>
          </w:tcPr>
          <w:p>
            <w:pPr>
              <w:spacing w:after="0"/>
              <w:rPr>
                <w:sz w:val="22"/>
                <w:szCs w:val="22"/>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$ 21,660</w:t>
            </w:r>
          </w:p>
        </w:tc>
      </w:tr>
      <w:tr>
        <w:trPr>
          <w:trHeight w:val="25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713,274</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3,237</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716,511</w:t>
            </w:r>
          </w:p>
        </w:tc>
      </w:tr>
      <w:tr>
        <w:trPr>
          <w:trHeight w:val="257"/>
        </w:trPr>
        <w:tc>
          <w:tcPr>
            <w:tcW w:w="450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7"/>
              <w:spacing w:after="0"/>
              <w:rPr>
                <w:sz w:val="20"/>
                <w:szCs w:val="20"/>
                <w:color w:val="auto"/>
              </w:rPr>
            </w:pPr>
            <w:r>
              <w:rPr>
                <w:rFonts w:ascii="Arial" w:cs="Arial" w:eastAsia="Arial" w:hAnsi="Arial"/>
                <w:sz w:val="18"/>
                <w:szCs w:val="18"/>
                <w:color w:val="auto"/>
              </w:rPr>
              <w:t>90,932</w:t>
            </w:r>
          </w:p>
        </w:tc>
        <w:tc>
          <w:tcPr>
            <w:tcW w:w="220" w:type="dxa"/>
            <w:vAlign w:val="bottom"/>
          </w:tcPr>
          <w:p>
            <w:pPr>
              <w:spacing w:after="0"/>
              <w:rPr>
                <w:sz w:val="22"/>
                <w:szCs w:val="22"/>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90,932</w:t>
            </w:r>
          </w:p>
        </w:tc>
      </w:tr>
      <w:tr>
        <w:trPr>
          <w:trHeight w:val="27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70"/>
        </w:trPr>
        <w:tc>
          <w:tcPr>
            <w:tcW w:w="450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860" w:type="dxa"/>
            <w:vAlign w:val="bottom"/>
          </w:tcPr>
          <w:p>
            <w:pPr>
              <w:jc w:val="right"/>
              <w:spacing w:after="0"/>
              <w:rPr>
                <w:sz w:val="20"/>
                <w:szCs w:val="20"/>
                <w:color w:val="auto"/>
              </w:rPr>
            </w:pPr>
            <w:r>
              <w:rPr>
                <w:rFonts w:ascii="Arial" w:cs="Arial" w:eastAsia="Arial" w:hAnsi="Arial"/>
                <w:sz w:val="18"/>
                <w:szCs w:val="18"/>
                <w:color w:val="auto"/>
              </w:rPr>
              <w:t>151,753</w:t>
            </w:r>
          </w:p>
        </w:tc>
        <w:tc>
          <w:tcPr>
            <w:tcW w:w="220" w:type="dxa"/>
            <w:vAlign w:val="bottom"/>
          </w:tcPr>
          <w:p>
            <w:pPr>
              <w:spacing w:after="0"/>
              <w:rPr>
                <w:sz w:val="23"/>
                <w:szCs w:val="23"/>
                <w:color w:val="auto"/>
              </w:rPr>
            </w:pPr>
          </w:p>
        </w:tc>
        <w:tc>
          <w:tcPr>
            <w:tcW w:w="1420" w:type="dxa"/>
            <w:vAlign w:val="bottom"/>
          </w:tcPr>
          <w:p>
            <w:pPr>
              <w:jc w:val="right"/>
              <w:ind w:right="337"/>
              <w:spacing w:after="0"/>
              <w:rPr>
                <w:sz w:val="20"/>
                <w:szCs w:val="20"/>
                <w:color w:val="auto"/>
              </w:rPr>
            </w:pPr>
            <w:r>
              <w:rPr>
                <w:rFonts w:ascii="Arial" w:cs="Arial" w:eastAsia="Arial" w:hAnsi="Arial"/>
                <w:sz w:val="18"/>
                <w:szCs w:val="18"/>
                <w:color w:val="auto"/>
              </w:rPr>
              <w:t>8,030</w:t>
            </w:r>
          </w:p>
        </w:tc>
        <w:tc>
          <w:tcPr>
            <w:tcW w:w="220" w:type="dxa"/>
            <w:vAlign w:val="bottom"/>
          </w:tcPr>
          <w:p>
            <w:pPr>
              <w:spacing w:after="0"/>
              <w:rPr>
                <w:sz w:val="23"/>
                <w:szCs w:val="23"/>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159,783</w:t>
            </w:r>
          </w:p>
        </w:tc>
      </w:tr>
      <w:tr>
        <w:trPr>
          <w:trHeight w:val="27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86,152</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125,057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-1174115</wp:posOffset>
            </wp:positionV>
            <wp:extent cx="13716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-1174115</wp:posOffset>
            </wp:positionV>
            <wp:extent cx="354012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11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which simplifies the accounting for income taxes by eliminating some</w:t>
      </w:r>
      <w:r>
        <w:rPr>
          <w:rFonts w:ascii="Arial" w:cs="Arial" w:eastAsia="Arial" w:hAnsi="Arial"/>
          <w:sz w:val="17"/>
          <w:szCs w:val="17"/>
          <w:i w:val="1"/>
          <w:iCs w:val="1"/>
          <w:color w:val="auto"/>
        </w:rPr>
        <w:t xml:space="preserve"> </w:t>
      </w:r>
      <w:r>
        <w:rPr>
          <w:rFonts w:ascii="Arial" w:cs="Arial" w:eastAsia="Arial" w:hAnsi="Arial"/>
          <w:sz w:val="17"/>
          <w:szCs w:val="17"/>
          <w:color w:val="auto"/>
        </w:rPr>
        <w:t>exceptions to the general approach in Topic 740, Income Taxes in order to reduce cost and complexity of its application. For public business entities, the guidance is effective for fiscal years beginning after December 15, 2020 and interim periods within those fiscal years. For nonpublic entities, the guidance is</w:t>
      </w: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0" w:name="page231"/>
    <w:bookmarkEnd w:id="230"/>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1360"/>
        <w:spacing w:after="0" w:line="242" w:lineRule="auto"/>
        <w:rPr>
          <w:sz w:val="20"/>
          <w:szCs w:val="20"/>
          <w:color w:val="auto"/>
        </w:rPr>
      </w:pPr>
      <w:r>
        <w:rPr>
          <w:rFonts w:ascii="Arial" w:cs="Arial" w:eastAsia="Arial" w:hAnsi="Arial"/>
          <w:sz w:val="17"/>
          <w:szCs w:val="17"/>
          <w:color w:val="auto"/>
        </w:rPr>
        <w:t>effective for fiscal years beginning after December 15, 2021 and interim periods within fiscal years beginning after December 15, 2022. Early adoption is permitted if financial statements have not yet been issued (for public business entities) or have not yet been made available for issuance (for all other entities). The Company adopted this ASU starting on January 1, 2021. The adoption of this ASU did not have an immediate impact to the consolidated financial statements and related disclosure.</w:t>
      </w:r>
    </w:p>
    <w:p>
      <w:pPr>
        <w:spacing w:after="0" w:line="94" w:lineRule="exact"/>
        <w:rPr>
          <w:sz w:val="20"/>
          <w:szCs w:val="20"/>
          <w:color w:val="auto"/>
        </w:rPr>
      </w:pPr>
    </w:p>
    <w:p>
      <w:pPr>
        <w:ind w:left="1260" w:right="1260" w:firstLine="360"/>
        <w:spacing w:after="0" w:line="235"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financial statements or notes thereto.</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BALANCE SHEETS COMPONENTS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 CURRENT AND LONG-TERM LIABILITIES</w:t>
      </w:r>
    </w:p>
    <w:p>
      <w:pPr>
        <w:spacing w:after="0" w:line="144" w:lineRule="exact"/>
        <w:rPr>
          <w:sz w:val="20"/>
          <w:szCs w:val="20"/>
          <w:color w:val="auto"/>
        </w:rPr>
      </w:pPr>
    </w:p>
    <w:p>
      <w:pPr>
        <w:ind w:left="1260" w:right="1500" w:firstLine="360"/>
        <w:spacing w:after="0" w:line="246" w:lineRule="auto"/>
        <w:rPr>
          <w:sz w:val="20"/>
          <w:szCs w:val="20"/>
          <w:color w:val="auto"/>
        </w:rPr>
      </w:pPr>
      <w:r>
        <w:rPr>
          <w:rFonts w:ascii="Arial" w:cs="Arial" w:eastAsia="Arial" w:hAnsi="Arial"/>
          <w:sz w:val="18"/>
          <w:szCs w:val="18"/>
          <w:color w:val="auto"/>
        </w:rPr>
        <w:t>Other current liabilities and long-term liabilities as of June 30, 2021 and December 31, 2020 were as follows (in thousands):</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r>
      <w:tr>
        <w:trPr>
          <w:trHeight w:val="186"/>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6"/>
        </w:trPr>
        <w:tc>
          <w:tcPr>
            <w:tcW w:w="6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Engineering, design, and testing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42,518</w:t>
            </w:r>
          </w:p>
        </w:tc>
      </w:tr>
      <w:tr>
        <w:trPr>
          <w:trHeight w:val="256"/>
        </w:trPr>
        <w:tc>
          <w:tcPr>
            <w:tcW w:w="6460" w:type="dxa"/>
            <w:vAlign w:val="bottom"/>
          </w:tcPr>
          <w:p>
            <w:pPr>
              <w:spacing w:after="0"/>
              <w:rPr>
                <w:sz w:val="20"/>
                <w:szCs w:val="20"/>
                <w:color w:val="auto"/>
              </w:rPr>
            </w:pPr>
            <w:r>
              <w:rPr>
                <w:rFonts w:ascii="Arial" w:cs="Arial" w:eastAsia="Arial" w:hAnsi="Arial"/>
                <w:sz w:val="18"/>
                <w:szCs w:val="18"/>
                <w:color w:val="auto"/>
              </w:rPr>
              <w:t>Construction of Arizona plant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12,227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43,115</w:t>
            </w:r>
          </w:p>
        </w:tc>
      </w:tr>
      <w:tr>
        <w:trPr>
          <w:trHeight w:val="257"/>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Retail leasehold improvements</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6,114</w:t>
            </w: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5,399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9,083</w:t>
            </w:r>
          </w:p>
        </w:tc>
      </w:tr>
      <w:tr>
        <w:trPr>
          <w:trHeight w:val="257"/>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Tooling</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15,243</w:t>
            </w:r>
          </w:p>
        </w:tc>
      </w:tr>
      <w:tr>
        <w:trPr>
          <w:trHeight w:val="256"/>
        </w:trPr>
        <w:tc>
          <w:tcPr>
            <w:tcW w:w="6460" w:type="dxa"/>
            <w:vAlign w:val="bottom"/>
          </w:tcPr>
          <w:p>
            <w:pPr>
              <w:spacing w:after="0"/>
              <w:rPr>
                <w:sz w:val="20"/>
                <w:szCs w:val="20"/>
                <w:color w:val="auto"/>
              </w:rPr>
            </w:pPr>
            <w:r>
              <w:rPr>
                <w:rFonts w:ascii="Arial" w:cs="Arial" w:eastAsia="Arial" w:hAnsi="Arial"/>
                <w:sz w:val="18"/>
                <w:szCs w:val="18"/>
                <w:color w:val="auto"/>
              </w:rPr>
              <w:t>Payroll tax liability</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32,728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B convertible preferred share repurchase liability</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Short-term insurance financing note</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8,204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980</w:t>
            </w:r>
          </w:p>
        </w:tc>
      </w:tr>
      <w:tr>
        <w:trPr>
          <w:trHeight w:val="257"/>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current portion</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11,620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63"/>
        </w:trPr>
        <w:tc>
          <w:tcPr>
            <w:tcW w:w="646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22,274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31,700</w:t>
            </w:r>
          </w:p>
        </w:tc>
      </w:tr>
      <w:tr>
        <w:trPr>
          <w:trHeight w:val="20"/>
        </w:trPr>
        <w:tc>
          <w:tcPr>
            <w:tcW w:w="64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303"/>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159,049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151,753</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521208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-1868170</wp:posOffset>
            </wp:positionV>
            <wp:extent cx="467169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182" w:lineRule="exact"/>
        <w:rPr>
          <w:sz w:val="20"/>
          <w:szCs w:val="20"/>
          <w:color w:val="auto"/>
        </w:rPr>
      </w:pPr>
    </w:p>
    <w:p>
      <w:pPr>
        <w:ind w:left="1260" w:right="1260" w:firstLine="360"/>
        <w:spacing w:after="0" w:line="231" w:lineRule="auto"/>
        <w:rPr>
          <w:sz w:val="20"/>
          <w:szCs w:val="20"/>
          <w:color w:val="auto"/>
        </w:rPr>
      </w:pPr>
      <w:r>
        <w:rPr>
          <w:rFonts w:ascii="Arial" w:cs="Arial" w:eastAsia="Arial" w:hAnsi="Arial"/>
          <w:sz w:val="18"/>
          <w:szCs w:val="18"/>
          <w:color w:val="auto"/>
        </w:rPr>
        <w:t>As of June 30, 2021, the Company accrued a non-income tax liability of $ 32.7 million as other liabilities primarily related to payroll tax associated with certain compensation related events. The Company also recorded a $27.4 million receivable from employees related to this non-income tax liability as other receivables on the condensed consolidated balance sheets as of June 30, 2021.</w:t>
      </w:r>
    </w:p>
    <w:p>
      <w:pPr>
        <w:spacing w:after="0" w:line="108" w:lineRule="exact"/>
        <w:rPr>
          <w:sz w:val="20"/>
          <w:szCs w:val="20"/>
          <w:color w:val="auto"/>
        </w:rPr>
      </w:pPr>
    </w:p>
    <w:p>
      <w:pPr>
        <w:ind w:left="1260" w:right="1340" w:firstLine="360"/>
        <w:spacing w:after="0" w:line="255" w:lineRule="auto"/>
        <w:rPr>
          <w:sz w:val="20"/>
          <w:szCs w:val="20"/>
          <w:color w:val="auto"/>
        </w:rPr>
      </w:pPr>
      <w:r>
        <w:rPr>
          <w:rFonts w:ascii="Arial" w:cs="Arial" w:eastAsia="Arial" w:hAnsi="Arial"/>
          <w:sz w:val="17"/>
          <w:szCs w:val="17"/>
          <w:color w:val="auto"/>
        </w:rPr>
        <w:t>In April 2021, the Company financed an insurance premium of $11.0 million with a bank related to three commercial insurance policies. All three insurance policies have a one year term. The Company made a down payment for the insurance premium finance note of $0.9 million, and the total interest was</w:t>
      </w:r>
    </w:p>
    <w:p>
      <w:pPr>
        <w:ind w:left="1260" w:right="1360"/>
        <w:spacing w:after="0" w:line="236" w:lineRule="auto"/>
        <w:rPr>
          <w:sz w:val="20"/>
          <w:szCs w:val="20"/>
          <w:color w:val="auto"/>
        </w:rPr>
      </w:pPr>
      <w:r>
        <w:rPr>
          <w:rFonts w:ascii="Arial" w:cs="Arial" w:eastAsia="Arial" w:hAnsi="Arial"/>
          <w:sz w:val="18"/>
          <w:szCs w:val="18"/>
          <w:color w:val="auto"/>
        </w:rPr>
        <w:t>$0.1 million, representing an annual interest of 2.65%. The Company will make 11 monthly installments of $0.9 million for principal and interest from May 2021 to March 2022. The Company recorded the total insurance premium of $11.0 million as prepaid insurance and is amortizing it on a straight-line basis over the insurance term of one year. The Company made $2.7 million of principal payments and $24.2 thousand of interest payments on the short-term insurance financing note during the three and six months ended June 30, 2021. The remaining principal balance of $8.2 million is recorded as part of the Company’s other current liabilities as of June 30,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26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$28,881</w:t>
            </w: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Customer deposits</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11,908</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8,028</w:t>
            </w:r>
          </w:p>
        </w:tc>
        <w:tc>
          <w:tcPr>
            <w:tcW w:w="1260" w:type="dxa"/>
            <w:vAlign w:val="bottom"/>
          </w:tcPr>
          <w:p>
            <w:pPr>
              <w:spacing w:after="0"/>
              <w:rPr>
                <w:sz w:val="19"/>
                <w:szCs w:val="19"/>
                <w:color w:val="auto"/>
              </w:rPr>
            </w:pPr>
          </w:p>
        </w:tc>
      </w:tr>
      <w:tr>
        <w:trPr>
          <w:trHeight w:val="229"/>
        </w:trPr>
        <w:tc>
          <w:tcPr>
            <w:tcW w:w="126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liabilities</w:t>
            </w:r>
          </w:p>
        </w:tc>
        <w:tc>
          <w:tcPr>
            <w:tcW w:w="26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1,996</w:t>
            </w:r>
          </w:p>
        </w:tc>
        <w:tc>
          <w:tcPr>
            <w:tcW w:w="1260" w:type="dxa"/>
            <w:vAlign w:val="bottom"/>
          </w:tcPr>
          <w:p>
            <w:pPr>
              <w:spacing w:after="0"/>
              <w:rPr>
                <w:sz w:val="19"/>
                <w:szCs w:val="19"/>
                <w:color w:val="auto"/>
              </w:rPr>
            </w:pPr>
          </w:p>
        </w:tc>
      </w:tr>
      <w:tr>
        <w:trPr>
          <w:trHeight w:val="263"/>
        </w:trPr>
        <w:tc>
          <w:tcPr>
            <w:tcW w:w="1260" w:type="dxa"/>
            <w:vAlign w:val="bottom"/>
          </w:tcPr>
          <w:p>
            <w:pPr>
              <w:spacing w:after="0"/>
              <w:rPr>
                <w:sz w:val="22"/>
                <w:szCs w:val="22"/>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8"/>
              </w:rPr>
              <w:t>Operating leases liabilities, net of current portion</w:t>
            </w:r>
          </w:p>
        </w:tc>
        <w:tc>
          <w:tcPr>
            <w:tcW w:w="2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152,639</w:t>
            </w:r>
          </w:p>
        </w:tc>
        <w:tc>
          <w:tcPr>
            <w:tcW w:w="12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2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3"/>
        </w:trPr>
        <w:tc>
          <w:tcPr>
            <w:tcW w:w="1260" w:type="dxa"/>
            <w:vAlign w:val="bottom"/>
          </w:tcPr>
          <w:p>
            <w:pPr>
              <w:spacing w:after="0"/>
              <w:rPr>
                <w:sz w:val="24"/>
                <w:szCs w:val="2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other long-term liabilities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164,547</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$38,905</w:t>
            </w:r>
          </w:p>
        </w:tc>
        <w:tc>
          <w:tcPr>
            <w:tcW w:w="126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81"/>
        </w:trPr>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740" w:type="dxa"/>
            <w:vAlign w:val="bottom"/>
            <w:gridSpan w:val="2"/>
          </w:tcPr>
          <w:p>
            <w:pPr>
              <w:jc w:val="right"/>
              <w:ind w:right="2228"/>
              <w:spacing w:after="0"/>
              <w:rPr>
                <w:sz w:val="20"/>
                <w:szCs w:val="20"/>
                <w:color w:val="auto"/>
              </w:rPr>
            </w:pPr>
            <w:r>
              <w:rPr>
                <w:rFonts w:ascii="Arial" w:cs="Arial" w:eastAsia="Arial" w:hAnsi="Arial"/>
                <w:sz w:val="18"/>
                <w:szCs w:val="18"/>
                <w:color w:val="auto"/>
              </w:rPr>
              <w:t>F-48</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-873760</wp:posOffset>
            </wp:positionV>
            <wp:extent cx="521208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-1490980</wp:posOffset>
            </wp:positionV>
            <wp:extent cx="467169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67169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31" w:name="page232"/>
    <w:bookmarkEnd w:id="231"/>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PROPERTY, PLANT, AND EQUIPMENT, NET</w:t>
      </w:r>
    </w:p>
    <w:p>
      <w:pPr>
        <w:spacing w:after="0" w:line="144"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Property, plant, and equipment as of June 30, 2021 and December 31, 2020 were as follows (in thousands):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5"/>
              </w:rPr>
              <w:t>December 31,</w:t>
            </w:r>
          </w:p>
        </w:tc>
      </w:tr>
      <w:tr>
        <w:trPr>
          <w:trHeight w:val="186"/>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6"/>
        </w:trPr>
        <w:tc>
          <w:tcPr>
            <w:tcW w:w="6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21"/>
                <w:szCs w:val="21"/>
                <w:color w:val="auto"/>
              </w:rPr>
            </w:pPr>
          </w:p>
        </w:tc>
      </w:tr>
      <w:tr>
        <w:trPr>
          <w:trHeight w:val="256"/>
        </w:trPr>
        <w:tc>
          <w:tcPr>
            <w:tcW w:w="646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189,466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35,847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28,830</w:t>
            </w: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20,755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15,716</w:t>
            </w:r>
          </w:p>
        </w:tc>
      </w:tr>
      <w:tr>
        <w:trPr>
          <w:trHeight w:val="257"/>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72,521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47,187</w:t>
            </w:r>
          </w:p>
        </w:tc>
      </w:tr>
      <w:tr>
        <w:trPr>
          <w:trHeight w:val="256"/>
        </w:trPr>
        <w:tc>
          <w:tcPr>
            <w:tcW w:w="64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7,256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4,503</w:t>
            </w:r>
          </w:p>
        </w:tc>
        <w:tc>
          <w:tcPr>
            <w:tcW w:w="80" w:type="dxa"/>
            <w:vAlign w:val="bottom"/>
          </w:tcPr>
          <w:p>
            <w:pPr>
              <w:spacing w:after="0"/>
              <w:rPr>
                <w:sz w:val="22"/>
                <w:szCs w:val="22"/>
                <w:color w:val="auto"/>
              </w:rPr>
            </w:pPr>
          </w:p>
        </w:tc>
      </w:tr>
      <w:tr>
        <w:trPr>
          <w:trHeight w:val="257"/>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80" w:type="dxa"/>
            <w:vAlign w:val="bottom"/>
            <w:shd w:val="clear" w:color="auto" w:fill="CCEEFF"/>
          </w:tcPr>
          <w:p>
            <w:pPr>
              <w:spacing w:after="0"/>
              <w:rPr>
                <w:sz w:val="22"/>
                <w:szCs w:val="22"/>
                <w:color w:val="auto"/>
              </w:rPr>
            </w:pP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Finance leases</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7,674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63"/>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588,057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636,851</w:t>
            </w:r>
          </w:p>
        </w:tc>
        <w:tc>
          <w:tcPr>
            <w:tcW w:w="80" w:type="dxa"/>
            <w:vAlign w:val="bottom"/>
            <w:shd w:val="clear" w:color="auto" w:fill="CCEEFF"/>
          </w:tcPr>
          <w:p>
            <w:pPr>
              <w:spacing w:after="0"/>
              <w:rPr>
                <w:sz w:val="22"/>
                <w:szCs w:val="22"/>
                <w:color w:val="auto"/>
              </w:rPr>
            </w:pPr>
          </w:p>
        </w:tc>
      </w:tr>
      <w:tr>
        <w:trPr>
          <w:trHeight w:val="20"/>
        </w:trPr>
        <w:tc>
          <w:tcPr>
            <w:tcW w:w="64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7"/>
        </w:trPr>
        <w:tc>
          <w:tcPr>
            <w:tcW w:w="6460" w:type="dxa"/>
            <w:vAlign w:val="bottom"/>
          </w:tcPr>
          <w:p>
            <w:pPr>
              <w:ind w:left="180"/>
              <w:spacing w:after="0"/>
              <w:rPr>
                <w:sz w:val="20"/>
                <w:szCs w:val="20"/>
                <w:color w:val="auto"/>
              </w:rPr>
            </w:pPr>
            <w:r>
              <w:rPr>
                <w:rFonts w:ascii="Arial" w:cs="Arial" w:eastAsia="Arial" w:hAnsi="Arial"/>
                <w:sz w:val="18"/>
                <w:szCs w:val="18"/>
                <w:color w:val="auto"/>
              </w:rPr>
              <w:t>Total property, plant, and equipment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922,626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738,045</w:t>
            </w:r>
          </w:p>
        </w:tc>
        <w:tc>
          <w:tcPr>
            <w:tcW w:w="80" w:type="dxa"/>
            <w:vAlign w:val="bottom"/>
          </w:tcPr>
          <w:p>
            <w:pPr>
              <w:spacing w:after="0"/>
              <w:rPr>
                <w:sz w:val="22"/>
                <w:szCs w:val="22"/>
                <w:color w:val="auto"/>
              </w:rPr>
            </w:pPr>
          </w:p>
        </w:tc>
      </w:tr>
      <w:tr>
        <w:trPr>
          <w:trHeight w:val="263"/>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(34,852)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(24,771)</w:t>
            </w:r>
          </w:p>
        </w:tc>
      </w:tr>
      <w:tr>
        <w:trPr>
          <w:trHeight w:val="20"/>
        </w:trPr>
        <w:tc>
          <w:tcPr>
            <w:tcW w:w="64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70"/>
        </w:trPr>
        <w:tc>
          <w:tcPr>
            <w:tcW w:w="646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887,774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713,274</w:t>
            </w:r>
          </w:p>
        </w:tc>
        <w:tc>
          <w:tcPr>
            <w:tcW w:w="80" w:type="dxa"/>
            <w:vAlign w:val="bottom"/>
          </w:tcPr>
          <w:p>
            <w:pPr>
              <w:spacing w:after="0"/>
              <w:rPr>
                <w:sz w:val="23"/>
                <w:szCs w:val="23"/>
                <w:color w:val="auto"/>
              </w:rPr>
            </w:pPr>
          </w:p>
        </w:tc>
      </w:tr>
      <w:tr>
        <w:trPr>
          <w:trHeight w:val="21"/>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-2039620</wp:posOffset>
            </wp:positionV>
            <wp:extent cx="467169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09"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r>
      <w:tr>
        <w:trPr>
          <w:trHeight w:val="186"/>
        </w:trPr>
        <w:tc>
          <w:tcPr>
            <w:tcW w:w="6460" w:type="dxa"/>
            <w:vAlign w:val="bottom"/>
          </w:tcPr>
          <w:p>
            <w:pPr>
              <w:spacing w:after="0"/>
              <w:rPr>
                <w:sz w:val="16"/>
                <w:szCs w:val="16"/>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5"/>
        </w:trPr>
        <w:tc>
          <w:tcPr>
            <w:tcW w:w="64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Tooling</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$277,512</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$203,241</w:t>
            </w:r>
          </w:p>
        </w:tc>
      </w:tr>
      <w:tr>
        <w:trPr>
          <w:trHeight w:val="256"/>
        </w:trPr>
        <w:tc>
          <w:tcPr>
            <w:tcW w:w="6460" w:type="dxa"/>
            <w:vAlign w:val="bottom"/>
          </w:tcPr>
          <w:p>
            <w:pPr>
              <w:spacing w:after="0"/>
              <w:rPr>
                <w:sz w:val="20"/>
                <w:szCs w:val="20"/>
                <w:color w:val="auto"/>
              </w:rPr>
            </w:pPr>
            <w:r>
              <w:rPr>
                <w:rFonts w:ascii="Arial" w:cs="Arial" w:eastAsia="Arial" w:hAnsi="Arial"/>
                <w:sz w:val="18"/>
                <w:szCs w:val="18"/>
                <w:color w:val="auto"/>
              </w:rPr>
              <w:t>Construction of Arizona plant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4,701</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171,532</w:t>
            </w:r>
          </w:p>
        </w:tc>
      </w:tr>
      <w:tr>
        <w:trPr>
          <w:trHeight w:val="257"/>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59,478</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50,790</w:t>
            </w:r>
          </w:p>
        </w:tc>
      </w:tr>
      <w:tr>
        <w:trPr>
          <w:trHeight w:val="263"/>
        </w:trPr>
        <w:tc>
          <w:tcPr>
            <w:tcW w:w="64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246,366</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211,288</w:t>
            </w:r>
          </w:p>
        </w:tc>
      </w:tr>
      <w:tr>
        <w:trPr>
          <w:trHeight w:val="20"/>
        </w:trPr>
        <w:tc>
          <w:tcPr>
            <w:tcW w:w="64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90"/>
        </w:trPr>
        <w:tc>
          <w:tcPr>
            <w:tcW w:w="6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construction in progress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$588,057</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$636,851</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-882015</wp:posOffset>
            </wp:positionV>
            <wp:extent cx="467169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09"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Depreciation and amortization expense for the three months ended June 30, 2021 and 2020, was approximately $6.8 million and $1.8 million, respectively, and for the six months ended June 30, 2021 and 2020, was approximately $11.7 million and $3.3 million, respectively.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FAIR VALUE MEASUREMENTS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The accounting standard established a fair value hierarchy, which requires an entity to maximize the use of observable inputs, where available. This hierarchy prioritizes the inputs into three broad levels as follows:</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2" w:name="page233"/>
    <w:bookmarkEnd w:id="232"/>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19" w:hanging="180"/>
        <w:spacing w:after="0" w:line="277" w:lineRule="auto"/>
        <w:tabs>
          <w:tab w:leader="none" w:pos="180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 </w:t>
      </w:r>
      <w:r>
        <w:rPr>
          <w:rFonts w:ascii="Arial" w:cs="Arial" w:eastAsia="Arial" w:hAnsi="Arial"/>
          <w:sz w:val="18"/>
          <w:szCs w:val="18"/>
          <w:color w:val="auto"/>
        </w:rPr>
        <w:t>Quoted prices (unadjusted) in active markets that are accessible at the measurement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identical assets or liabilities.</w:t>
      </w:r>
    </w:p>
    <w:p>
      <w:pPr>
        <w:spacing w:after="0" w:line="75"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2 — </w:t>
      </w:r>
      <w:r>
        <w:rPr>
          <w:rFonts w:ascii="Arial" w:cs="Arial" w:eastAsia="Arial" w:hAnsi="Arial"/>
          <w:sz w:val="18"/>
          <w:szCs w:val="18"/>
          <w:color w:val="auto"/>
        </w:rPr>
        <w:t>Observable inputs other than quoted prices in active markets for identical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quoted prices for identical or similar assets or liabilities in inactive markets, or other inputs that are observable or can be corroborated by observable market data for substantially the full term of the assets or liabilities.</w:t>
      </w:r>
    </w:p>
    <w:p>
      <w:pPr>
        <w:spacing w:after="0" w:line="105" w:lineRule="exact"/>
        <w:rPr>
          <w:rFonts w:ascii="Arial" w:cs="Arial" w:eastAsia="Arial" w:hAnsi="Arial"/>
          <w:sz w:val="18"/>
          <w:szCs w:val="18"/>
          <w:color w:val="auto"/>
        </w:rPr>
      </w:pPr>
    </w:p>
    <w:p>
      <w:pPr>
        <w:ind w:left="1800" w:right="679" w:hanging="180"/>
        <w:spacing w:after="0" w:line="257" w:lineRule="auto"/>
        <w:tabs>
          <w:tab w:leader="none" w:pos="180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 </w:t>
      </w:r>
      <w:r>
        <w:rPr>
          <w:rFonts w:ascii="Arial" w:cs="Arial" w:eastAsia="Arial" w:hAnsi="Arial"/>
          <w:sz w:val="18"/>
          <w:szCs w:val="18"/>
          <w:color w:val="auto"/>
        </w:rPr>
        <w:t>Inputs that are generally unobservable and typically reflect management’s estimates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assumptions that market participants would use in pricing the asset or liability. Factors used to develop the estimated fair value are unobservable inputs that are not supported by market activity. The sensitivity of the fair value measurement to changes in unobservable inputs might result in a significantly higher or lower measurement.</w:t>
      </w:r>
    </w:p>
    <w:p>
      <w:pPr>
        <w:spacing w:after="0" w:line="107"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Level 1 investments consist solely of short-term and long-term restricted cash valued at amortized cost that approximates fair value. Level 2 investments consist solely of certificate of deposits. Level 3 liabilities consist of convertible preferred share warrant liability, in which the fair value was measured upon issuance and is remeasured at each reporting date. The valuation methodology and underlying assumptions are discussed further in Note 5 “Contingent Forward Contracts” and Note 6 “Convertible Preferred Share Warrant Liability”.</w:t>
      </w:r>
    </w:p>
    <w:p>
      <w:pPr>
        <w:spacing w:after="0" w:line="125" w:lineRule="exact"/>
        <w:rPr>
          <w:sz w:val="20"/>
          <w:szCs w:val="20"/>
          <w:color w:val="auto"/>
        </w:rPr>
      </w:pPr>
    </w:p>
    <w:p>
      <w:pPr>
        <w:ind w:left="1260" w:right="599" w:firstLine="360"/>
        <w:spacing w:after="0" w:line="308" w:lineRule="auto"/>
        <w:rPr>
          <w:sz w:val="20"/>
          <w:szCs w:val="20"/>
          <w:color w:val="auto"/>
        </w:rPr>
      </w:pPr>
      <w:r>
        <w:rPr>
          <w:rFonts w:ascii="Arial" w:cs="Arial" w:eastAsia="Arial" w:hAnsi="Arial"/>
          <w:sz w:val="17"/>
          <w:szCs w:val="17"/>
          <w:color w:val="auto"/>
        </w:rPr>
        <w:t>The following table sets forth the Company’s financial assets subject to fair value measurements on a recurring basis by level within the fair value hierarchy as of June 30, 2021 (in thousands):</w:t>
      </w:r>
    </w:p>
    <w:p>
      <w:pPr>
        <w:spacing w:after="0" w:line="8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4"/>
              </w:rPr>
              <w:t>Level 3</w:t>
            </w:r>
          </w:p>
        </w:tc>
        <w:tc>
          <w:tcPr>
            <w:tcW w:w="100" w:type="dxa"/>
            <w:vAlign w:val="bottom"/>
          </w:tcPr>
          <w:p>
            <w:pPr>
              <w:spacing w:after="0"/>
              <w:rPr>
                <w:sz w:val="16"/>
                <w:szCs w:val="16"/>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w w:val="95"/>
              </w:rPr>
              <w:t>Total</w:t>
            </w:r>
          </w:p>
        </w:tc>
      </w:tr>
      <w:tr>
        <w:trPr>
          <w:trHeight w:val="26"/>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5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56"/>
        </w:trPr>
        <w:tc>
          <w:tcPr>
            <w:tcW w:w="5480" w:type="dxa"/>
            <w:vAlign w:val="bottom"/>
          </w:tcPr>
          <w:p>
            <w:pPr>
              <w:spacing w:after="0"/>
              <w:rPr>
                <w:sz w:val="20"/>
                <w:szCs w:val="20"/>
                <w:color w:val="auto"/>
              </w:rPr>
            </w:pPr>
            <w:r>
              <w:rPr>
                <w:rFonts w:ascii="Arial" w:cs="Arial" w:eastAsia="Arial" w:hAnsi="Arial"/>
                <w:sz w:val="18"/>
                <w:szCs w:val="18"/>
                <w:color w:val="auto"/>
              </w:rPr>
              <w:t>Short-term investment –</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6"/>
        </w:trPr>
        <w:tc>
          <w:tcPr>
            <w:tcW w:w="5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$505</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63"/>
        </w:trPr>
        <w:tc>
          <w:tcPr>
            <w:tcW w:w="54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34,267</w:t>
            </w:r>
          </w:p>
        </w:tc>
        <w:tc>
          <w:tcPr>
            <w:tcW w:w="2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34,267</w:t>
            </w:r>
          </w:p>
        </w:tc>
      </w:tr>
      <w:tr>
        <w:trPr>
          <w:trHeight w:val="20"/>
        </w:trPr>
        <w:tc>
          <w:tcPr>
            <w:tcW w:w="54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90"/>
        </w:trPr>
        <w:tc>
          <w:tcPr>
            <w:tcW w:w="5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34,267</w:t>
            </w:r>
          </w:p>
        </w:tc>
        <w:tc>
          <w:tcPr>
            <w:tcW w:w="260" w:type="dxa"/>
            <w:vAlign w:val="bottom"/>
            <w:tcBorders>
              <w:right w:val="single" w:sz="8" w:color="CCEEFF"/>
            </w:tcBorders>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$505</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34,772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8348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-882015</wp:posOffset>
            </wp:positionV>
            <wp:extent cx="482600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22"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The following table sets forth the Company’s financial assets and liabilities subject to fair value measurements on a recurring basis by level within the fair value hierarchy as of December 31, 2020 (in thousands):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6"/>
                <w:szCs w:val="16"/>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5"/>
        </w:trPr>
        <w:tc>
          <w:tcPr>
            <w:tcW w:w="5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Arial" w:cs="Arial" w:eastAsia="Arial" w:hAnsi="Arial"/>
                <w:sz w:val="18"/>
                <w:szCs w:val="18"/>
                <w:color w:val="auto"/>
              </w:rPr>
              <w:t>Short-term investment –</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505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63"/>
        </w:trPr>
        <w:tc>
          <w:tcPr>
            <w:tcW w:w="540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26,006</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26,006</w:t>
            </w:r>
          </w:p>
        </w:tc>
        <w:tc>
          <w:tcPr>
            <w:tcW w:w="0" w:type="dxa"/>
            <w:vAlign w:val="bottom"/>
          </w:tcPr>
          <w:p>
            <w:pPr>
              <w:spacing w:after="0"/>
              <w:rPr>
                <w:sz w:val="1"/>
                <w:szCs w:val="1"/>
                <w:color w:val="auto"/>
              </w:rPr>
            </w:pPr>
          </w:p>
        </w:tc>
      </w:tr>
      <w:tr>
        <w:trPr>
          <w:trHeight w:val="20"/>
        </w:trPr>
        <w:tc>
          <w:tcPr>
            <w:tcW w:w="5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26,006</w:t>
            </w:r>
          </w:p>
        </w:tc>
        <w:tc>
          <w:tcPr>
            <w:tcW w:w="2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505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26,511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share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2,960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0"/>
        </w:trPr>
        <w:tc>
          <w:tcPr>
            <w:tcW w:w="5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2,960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-736600</wp:posOffset>
            </wp:positionV>
            <wp:extent cx="14605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-736600</wp:posOffset>
            </wp:positionV>
            <wp:extent cx="437197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-1405255</wp:posOffset>
            </wp:positionV>
            <wp:extent cx="13716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-1405255</wp:posOffset>
            </wp:positionV>
            <wp:extent cx="436308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3" w:name="page234"/>
    <w:bookmarkEnd w:id="233"/>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A reconciliation of the contingent forward contract liability measured and recorded at fair value on a recurring basis is as follows (in thousands):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6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6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26"/>
        </w:trPr>
        <w:tc>
          <w:tcPr>
            <w:tcW w:w="64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30,844</w:t>
            </w:r>
          </w:p>
        </w:tc>
        <w:tc>
          <w:tcPr>
            <w:tcW w:w="60" w:type="dxa"/>
            <w:vAlign w:val="bottom"/>
          </w:tcPr>
          <w:p>
            <w:pPr>
              <w:spacing w:after="0"/>
              <w:rPr>
                <w:sz w:val="21"/>
                <w:szCs w:val="21"/>
                <w:color w:val="auto"/>
              </w:rPr>
            </w:pPr>
          </w:p>
        </w:tc>
      </w:tr>
      <w:tr>
        <w:trPr>
          <w:trHeight w:val="257"/>
        </w:trPr>
        <w:tc>
          <w:tcPr>
            <w:tcW w:w="6440" w:type="dxa"/>
            <w:vAlign w:val="bottom"/>
            <w:gridSpan w:val="2"/>
          </w:tcPr>
          <w:p>
            <w:pPr>
              <w:ind w:left="180"/>
              <w:spacing w:after="0"/>
              <w:rPr>
                <w:sz w:val="20"/>
                <w:szCs w:val="20"/>
                <w:color w:val="auto"/>
              </w:rPr>
            </w:pPr>
            <w:r>
              <w:rPr>
                <w:rFonts w:ascii="Arial" w:cs="Arial" w:eastAsia="Arial" w:hAnsi="Arial"/>
                <w:sz w:val="18"/>
                <w:szCs w:val="18"/>
                <w:color w:val="auto"/>
              </w:rPr>
              <w:t>Issuance</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2,167,332</w:t>
            </w:r>
          </w:p>
        </w:tc>
        <w:tc>
          <w:tcPr>
            <w:tcW w:w="100" w:type="dxa"/>
            <w:vAlign w:val="bottom"/>
          </w:tcPr>
          <w:p>
            <w:pPr>
              <w:spacing w:after="0"/>
              <w:rPr>
                <w:sz w:val="22"/>
                <w:szCs w:val="2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6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454,546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60" w:type="dxa"/>
            <w:vAlign w:val="bottom"/>
          </w:tcPr>
          <w:p>
            <w:pPr>
              <w:spacing w:after="0"/>
              <w:rPr>
                <w:sz w:val="22"/>
                <w:szCs w:val="22"/>
                <w:color w:val="auto"/>
              </w:rPr>
            </w:pPr>
          </w:p>
        </w:tc>
      </w:tr>
      <w:tr>
        <w:trPr>
          <w:trHeight w:val="264"/>
        </w:trPr>
        <w:tc>
          <w:tcPr>
            <w:tcW w:w="6440" w:type="dxa"/>
            <w:vAlign w:val="bottom"/>
            <w:gridSpan w:val="2"/>
          </w:tcPr>
          <w:p>
            <w:pPr>
              <w:ind w:left="180"/>
              <w:spacing w:after="0"/>
              <w:rPr>
                <w:sz w:val="20"/>
                <w:szCs w:val="20"/>
                <w:color w:val="auto"/>
              </w:rPr>
            </w:pPr>
            <w:r>
              <w:rPr>
                <w:rFonts w:ascii="Arial" w:cs="Arial" w:eastAsia="Arial" w:hAnsi="Arial"/>
                <w:sz w:val="18"/>
                <w:szCs w:val="18"/>
                <w:color w:val="auto"/>
              </w:rPr>
              <w:t>Settlement</w:t>
            </w:r>
          </w:p>
        </w:tc>
        <w:tc>
          <w:tcPr>
            <w:tcW w:w="10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(2,621,878)</w:t>
            </w: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(39,563)</w:t>
            </w:r>
          </w:p>
        </w:tc>
      </w:tr>
      <w:tr>
        <w:trPr>
          <w:trHeight w:val="295"/>
        </w:trPr>
        <w:tc>
          <w:tcPr>
            <w:tcW w:w="6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79171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4791710" cy="88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-882015</wp:posOffset>
            </wp:positionV>
            <wp:extent cx="13716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-882015</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A reconciliation of the convertible preferred share warrant liabilities measured and recorded at fair value on a recurring basis is as follows (in thousands):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6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June 30,</w:t>
            </w:r>
          </w:p>
        </w:tc>
      </w:tr>
      <w:tr>
        <w:trPr>
          <w:trHeight w:val="26"/>
        </w:trPr>
        <w:tc>
          <w:tcPr>
            <w:tcW w:w="6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8"/>
        </w:trPr>
        <w:tc>
          <w:tcPr>
            <w:tcW w:w="6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7"/>
                <w:szCs w:val="17"/>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2020</w:t>
            </w:r>
          </w:p>
        </w:tc>
      </w:tr>
      <w:tr>
        <w:trPr>
          <w:trHeight w:val="26"/>
        </w:trPr>
        <w:tc>
          <w:tcPr>
            <w:tcW w:w="69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2,960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$1,755</w:t>
            </w:r>
          </w:p>
        </w:tc>
      </w:tr>
      <w:tr>
        <w:trPr>
          <w:trHeight w:val="256"/>
        </w:trPr>
        <w:tc>
          <w:tcPr>
            <w:tcW w:w="6920" w:type="dxa"/>
            <w:vAlign w:val="bottom"/>
            <w:gridSpan w:val="2"/>
          </w:tcPr>
          <w:p>
            <w:pPr>
              <w:ind w:left="180"/>
              <w:spacing w:after="0"/>
              <w:rPr>
                <w:sz w:val="20"/>
                <w:szCs w:val="20"/>
                <w:color w:val="auto"/>
              </w:rPr>
            </w:pPr>
            <w:r>
              <w:rPr>
                <w:rFonts w:ascii="Arial" w:cs="Arial" w:eastAsia="Arial" w:hAnsi="Arial"/>
                <w:sz w:val="18"/>
                <w:szCs w:val="18"/>
                <w:color w:val="auto"/>
              </w:rPr>
              <w:t>Change in fair value</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6,976</w:t>
            </w:r>
          </w:p>
        </w:tc>
        <w:tc>
          <w:tcPr>
            <w:tcW w:w="5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64"/>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(9,936)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9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Fair value-end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23"/>
                <w:szCs w:val="2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$1,869</w:t>
            </w: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-719455</wp:posOffset>
            </wp:positionV>
            <wp:extent cx="13716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-719455</wp:posOffset>
            </wp:positionV>
            <wp:extent cx="6858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CONTINGENT FORWARD CONTRACTS</w:t>
      </w:r>
    </w:p>
    <w:p>
      <w:pPr>
        <w:spacing w:after="0" w:line="14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In September 2018, the Company entered into a Securities Purchase Agreement with PIF. Along with the execution of the Securities Purchase Agreement, the Company granted PIF the right to purchase the Company’s Series D convertible preferred shares in future periods. The Company determined PIF’s right to participate in future Series D convertible preferred shares financing to be freestanding similar to a derivative in the form of contingent forward contracts and recorded the initial valuation of $18.6 million as a debt discount to the Convertible Notes issued in September 2018.</w:t>
      </w:r>
    </w:p>
    <w:p>
      <w:pPr>
        <w:spacing w:after="0" w:line="125"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In March 2020, the Company received $200.0 million in exchange for 31,201,245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 liability into Series D convertible preferred shares. In June 2020, upon satisfaction of the second set of milestones (refer to Note 7 “Convertible Preferred Shares and Shareholders’ Deficit”), the Company received the remaining $200.0 million in exchange for 31,201,256 shares of Series D convertible preferred shares as final settlement of the Series D contingent forward contract liability and revalued the contingent forward contracts liability to the then fair value of $39.6 million and reclassified the liability into Series D convertible preferred shares. The Series D contingent forward contract liability incurred a total fair value loss of $3.2 million and $8.7 million during the three and six months ended June 30, 2020. Since the Series D contingent forward contract liability was fully settled in June 2020, there was no related outstanding contingent forward contract liability as of June 30, 2020.</w:t>
      </w:r>
    </w:p>
    <w:p>
      <w:pPr>
        <w:spacing w:after="0" w:line="131"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As discussed in Note 7 “Convertible Preferred Shares and Shareholders’ Deficit”, in September 2020, along with the execution of the Securities Purchase Agreement, the Company granted Ayar Third Investment Company (“Ayar”) the right to purchase the Company’s additional Series E convertible preferred shares upon the Company’s satisfaction of certain milestones in November 2020. The Company determined Ayar’s right to participate in future Series E convertible preferred shares financing to be freestanding similar to a derivative in the form of contingent forward contracts and recorded the initial valuation of $0.8 million into contingent forward contract liabilities.</w:t>
      </w:r>
    </w:p>
    <w:p>
      <w:pPr>
        <w:spacing w:after="0" w:line="114" w:lineRule="exact"/>
        <w:rPr>
          <w:sz w:val="20"/>
          <w:szCs w:val="20"/>
          <w:color w:val="auto"/>
        </w:rPr>
      </w:pPr>
    </w:p>
    <w:p>
      <w:pPr>
        <w:ind w:left="1260" w:right="599" w:firstLine="360"/>
        <w:spacing w:after="0" w:line="308" w:lineRule="auto"/>
        <w:rPr>
          <w:sz w:val="20"/>
          <w:szCs w:val="20"/>
          <w:color w:val="auto"/>
        </w:rPr>
      </w:pPr>
      <w:r>
        <w:rPr>
          <w:rFonts w:ascii="Arial" w:cs="Arial" w:eastAsia="Arial" w:hAnsi="Arial"/>
          <w:sz w:val="17"/>
          <w:szCs w:val="17"/>
          <w:color w:val="auto"/>
        </w:rPr>
        <w:t>In December 2020, Ayar waived the Company’s remaining outstanding obligations, and the Company received $400.0 million for the issuance of Series E convertible preferred shares. Upon settlement, the</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4" w:name="page235"/>
    <w:bookmarkEnd w:id="234"/>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43" w:lineRule="auto"/>
        <w:rPr>
          <w:sz w:val="20"/>
          <w:szCs w:val="20"/>
          <w:color w:val="auto"/>
        </w:rPr>
      </w:pPr>
      <w:r>
        <w:rPr>
          <w:rFonts w:ascii="Arial" w:cs="Arial" w:eastAsia="Arial" w:hAnsi="Arial"/>
          <w:sz w:val="18"/>
          <w:szCs w:val="18"/>
          <w:color w:val="auto"/>
        </w:rPr>
        <w:t>Company revalued the Series E contingent forward contracts to the then fair value of $110.5 million and reclassified the contingent forward contract liability into Series E convertible preferred shares. The Company recorded a loss of $109.7 million related to fair value remeasurements of the Series E contingent forward contracts during the year ended December 31, 2020.</w:t>
      </w:r>
    </w:p>
    <w:p>
      <w:pPr>
        <w:spacing w:after="0" w:line="107"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In February 2021, the Company and Ayar entered into Amendment No. 1 to the original Series E Preferred Share Purchase Agreement (“Amendment No. 1”). Under the Amendment No. 1, Ayar and the Company agreed to enter into the third closing of additional 50,612,262 Series E convertible preferred share at $7.90 per share, aggregating to $400.0 million. Upon the signing of the Amendment No. 1, the Company received the issuance proceeds of $400.0 million from Ayar in February 2021.</w:t>
      </w:r>
    </w:p>
    <w:p>
      <w:pPr>
        <w:spacing w:after="0" w:line="122"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Amendment No. 1 also allowed the Company to provide an opportunity to all current convertible preferred shareholders other than Ayar (“Eligible Holders”) to enter into the fourth closing to purchase up to 8,977,769 shares of Series E convertible preferred shares on a pro rata basis at $7.90 per share, aggregating to $71.0 million. In addition, the amendment allowed the Company to offer for purchase at the fourth closing at $7.90 per share, a number of Series E Preferred Shares to senior management employees, directors, consultants, advisors and/or contractors of the Company (“Additional Purchaser”) and Ayar. Refer to Note 7 “Convertible Preferred Share and Shareholders’ Deficit”.</w:t>
      </w:r>
    </w:p>
    <w:p>
      <w:pPr>
        <w:spacing w:after="0" w:line="123"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In April 2021, the Company issued 25,306,130 Series E convertible preferred shares from the fourth closing at $7.90 per share for cash consideration of $ 200.0 million. The Company received $107.1 million of the total issuance proceeds in March 2021 and the remaining $92.9 million in April 2021 (refer to Note 7 “Convertible Preferred Shares and Shareholders’ Deficit”).</w:t>
      </w:r>
    </w:p>
    <w:p>
      <w:pPr>
        <w:spacing w:after="0" w:line="107"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The Company determined the right to participate in future Series E convertible preferred share financing to be a freestanding financial instrument similar to a derivative in the form of contingent forward contracts and recorded the initial valuation of $1.4 billion and $722.4 million for the third closing and fourth closing, respectively, as contingent forward contract liabilities. Since the contingent forward contract liability related to the third closing was fully settled in the same month following the execution of the amendment, the Company recorded no related fair value remeasurements in the consolidated statements of operations.</w:t>
      </w:r>
    </w:p>
    <w:p>
      <w:pPr>
        <w:spacing w:after="0" w:line="12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The Company issued Offer Notices to certain of the Company’s management and members of the Board of Directors in March 2021 and April 2021. The Series E convertible preferred shares issued from the fourth closing included 1,147,577 shares to the Company’s management and 627,347 shares to members of the Board of Directors. The total issuance to the Company’s management includes 202,449 shares offered to the CEO in April 2021. The offer to employees in the fourth closing to participate in future Series E convertible preferred shares financing represent a fully vested, equity classified award. The award’s full fair value on each recipient’s grant date was recorded as share-based compensation, and the related contingent forward contract liability was derecognized. The Company revalued the contingent forward contract liability for the remaining participants and recorded $12.4 million and $ 454.5 million fair value remeasurement loss related to the contingent forward contract liability for the three and six months ended June 30, 2021, respectively. Final fair value of the contingent forward contract liability of $1.2 billion was reclassified into Series E convertible preferred shares upon the fourth closing in April 2021. There was no related outstanding contingent forward contract liability as of June 30, 2021.</w:t>
      </w:r>
    </w:p>
    <w:p>
      <w:pPr>
        <w:spacing w:after="0" w:line="113"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The fair value of the Series E convertible preferred share contingent forward contract liability for the third closing was determined using Forward Payoff. The Company’s inputs used in determining the fair value on the issuance date and settlement date, were as follows:</w:t>
      </w:r>
    </w:p>
    <w:p>
      <w:pPr>
        <w:spacing w:after="0" w:line="13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Volatility</w:t>
            </w:r>
          </w:p>
        </w:tc>
        <w:tc>
          <w:tcPr>
            <w:tcW w:w="36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 Years</w:t>
            </w:r>
          </w:p>
        </w:tc>
      </w:tr>
      <w:tr>
        <w:trPr>
          <w:trHeight w:val="270"/>
        </w:trPr>
        <w:tc>
          <w:tcPr>
            <w:tcW w:w="3880" w:type="dxa"/>
            <w:vAlign w:val="bottom"/>
          </w:tcPr>
          <w:p>
            <w:pPr>
              <w:spacing w:after="0"/>
              <w:rPr>
                <w:sz w:val="20"/>
                <w:szCs w:val="20"/>
                <w:color w:val="auto"/>
              </w:rPr>
            </w:pPr>
            <w:r>
              <w:rPr>
                <w:rFonts w:ascii="Arial" w:cs="Arial" w:eastAsia="Arial" w:hAnsi="Arial"/>
                <w:sz w:val="18"/>
                <w:szCs w:val="18"/>
                <w:color w:val="auto"/>
              </w:rPr>
              <w:t>Risk-free rate</w:t>
            </w:r>
          </w:p>
        </w:tc>
        <w:tc>
          <w:tcPr>
            <w:tcW w:w="3600" w:type="dxa"/>
            <w:vAlign w:val="bottom"/>
          </w:tcPr>
          <w:p>
            <w:pPr>
              <w:jc w:val="right"/>
              <w:spacing w:after="0"/>
              <w:rPr>
                <w:sz w:val="20"/>
                <w:szCs w:val="20"/>
                <w:color w:val="auto"/>
              </w:rPr>
            </w:pPr>
            <w:r>
              <w:rPr>
                <w:rFonts w:ascii="Arial" w:cs="Arial" w:eastAsia="Arial" w:hAnsi="Arial"/>
                <w:sz w:val="18"/>
                <w:szCs w:val="18"/>
                <w:color w:val="auto"/>
              </w:rPr>
              <w:t>0.03%</w:t>
            </w:r>
          </w:p>
        </w:tc>
      </w:tr>
    </w:tbl>
    <w:p>
      <w:pPr>
        <w:spacing w:after="0" w:line="121"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The fair value of the Series E convertible preferred share contingent forward contract liability for the fourth closing was determined using Forward and an Option Payoff. The Company’s inputs used in determining the fair value on the issuance date were as follows:</w:t>
      </w: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5" w:name="page236"/>
    <w:bookmarkEnd w:id="235"/>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E convertible preferred share</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Volatility</w:t>
            </w:r>
          </w:p>
        </w:tc>
        <w:tc>
          <w:tcPr>
            <w:tcW w:w="22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 Years</w:t>
            </w:r>
          </w:p>
        </w:tc>
      </w:tr>
      <w:tr>
        <w:trPr>
          <w:trHeight w:val="270"/>
        </w:trPr>
        <w:tc>
          <w:tcPr>
            <w:tcW w:w="5200" w:type="dxa"/>
            <w:vAlign w:val="bottom"/>
          </w:tcPr>
          <w:p>
            <w:pPr>
              <w:spacing w:after="0"/>
              <w:rPr>
                <w:sz w:val="20"/>
                <w:szCs w:val="20"/>
                <w:color w:val="auto"/>
              </w:rPr>
            </w:pPr>
            <w:r>
              <w:rPr>
                <w:rFonts w:ascii="Arial" w:cs="Arial" w:eastAsia="Arial" w:hAnsi="Arial"/>
                <w:sz w:val="18"/>
                <w:szCs w:val="18"/>
                <w:color w:val="auto"/>
              </w:rPr>
              <w:t>Risk-free rate</w:t>
            </w:r>
          </w:p>
        </w:tc>
        <w:tc>
          <w:tcPr>
            <w:tcW w:w="2280" w:type="dxa"/>
            <w:vAlign w:val="bottom"/>
          </w:tcPr>
          <w:p>
            <w:pPr>
              <w:jc w:val="right"/>
              <w:spacing w:after="0"/>
              <w:rPr>
                <w:sz w:val="20"/>
                <w:szCs w:val="20"/>
                <w:color w:val="auto"/>
              </w:rPr>
            </w:pPr>
            <w:r>
              <w:rPr>
                <w:rFonts w:ascii="Arial" w:cs="Arial" w:eastAsia="Arial" w:hAnsi="Arial"/>
                <w:sz w:val="18"/>
                <w:szCs w:val="18"/>
                <w:color w:val="auto"/>
              </w:rPr>
              <w:t>0.03%</w:t>
            </w:r>
          </w:p>
        </w:tc>
      </w:tr>
    </w:tbl>
    <w:p>
      <w:pPr>
        <w:spacing w:after="0" w:line="134"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The fair value of the Series E convertible preferred share contingent forward contract liability for the fourth closing on closing date was determined as the difference between the Series E convertible preferred shares fair value and the purchase price. The Company estimated the fair value of each of the Series E convertible preferred shares on the settlement date by taking the closing price of CCIV’s Class A common stock on April 1, 2021 of $23.78 multiplied by the expected exchange ratio, and adjusting down by 5% discount for lack of marketability.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CONVERTIBLE PREFERRED SHARE WARRANT LIABILITY</w:t>
      </w:r>
    </w:p>
    <w:p>
      <w:pPr>
        <w:spacing w:after="0" w:line="148" w:lineRule="exact"/>
        <w:rPr>
          <w:sz w:val="20"/>
          <w:szCs w:val="20"/>
          <w:color w:val="auto"/>
        </w:rPr>
      </w:pPr>
    </w:p>
    <w:p>
      <w:pPr>
        <w:jc w:val="both"/>
        <w:ind w:left="1260" w:right="519" w:firstLine="360"/>
        <w:spacing w:after="0" w:line="271" w:lineRule="auto"/>
        <w:rPr>
          <w:sz w:val="20"/>
          <w:szCs w:val="20"/>
          <w:color w:val="auto"/>
        </w:rPr>
      </w:pPr>
      <w:r>
        <w:rPr>
          <w:rFonts w:ascii="Arial" w:cs="Arial" w:eastAsia="Arial" w:hAnsi="Arial"/>
          <w:sz w:val="17"/>
          <w:szCs w:val="17"/>
          <w:color w:val="auto"/>
        </w:rPr>
        <w:t>In March and September 2017, in connection with the Long-Term Debt to Trinity, the Company issued two convertible preferred share warrants (the “Warrants”) to purchase a total of 585,022 shares of Series D convertible preferred shares, with an exercise price of $5.128 per share. The Warrants are exercisable for</w:t>
      </w:r>
    </w:p>
    <w:p>
      <w:pPr>
        <w:ind w:left="1260" w:right="539"/>
        <w:spacing w:after="0" w:line="273" w:lineRule="auto"/>
        <w:rPr>
          <w:sz w:val="20"/>
          <w:szCs w:val="20"/>
          <w:color w:val="auto"/>
        </w:rPr>
      </w:pPr>
      <w:r>
        <w:rPr>
          <w:rFonts w:ascii="Arial" w:cs="Arial" w:eastAsia="Arial" w:hAnsi="Arial"/>
          <w:sz w:val="17"/>
          <w:szCs w:val="17"/>
          <w:color w:val="auto"/>
        </w:rPr>
        <w:t xml:space="preserve">10 years from the date of issuance and expire in 2027 or earlier upon the consummation of an initial public offering (“IPO”). The Company determined that these Warrants met the requirements for liability classification under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due to the Warrants holders having a put-right and the Company having an obligation to settle the Warrants by transferring cash.</w:t>
      </w:r>
    </w:p>
    <w:p>
      <w:pPr>
        <w:spacing w:after="0" w:line="109"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fair value of the Warrants was approximately $0.4 million and $0.2 million at the time of issuance in March and September 2017, respectively, calculated using a Monte-Carlo simulation method under the income approach. The Warrants were recorded at fair value at issuance and are subsequently remeasured to fair value each reporting period with the changes recorded in the consolidated statements of operations. As of December 31, 2020, 585,022 shares of the Warrants were outstanding with a fair value of $5.06 per share, and aggregate fair value of $3.0 million.</w:t>
      </w:r>
    </w:p>
    <w:p>
      <w:pPr>
        <w:spacing w:after="0" w:line="125"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The Company’s assumptions used in determining the fair value of convertible preferred share warrants on December 31, 2020 are as follows: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4180" w:type="dxa"/>
            <w:vAlign w:val="bottom"/>
          </w:tcPr>
          <w:p>
            <w:pPr>
              <w:spacing w:after="0"/>
              <w:rPr>
                <w:sz w:val="16"/>
                <w:szCs w:val="16"/>
                <w:color w:val="auto"/>
              </w:rPr>
            </w:pPr>
          </w:p>
        </w:tc>
        <w:tc>
          <w:tcPr>
            <w:tcW w:w="3300" w:type="dxa"/>
            <w:vAlign w:val="bottom"/>
            <w:gridSpan w:val="2"/>
          </w:tcPr>
          <w:p>
            <w:pPr>
              <w:jc w:val="center"/>
              <w:ind w:left="2215"/>
              <w:spacing w:after="0"/>
              <w:rPr>
                <w:sz w:val="20"/>
                <w:szCs w:val="20"/>
                <w:color w:val="auto"/>
              </w:rPr>
            </w:pPr>
            <w:r>
              <w:rPr>
                <w:rFonts w:ascii="Arial" w:cs="Arial" w:eastAsia="Arial" w:hAnsi="Arial"/>
                <w:sz w:val="14"/>
                <w:szCs w:val="14"/>
                <w:b w:val="1"/>
                <w:bCs w:val="1"/>
                <w:color w:val="auto"/>
                <w:w w:val="89"/>
              </w:rPr>
              <w:t>2020</w:t>
            </w:r>
          </w:p>
        </w:tc>
      </w:tr>
      <w:tr>
        <w:trPr>
          <w:trHeight w:val="25"/>
        </w:trPr>
        <w:tc>
          <w:tcPr>
            <w:tcW w:w="41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00" w:type="dxa"/>
            <w:vAlign w:val="bottom"/>
            <w:gridSpan w:val="2"/>
            <w:shd w:val="clear" w:color="auto" w:fill="CCEEFF"/>
          </w:tcPr>
          <w:p>
            <w:pPr>
              <w:jc w:val="center"/>
              <w:ind w:left="2235"/>
              <w:spacing w:after="0"/>
              <w:rPr>
                <w:sz w:val="20"/>
                <w:szCs w:val="20"/>
                <w:color w:val="auto"/>
              </w:rPr>
            </w:pPr>
            <w:r>
              <w:rPr>
                <w:rFonts w:ascii="Arial" w:cs="Arial" w:eastAsia="Arial" w:hAnsi="Arial"/>
                <w:sz w:val="18"/>
                <w:szCs w:val="18"/>
                <w:color w:val="auto"/>
                <w:w w:val="94"/>
              </w:rPr>
              <w:t>50.00%</w:t>
            </w: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3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0.5 – 1.5</w:t>
            </w:r>
          </w:p>
        </w:tc>
      </w:tr>
      <w:tr>
        <w:trPr>
          <w:trHeight w:val="25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300" w:type="dxa"/>
            <w:vAlign w:val="bottom"/>
            <w:gridSpan w:val="2"/>
            <w:shd w:val="clear" w:color="auto" w:fill="CCEEFF"/>
          </w:tcPr>
          <w:p>
            <w:pPr>
              <w:jc w:val="center"/>
              <w:ind w:left="2235"/>
              <w:spacing w:after="0"/>
              <w:rPr>
                <w:sz w:val="20"/>
                <w:szCs w:val="20"/>
                <w:color w:val="auto"/>
              </w:rPr>
            </w:pPr>
            <w:r>
              <w:rPr>
                <w:rFonts w:ascii="Arial" w:cs="Arial" w:eastAsia="Arial" w:hAnsi="Arial"/>
                <w:sz w:val="18"/>
                <w:szCs w:val="18"/>
                <w:color w:val="auto"/>
                <w:w w:val="92"/>
              </w:rPr>
              <w:t>0.09 – 0.12%</w:t>
            </w:r>
          </w:p>
        </w:tc>
      </w:tr>
      <w:tr>
        <w:trPr>
          <w:trHeight w:val="256"/>
        </w:trPr>
        <w:tc>
          <w:tcPr>
            <w:tcW w:w="41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3300" w:type="dxa"/>
            <w:vAlign w:val="bottom"/>
            <w:gridSpan w:val="2"/>
          </w:tcPr>
          <w:p>
            <w:pPr>
              <w:jc w:val="center"/>
              <w:ind w:left="2215"/>
              <w:spacing w:after="0"/>
              <w:rPr>
                <w:sz w:val="20"/>
                <w:szCs w:val="20"/>
                <w:color w:val="auto"/>
              </w:rPr>
            </w:pPr>
            <w:r>
              <w:rPr>
                <w:rFonts w:ascii="Arial" w:cs="Arial" w:eastAsia="Arial" w:hAnsi="Arial"/>
                <w:sz w:val="18"/>
                <w:szCs w:val="18"/>
                <w:color w:val="auto"/>
                <w:w w:val="93"/>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-659765</wp:posOffset>
            </wp:positionV>
            <wp:extent cx="412305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114"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In February 2021, all the outstanding warrants were settled in its entirety at an exercise price of $5.13 per share for an aggregate purchase price of $3.0 million. Upon final settlement, the Company converted the warrant into $12.9 million Series D convertible preferred shares, and recorded $7.0 million loss related to fair value remeasurements of the warrants in the consolidated statements of operations for the six months ended June 30, 2021. The Company recorded $0.1 million loss related to fair value remeasurements of the warrants for the three and six months ended June 30, 2020.</w:t>
      </w:r>
    </w:p>
    <w:p>
      <w:pPr>
        <w:spacing w:after="0" w:line="125" w:lineRule="exact"/>
        <w:rPr>
          <w:sz w:val="20"/>
          <w:szCs w:val="20"/>
          <w:color w:val="auto"/>
        </w:rPr>
      </w:pPr>
    </w:p>
    <w:p>
      <w:pPr>
        <w:ind w:left="1260" w:right="599" w:firstLine="360"/>
        <w:spacing w:after="0" w:line="270" w:lineRule="auto"/>
        <w:rPr>
          <w:sz w:val="20"/>
          <w:szCs w:val="20"/>
          <w:color w:val="auto"/>
        </w:rPr>
      </w:pPr>
      <w:r>
        <w:rPr>
          <w:rFonts w:ascii="Arial" w:cs="Arial" w:eastAsia="Arial" w:hAnsi="Arial"/>
          <w:sz w:val="17"/>
          <w:szCs w:val="17"/>
          <w:color w:val="auto"/>
        </w:rPr>
        <w:t>The fair value of the Series D preferred shares that was converted from warrant liability at settlement was estimated using the PWERM framework and considered the same three scenarios and probability for each of the three scenarios used to value our common shares: OPM scenario (20%), as-converted SPAC scenario (70%), and as-converted IPO scenario (10%). Under the OPM scenario, the fair value of Series D convertible preferred shares is a direct output of the model used for the equity valuation of the Company and reflects the present value. Under the as-converted SPAC scenario, the present value of the Series D convertible preferred shares is estimated using the pre-money equity value. Under the as-converted IPO scenario, the Company applies the market-based approach and determines the fair value based on the average revenue multiples derived from our peer group.</w:t>
      </w: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6" w:name="page237"/>
    <w:bookmarkEnd w:id="236"/>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CONVERTIBLE PREFERRED SHARES AND SHAREHOLDERS’ DEFICIT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Convertible Preferred Shares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Convertible preferred shares are carried at its issuance price, net of issuance costs.</w:t>
      </w:r>
    </w:p>
    <w:p>
      <w:pPr>
        <w:spacing w:after="0" w:line="158"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In 2014 through June 30, 2021, the Company issued Series A, Series B, Series C, and Series D and Series E convertible preferred shares (“Series A,” “Series B,” “Series C,” “Series D,” “Series E,” respectively) (collectively, the “Convertible Preferred Shares”).</w:t>
      </w:r>
    </w:p>
    <w:p>
      <w:pPr>
        <w:spacing w:after="0" w:line="116"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In September 2018, concurrent with the execution of the Security Purchase Agreement with PIF, the Company entered into a Share Repurchase Agreement (the “Repurchase Agreement”) with Blitz Technology Hong Kong Co. Limited and LeSoar Holdings, Limited (the “Sellers”) to repurchase Series C convertible preferred shares. From September 2018 to December 31, 2019, the Company repurchased in aggregate 4,285,715 shares of Series C convertible preferred shares with $60.0 million at a per share price of $14.00 from the first and second Company repurchase.</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Third Company Repurchase (Series C — August 2020)</w:t>
      </w:r>
    </w:p>
    <w:p>
      <w:pPr>
        <w:spacing w:after="0" w:line="14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In August 2020, the Company entered into a Share Repurchase Agreement with the Sellers. Pursuant to the Share Repurchase Agreement, the Company agreed to repurchase 3,652,265 shares of Series C convertible preferred shares owned by the Sellers in August 2020 at a price of $2.70 per share for total of $9.9 million. The carrying value of the repurchased Series C convertible preferred shares is $20.4 million. As such, the Company recognized $10.5 million in additional paid-in capital under shareholder’s equity in the consolidated balance sheet as of December 31, 2020 related to the difference in fair value and carrying value of the Series C shares repurchased.</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Fourth Company Repurchase (Series C — December 2020)</w:t>
      </w:r>
    </w:p>
    <w:p>
      <w:pPr>
        <w:spacing w:after="0" w:line="158"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In December 2020, the Company entered into a Share Repurchase Agreement with Blitz Technology Hong Kong Co. Limited (“Blitz”).</w:t>
      </w:r>
    </w:p>
    <w:p>
      <w:pPr>
        <w:spacing w:after="0" w:line="103" w:lineRule="exact"/>
        <w:rPr>
          <w:sz w:val="20"/>
          <w:szCs w:val="20"/>
          <w:color w:val="auto"/>
        </w:rPr>
      </w:pPr>
    </w:p>
    <w:p>
      <w:pPr>
        <w:jc w:val="both"/>
        <w:ind w:left="1260" w:right="499" w:firstLine="360"/>
        <w:spacing w:after="0" w:line="275" w:lineRule="auto"/>
        <w:rPr>
          <w:sz w:val="20"/>
          <w:szCs w:val="20"/>
          <w:color w:val="auto"/>
        </w:rPr>
      </w:pPr>
      <w:r>
        <w:rPr>
          <w:rFonts w:ascii="Arial" w:cs="Arial" w:eastAsia="Arial" w:hAnsi="Arial"/>
          <w:sz w:val="17"/>
          <w:szCs w:val="17"/>
          <w:color w:val="auto"/>
        </w:rPr>
        <w:t>The Company agreed to repurchase 700,000 Series C convertible preferred shares from Blitz at a price of $3.20 per share, aggregating to $2.2 million. As the carrying amount of each share of Series C was $6.41 aggregating to $4.5 million in September 2020, the Company recognized $2.2 million as additional paid-in capital under shareholders’ equity in the consolidated balance sheet as of December 31, 2020, related to the difference in fair value and carrying value of the Series C shares repurchased.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Fifth Company Repurchase (Series B — December 2020)</w:t>
      </w:r>
    </w:p>
    <w:p>
      <w:pPr>
        <w:spacing w:after="0" w:line="14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On December 22, 2020, the Company entered into an agreement with JAFCO Asia Technology Fund V (“JAFCO”) whereby the Company agreed to repurchase 1,333,333 Series B convertible preferred shares having a carrying value of $4.0 million, from JAFCO for a total consideration of $3.0 million. The agreement resulted in an extinguishment of the Series B convertible preferred shares and the Company recognized $1.0 million in additional paid-in capital being the difference in fair value of the consideration payable and the carrying value of the Series B convertible preferred shares. As of the date of extinguishment and as of December 31, 2020 the Series B convertible preferred shares subject to repurchase are mandatorily redeemable within 45 days of the agreement and accordingly have been reclassified to other accrued liabilities on the consolidated balance sheets.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Series D Preferred Share Issuance</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In 2018, the Security Purchase Agreement with PIF granted PIF rights to purchase the Company’s Series D convertible shares at various tranches. The first tranche of $200.0 million is issuable upon the approval of the PIF’s equity investment into the Company by CFIUS (refer to Note 5 — Contingent Forward Contracts). The second and third tranches of $400.0 million each are issuable upon the Company’s satisfaction of certain milestones related to further development and enhancement in marketing, product, and administrative activities.</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7" w:name="page238"/>
    <w:bookmarkEnd w:id="237"/>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firstLine="360"/>
        <w:spacing w:after="0"/>
        <w:rPr>
          <w:sz w:val="20"/>
          <w:szCs w:val="20"/>
          <w:color w:val="auto"/>
        </w:rPr>
      </w:pPr>
      <w:r>
        <w:rPr>
          <w:rFonts w:ascii="Arial" w:cs="Arial" w:eastAsia="Arial" w:hAnsi="Arial"/>
          <w:sz w:val="18"/>
          <w:szCs w:val="18"/>
          <w:color w:val="auto"/>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141,746,324 shares of Series D convertible preferred shares at a price of $6.15 per share, for net proceeds of approximately $872.0 million during the year ended December 31, 2019.</w:t>
      </w:r>
    </w:p>
    <w:p>
      <w:pPr>
        <w:spacing w:after="0" w:line="10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In March 2020, the Company received $200.0 million of the remaining $400.0 million in proceeds from PIF and issued 31,201,245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31,201,256 shares of Series D convertible preferred shares.</w:t>
      </w:r>
    </w:p>
    <w:p>
      <w:pPr>
        <w:spacing w:after="0" w:line="125"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See activities related to the PIF Convertible Notes and Series D convertible preferred share funding as below (in thousands):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271,985</w:t>
            </w:r>
          </w:p>
        </w:tc>
      </w:tr>
      <w:tr>
        <w:trPr>
          <w:trHeight w:val="257"/>
        </w:trPr>
        <w:tc>
          <w:tcPr>
            <w:tcW w:w="7380" w:type="dxa"/>
            <w:vAlign w:val="bottom"/>
          </w:tcPr>
          <w:p>
            <w:pPr>
              <w:spacing w:after="0"/>
              <w:rPr>
                <w:sz w:val="20"/>
                <w:szCs w:val="20"/>
                <w:color w:val="auto"/>
              </w:rPr>
            </w:pPr>
            <w:r>
              <w:rPr>
                <w:rFonts w:ascii="Arial" w:cs="Arial" w:eastAsia="Arial" w:hAnsi="Arial"/>
                <w:sz w:val="18"/>
                <w:szCs w:val="18"/>
                <w:color w:val="auto"/>
              </w:rPr>
              <w:t>Series D received in April 2019</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57"/>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Series D received in October 2019</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57"/>
        </w:trPr>
        <w:tc>
          <w:tcPr>
            <w:tcW w:w="7380" w:type="dxa"/>
            <w:vAlign w:val="bottom"/>
          </w:tcPr>
          <w:p>
            <w:pPr>
              <w:spacing w:after="0"/>
              <w:rPr>
                <w:sz w:val="20"/>
                <w:szCs w:val="20"/>
                <w:color w:val="auto"/>
              </w:rPr>
            </w:pPr>
            <w:r>
              <w:rPr>
                <w:rFonts w:ascii="Arial" w:cs="Arial" w:eastAsia="Arial" w:hAnsi="Arial"/>
                <w:sz w:val="18"/>
                <w:szCs w:val="18"/>
                <w:color w:val="auto"/>
              </w:rPr>
              <w:t>Series D received in March 2020</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5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Series D received in June 2020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57"/>
        </w:trPr>
        <w:tc>
          <w:tcPr>
            <w:tcW w:w="7380" w:type="dxa"/>
            <w:vAlign w:val="bottom"/>
          </w:tcPr>
          <w:p>
            <w:pPr>
              <w:spacing w:after="0"/>
              <w:rPr>
                <w:sz w:val="20"/>
                <w:szCs w:val="20"/>
                <w:color w:val="auto"/>
              </w:rPr>
            </w:pPr>
            <w:r>
              <w:rPr>
                <w:rFonts w:ascii="Arial" w:cs="Arial" w:eastAsia="Arial" w:hAnsi="Arial"/>
                <w:sz w:val="18"/>
                <w:szCs w:val="18"/>
                <w:color w:val="auto"/>
              </w:rPr>
              <w:t>Contingent forward contract liability reclassified to Series D</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39,564</w:t>
            </w:r>
          </w:p>
        </w:tc>
      </w:tr>
      <w:tr>
        <w:trPr>
          <w:trHeight w:val="257"/>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preferred stock warrant to Series D in February 2021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63"/>
        </w:trPr>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Reclassification of preferred stock warrant liability to Series D in February 2021</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9,936</w:t>
            </w:r>
          </w:p>
        </w:tc>
      </w:tr>
      <w:tr>
        <w:trPr>
          <w:trHeight w:val="308"/>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proceeds of Series 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1,324,485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468884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Series E convertible preferred share Issuance</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In September 2020 the Company entered into an arrangement with Ayar to issue and sell Series E convertible preferred shares pursuant to a securities purchase agreement (the “SPAE”). Along with the execution of the SPAE, the Company granted Ayar the right to purchase additional Series E convertible preferred shares upon the Company’s satisfaction of certain milestones in November 2020. The Company determined Ayar’s right to participate in future Series E convertible preferred share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$7.90 per share of Series E convertible preferred shares. The Company needed to satisfy two sets of milestone conditions relating to further development and enhancement in marketing, product, and administrative activities for Ayar to provide funding under the SPAE.</w:t>
      </w:r>
    </w:p>
    <w:p>
      <w:pPr>
        <w:spacing w:after="0" w:line="111"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Immediately upon closing of the SPAE, the Company received the full first tranche of $500.0 million in funding in exchange for 63,265,327 Series E convertible preferred shares as the requirement for the first milestones were met prior to execution of the purchase agreement. Subsequently, the Company successfully satisfied certain of the second set of milestones and received a waiver from PIF for the remaining milestones; and on December 24, 2020, the investor provided $400.0 million of funding in exchange for 50,612,262 shares as the final issuance of Series E convertible preferred shares related to the second milestones. Upon final settlement, the Company re-valued the liability associated with the contingent forward contract to the then fair value of $110.5 million from a contingent liability of $0.8 million and derecognized the liability as the contract was settled in its entirety. The Company recognized the increase in fair value of $109.7 million in the consolidated statements of operations and reclassified the liability into convertible preferred shares on the Company’s consolidated balance sheets as of December 31, 2020.</w:t>
      </w:r>
    </w:p>
    <w:p>
      <w:pPr>
        <w:spacing w:after="0" w:line="114"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In February 2021, the Company and Ayar entered into Amendment No. 1 to the original Series E Preferred Share Purchase Agreement (“Amendment No. 1”). Under the Amendment No. 1, Ayar and the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8" w:name="page239"/>
    <w:bookmarkEnd w:id="238"/>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819"/>
        <w:spacing w:after="0" w:line="286" w:lineRule="auto"/>
        <w:rPr>
          <w:sz w:val="20"/>
          <w:szCs w:val="20"/>
          <w:color w:val="auto"/>
        </w:rPr>
      </w:pPr>
      <w:r>
        <w:rPr>
          <w:rFonts w:ascii="Arial" w:cs="Arial" w:eastAsia="Arial" w:hAnsi="Arial"/>
          <w:sz w:val="17"/>
          <w:szCs w:val="17"/>
          <w:color w:val="auto"/>
        </w:rPr>
        <w:t>Company agreed to enter into the third closing of additional 50,612,262 shares of Series E convertible preferred shares at $7.90 per share, aggregating to $400.0 million. Upon the signing of the Amendment No. 1, the Company received the issuance proceeds of $400.0 million from Ayar in February 2021.</w:t>
      </w:r>
    </w:p>
    <w:p>
      <w:pPr>
        <w:spacing w:after="0" w:line="8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Amendment No. 1 also allowed the Company to provide an opportunity to all current convertible preferred shareholders other than Ayar (“Eligible Holders”) to enter into the fourth closing to purchase up to 8,977,769 shares of Series E convertible preferred share on a pro rata basis at $7.90 per share, aggregating to $71.0 million. In addition, the amendment allowed the Company to offer for purchase at the fourth closing at $7.90 per share, a number of Series E Preferred Shares to senior management employees, directors, consultants, advisors and/or contractors of the Company (“Additional Purchasers”). The aggregate number of Series E Preferred Shares sold at the third closing and fourth closing will not exceed 75.9 million shares (“Extension Amount”). Ayar committed to purchase the entire Extension Amount to the extent not subscribed by Eligible Holders or Additional Purchasers.</w:t>
      </w:r>
    </w:p>
    <w:p>
      <w:pPr>
        <w:spacing w:after="0" w:line="129"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April 2021, the Company issued 25,306,130 Series E convertible preferred shares from the fourth closing at $7.90 per share for cash consideration of $200.0 million. The Company received $107.1 million of the entire cash consideration in March 2021, and the remaining $92.9 million in April 2021. The Company issued Offer Notices to certain of the Company’s management and members of the Board of Directors in March 2021 and April 2021. The Series E convertible preferred shares issued from the fourth closing included 1,147,577 shares to the Company’s management and 627,347 shares to members of the Board of Directors. The total issuance to the Company’s management includes 202,449 shares offered to the CEO in April 2021. The offer to employees to participate in a future Series E convertible preferred share financing represented a fully vested, equity classified award. The excess of the award’s fair value over the purchase price of $20.7 million and $123.6 million on each recipient’s grant date during the three months and six months ended June 30, 2021 was recorded as share-based compensation.</w:t>
      </w:r>
    </w:p>
    <w:p>
      <w:pPr>
        <w:spacing w:after="0" w:line="114"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color w:val="auto"/>
        </w:rPr>
        <w:t>Along with the execution of Amendment No. 1, the Company also increased the authorized number of common shares and convertible preferred shares to 498,017,734 and 437,182,072 shares, respectively.</w:t>
      </w:r>
    </w:p>
    <w:p>
      <w:pPr>
        <w:spacing w:after="0" w:line="65"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As of June 30, 2021 and December 31, 2020, the Company had the following convertible preferred shares, par value of $0.0001 per share, authorized, and outstanding (in thousands, except share and per share amounts):</w:t>
      </w:r>
    </w:p>
    <w:p>
      <w:pPr>
        <w:spacing w:after="0" w:line="135"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Conversion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Liquidation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Carrying</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 Share to</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Per Share</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Liquidation</w:t>
            </w:r>
          </w:p>
        </w:tc>
      </w:tr>
      <w:tr>
        <w:trPr>
          <w:trHeight w:val="186"/>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Convertible Preferred Shares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Authorized</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Common Shares</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72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Amount</w:t>
            </w:r>
          </w:p>
        </w:tc>
      </w:tr>
      <w:tr>
        <w:trPr>
          <w:trHeight w:val="25"/>
        </w:trPr>
        <w:tc>
          <w:tcPr>
            <w:tcW w:w="1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1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12,120,000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12,120,000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11,925</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$ 1.00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r>
      <w:tr>
        <w:trPr>
          <w:trHeight w:val="256"/>
        </w:trPr>
        <w:tc>
          <w:tcPr>
            <w:tcW w:w="198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23,740</w:t>
            </w:r>
          </w:p>
        </w:tc>
        <w:tc>
          <w:tcPr>
            <w:tcW w:w="1000" w:type="dxa"/>
            <w:vAlign w:val="bottom"/>
          </w:tcPr>
          <w:p>
            <w:pPr>
              <w:jc w:val="right"/>
              <w:ind w:right="197"/>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57"/>
        </w:trPr>
        <w:tc>
          <w:tcPr>
            <w:tcW w:w="1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22,532,244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22,532,244</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137,475</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144,432</w:t>
            </w:r>
          </w:p>
        </w:tc>
      </w:tr>
      <w:tr>
        <w:trPr>
          <w:trHeight w:val="257"/>
        </w:trPr>
        <w:tc>
          <w:tcPr>
            <w:tcW w:w="198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204,733,847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204,733,847</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1,324,485</w:t>
            </w:r>
          </w:p>
        </w:tc>
        <w:tc>
          <w:tcPr>
            <w:tcW w:w="1000" w:type="dxa"/>
            <w:vAlign w:val="bottom"/>
          </w:tcPr>
          <w:p>
            <w:pPr>
              <w:jc w:val="right"/>
              <w:ind w:right="197"/>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9.62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1,969,540</w:t>
            </w:r>
          </w:p>
        </w:tc>
      </w:tr>
      <w:tr>
        <w:trPr>
          <w:trHeight w:val="263"/>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Series E</w:t>
            </w:r>
          </w:p>
        </w:tc>
        <w:tc>
          <w:tcPr>
            <w:tcW w:w="22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189,795,981</w:t>
            </w:r>
          </w:p>
        </w:tc>
        <w:tc>
          <w:tcPr>
            <w:tcW w:w="200" w:type="dxa"/>
            <w:vAlign w:val="bottom"/>
            <w:tcBorders>
              <w:right w:val="single" w:sz="8" w:color="CCEEFF"/>
            </w:tcBorders>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189,795,981</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4,339,160</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2,249,082</w:t>
            </w:r>
          </w:p>
        </w:tc>
      </w:tr>
      <w:tr>
        <w:trPr>
          <w:trHeight w:val="20"/>
        </w:trPr>
        <w:tc>
          <w:tcPr>
            <w:tcW w:w="17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r>
      <w:tr>
        <w:trPr>
          <w:trHeight w:val="270"/>
        </w:trPr>
        <w:tc>
          <w:tcPr>
            <w:tcW w:w="1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437,182,072</w:t>
            </w:r>
          </w:p>
        </w:tc>
        <w:tc>
          <w:tcPr>
            <w:tcW w:w="20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437,182,072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5,836,785</w:t>
            </w: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$4,399,174</w:t>
            </w:r>
          </w:p>
        </w:tc>
      </w:tr>
      <w:tr>
        <w:trPr>
          <w:trHeight w:val="20"/>
        </w:trPr>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414"/>
        </w:trPr>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As of December 31, 2020</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
        </w:trPr>
        <w:tc>
          <w:tcPr>
            <w:tcW w:w="1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3"/>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Conversion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Liquidation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62"/>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Carrying</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 Share to</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Per Share</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Liquidation</w:t>
            </w:r>
          </w:p>
        </w:tc>
      </w:tr>
      <w:tr>
        <w:trPr>
          <w:trHeight w:val="186"/>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Convertible Preferred Shares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Authorized</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Common Shares</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72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Amount</w:t>
            </w:r>
          </w:p>
        </w:tc>
      </w:tr>
      <w:tr>
        <w:trPr>
          <w:trHeight w:val="25"/>
        </w:trPr>
        <w:tc>
          <w:tcPr>
            <w:tcW w:w="1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3"/>
        </w:trPr>
        <w:tc>
          <w:tcPr>
            <w:tcW w:w="1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12,120,000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12,120,000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11,925</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$ 1.00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r>
      <w:tr>
        <w:trPr>
          <w:trHeight w:val="243"/>
        </w:trPr>
        <w:tc>
          <w:tcPr>
            <w:tcW w:w="198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9,333,333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9,333,333</w:t>
            </w:r>
          </w:p>
        </w:tc>
        <w:tc>
          <w:tcPr>
            <w:tcW w:w="1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23,740</w:t>
            </w:r>
          </w:p>
        </w:tc>
        <w:tc>
          <w:tcPr>
            <w:tcW w:w="1000" w:type="dxa"/>
            <w:vAlign w:val="bottom"/>
          </w:tcPr>
          <w:p>
            <w:pPr>
              <w:jc w:val="right"/>
              <w:ind w:right="197"/>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1"/>
                <w:szCs w:val="21"/>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43"/>
        </w:trPr>
        <w:tc>
          <w:tcPr>
            <w:tcW w:w="1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31,170,225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22,532,244</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137,475</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144,432</w:t>
            </w:r>
          </w:p>
        </w:tc>
      </w:tr>
      <w:tr>
        <w:trPr>
          <w:trHeight w:val="243"/>
        </w:trPr>
        <w:tc>
          <w:tcPr>
            <w:tcW w:w="198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234,009,360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204,148,825</w:t>
            </w:r>
          </w:p>
        </w:tc>
        <w:tc>
          <w:tcPr>
            <w:tcW w:w="1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1,311,548</w:t>
            </w:r>
          </w:p>
        </w:tc>
        <w:tc>
          <w:tcPr>
            <w:tcW w:w="1000" w:type="dxa"/>
            <w:vAlign w:val="bottom"/>
          </w:tcPr>
          <w:p>
            <w:pPr>
              <w:jc w:val="right"/>
              <w:ind w:right="197"/>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21"/>
                <w:szCs w:val="21"/>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9.62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1,963,912</w:t>
            </w:r>
          </w:p>
        </w:tc>
      </w:tr>
      <w:tr>
        <w:trPr>
          <w:trHeight w:val="277"/>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Series E</w:t>
            </w:r>
          </w:p>
        </w:tc>
        <w:tc>
          <w:tcPr>
            <w:tcW w:w="220" w:type="dxa"/>
            <w:vAlign w:val="bottom"/>
            <w:tcBorders>
              <w:right w:val="single" w:sz="8" w:color="CCEEFF"/>
            </w:tcBorders>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113,877,589</w:t>
            </w:r>
          </w:p>
        </w:tc>
        <w:tc>
          <w:tcPr>
            <w:tcW w:w="200" w:type="dxa"/>
            <w:vAlign w:val="bottom"/>
            <w:tcBorders>
              <w:right w:val="single" w:sz="8" w:color="CCEEFF"/>
            </w:tcBorders>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113,877,589</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1,009,388</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1,349,449</w:t>
            </w:r>
          </w:p>
        </w:tc>
      </w:tr>
      <w:tr>
        <w:trPr>
          <w:trHeight w:val="20"/>
        </w:trPr>
        <w:tc>
          <w:tcPr>
            <w:tcW w:w="17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r>
      <w:tr>
        <w:trPr>
          <w:trHeight w:val="284"/>
        </w:trPr>
        <w:tc>
          <w:tcPr>
            <w:tcW w:w="1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400,510,507</w:t>
            </w:r>
          </w:p>
        </w:tc>
        <w:tc>
          <w:tcPr>
            <w:tcW w:w="2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362,011,991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2,494,076</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$3,497,913</w:t>
            </w:r>
          </w:p>
        </w:tc>
      </w:tr>
      <w:tr>
        <w:trPr>
          <w:trHeight w:val="20"/>
        </w:trPr>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-2708275</wp:posOffset>
            </wp:positionV>
            <wp:extent cx="13716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-2708275</wp:posOffset>
            </wp:positionV>
            <wp:extent cx="12827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-2708275</wp:posOffset>
            </wp:positionV>
            <wp:extent cx="12001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-2708275</wp:posOffset>
            </wp:positionV>
            <wp:extent cx="12001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-2708275</wp:posOffset>
            </wp:positionV>
            <wp:extent cx="12001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-2708275</wp:posOffset>
            </wp:positionV>
            <wp:extent cx="12001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-1019175</wp:posOffset>
            </wp:positionV>
            <wp:extent cx="13716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-1019175</wp:posOffset>
            </wp:positionV>
            <wp:extent cx="12827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-1019175</wp:posOffset>
            </wp:positionV>
            <wp:extent cx="12001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-1019175</wp:posOffset>
            </wp:positionV>
            <wp:extent cx="12001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-1019175</wp:posOffset>
            </wp:positionV>
            <wp:extent cx="12001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1922780</wp:posOffset>
            </wp:positionH>
            <wp:positionV relativeFrom="paragraph">
              <wp:posOffset>-1019175</wp:posOffset>
            </wp:positionV>
            <wp:extent cx="12001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9" w:name="page240"/>
    <w:bookmarkEnd w:id="239"/>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123444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right="699" w:hanging="360"/>
        <w:spacing w:after="0" w:line="263" w:lineRule="auto"/>
        <w:tabs>
          <w:tab w:leader="none" w:pos="1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of December 31, 2020, 1,333,333 Series B convertible preferred shares at aggregate fair value of $3.0 million were extinguished and reclassified to other accrued liabilities, with cash settlement occurring in January 2021.</w:t>
      </w:r>
    </w:p>
    <w:p>
      <w:pPr>
        <w:spacing w:after="0" w:line="116"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7"/>
          <w:szCs w:val="17"/>
          <w:color w:val="auto"/>
        </w:rPr>
        <w:t>The significant rights and preferences of the outstanding convertible preferred shares are as follows:</w:t>
      </w:r>
    </w:p>
    <w:p>
      <w:pPr>
        <w:spacing w:after="0" w:line="169"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b w:val="1"/>
          <w:bCs w:val="1"/>
          <w:i w:val="1"/>
          <w:iCs w:val="1"/>
          <w:color w:val="auto"/>
        </w:rPr>
        <w:t xml:space="preserve">Dividends — </w:t>
      </w:r>
      <w:r>
        <w:rPr>
          <w:rFonts w:ascii="Arial" w:cs="Arial" w:eastAsia="Arial" w:hAnsi="Arial"/>
          <w:sz w:val="18"/>
          <w:szCs w:val="18"/>
          <w:color w:val="auto"/>
        </w:rPr>
        <w:t>Holders of Series A, Series B, and Series C are entitled to receive noncumulative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at an annual rate of $0.08, $0.24, $0.5128 per share, respectively. Holders of Series D and Series E are entitled to receive noncumulative dividends at the rate of 8% of the Series D and Series E Original Issue Price (as adjusted for any Share Split Change) per annum on each outstanding share of Series D and Series E. Such dividends shall be payable when and if declared by the Company’s board of directors (the “Board of Directors”). No other dividends shall be paid on any common or convertible preferred shares until such dividends on Series A, Series B, Series C, Series D and Series E have been paid or declared by the Board of Directors. As of June 30, 2021 and December 31, 2020, no dividends have been declared.</w:t>
      </w:r>
    </w:p>
    <w:p>
      <w:pPr>
        <w:spacing w:after="0" w:line="11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b w:val="1"/>
          <w:bCs w:val="1"/>
          <w:i w:val="1"/>
          <w:iCs w:val="1"/>
          <w:color w:val="auto"/>
        </w:rPr>
        <w:t xml:space="preserve">Liquidation Preference — </w:t>
      </w:r>
      <w:r>
        <w:rPr>
          <w:rFonts w:ascii="Arial" w:cs="Arial" w:eastAsia="Arial" w:hAnsi="Arial"/>
          <w:sz w:val="17"/>
          <w:szCs w:val="17"/>
          <w:color w:val="auto"/>
        </w:rPr>
        <w:t>In the event of any liquidation, dissolution, or winding-up 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whether voluntary or involuntary (a Liquidation Event), before any distribution or payment shall be made to holders of common shares, each holder of convertible preferred shares then outstanding shall be entitled to be paid, pro rata, out of the assets of the Company available for distribution to members, whether from capital, surplus, or earnings, in the sequence of Series E, Series D, Series C, Series B and Series A, an amount equal to one and one- half times (1.5x), one and one-half times (1.5x), one time (1x), one time (1x), one time (1x) of the Series E, Series D, Series C, Series B, and Series A original issue price per share (as adjusted for Share Split Changes), plus all declared and unpaid distributions thereon. If, upon the occurrence of such event, the assets and funds to be distributed among the holders of the convertible preferred shares shall be insufficient to permit the payment to such holders of the full aforesaid preferential amounts, the holders of the convertible preferred shares shall receive a pro rata distribution of assets, on a pari passu basis, according to the amounts which would be payable in respect of the Series E and Series D convertible preferred shares held by them upon such distribution if all amounts payable on or with respect to said shares were paid in full.</w:t>
      </w:r>
    </w:p>
    <w:p>
      <w:pPr>
        <w:spacing w:after="0" w:line="121"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Upon completion of the full distribution required above, the remaining assets of the Company available for distribution to members shall be distributed pari passu among the holders of common shares pro rata based on the number of the common shares held by each member.</w:t>
      </w:r>
    </w:p>
    <w:p>
      <w:pPr>
        <w:spacing w:after="0" w:line="114"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b w:val="1"/>
          <w:bCs w:val="1"/>
          <w:i w:val="1"/>
          <w:iCs w:val="1"/>
          <w:color w:val="auto"/>
        </w:rPr>
        <w:t xml:space="preserve">Voting Rights — </w:t>
      </w:r>
      <w:r>
        <w:rPr>
          <w:rFonts w:ascii="Arial" w:cs="Arial" w:eastAsia="Arial" w:hAnsi="Arial"/>
          <w:sz w:val="18"/>
          <w:szCs w:val="18"/>
          <w:color w:val="auto"/>
        </w:rPr>
        <w:t>The holders of Series A, Series B, Series C, Series D and Series E convertible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are entitled to the number of votes equal to the number of Common shares into which such convertible preferred shares are convertible, and with respect to such vote, such holder shall have full voting rights and powers equal to the voting rights and powers of the holders of common shares, and shall be entitled, notwithstanding any provision hereof, to notice of any shareholders’ meeting in accordance with our bylaws. The holders of convertible preferred shares and the holders of common shares shall vote together and not as separate classes.</w:t>
      </w:r>
    </w:p>
    <w:p>
      <w:pPr>
        <w:spacing w:after="0" w:line="110"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b w:val="1"/>
          <w:bCs w:val="1"/>
          <w:i w:val="1"/>
          <w:iCs w:val="1"/>
          <w:color w:val="auto"/>
        </w:rPr>
        <w:t xml:space="preserve">Conversion — </w:t>
      </w:r>
      <w:r>
        <w:rPr>
          <w:rFonts w:ascii="Arial" w:cs="Arial" w:eastAsia="Arial" w:hAnsi="Arial"/>
          <w:sz w:val="18"/>
          <w:szCs w:val="18"/>
          <w:color w:val="auto"/>
        </w:rPr>
        <w:t>Each Series A, Series B, Series C, Series D and Series E convertible preferred shares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convertible, at the option of the holder, into one fully paid nonassessable common shares. The conversion formula is adjusted for such events as dilutive issuances, share splits, or business combinations. Each share of Series A, Series B, Series C, Series D and Series E convertible preferred shares shall automatically convert into one share of common shares at the applicable conversion price upon the earlier of (1) vote or written consent of the holders of at least 66.67% of the outstanding Series A, Series B, Series C, Series D or 50% for Series E convertible preferred shares, as applicable (each calculated on an as-converted basis), voting as a class, or (2) immediately before the closing of the Company’s sale of its common shares in a firm commitment underwritten public offering on a U.S. national securities exchange or other internationally recognized securities exchange, which reflects a pre -offering market capitalization in excess of $2.5 billion and which results in gross proceeds to the Company of at least $ 200.0 million (before payment of underwriters’ discounts, commissions and offering expenses) (such transaction, a “Qualified IPO”).</w:t>
      </w:r>
    </w:p>
    <w:p>
      <w:pPr>
        <w:spacing w:after="0" w:line="124"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b w:val="1"/>
          <w:bCs w:val="1"/>
          <w:i w:val="1"/>
          <w:iCs w:val="1"/>
          <w:color w:val="auto"/>
        </w:rPr>
        <w:t xml:space="preserve">Antidilution Adjustment — </w:t>
      </w:r>
      <w:r>
        <w:rPr>
          <w:rFonts w:ascii="Arial" w:cs="Arial" w:eastAsia="Arial" w:hAnsi="Arial"/>
          <w:sz w:val="17"/>
          <w:szCs w:val="17"/>
          <w:color w:val="auto"/>
        </w:rPr>
        <w:t>Subject to certain exceptions, if the Company issues additional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without consideration or for a consideration per share, less than the conversion price with respect to</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0" w:name="page241"/>
    <w:bookmarkEnd w:id="240"/>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3" w:lineRule="auto"/>
        <w:rPr>
          <w:sz w:val="20"/>
          <w:szCs w:val="20"/>
          <w:color w:val="auto"/>
        </w:rPr>
      </w:pPr>
      <w:r>
        <w:rPr>
          <w:rFonts w:ascii="Arial" w:cs="Arial" w:eastAsia="Arial" w:hAnsi="Arial"/>
          <w:sz w:val="17"/>
          <w:szCs w:val="17"/>
          <w:color w:val="auto"/>
        </w:rPr>
        <w:t>such series of the convertible preferred shares in effect immediately before the issuance of such additional shares, the conversion price of such series of convertible preferred shares in effect immediately before each such issuance shall automatically be adjusted. The new conversion price for such series of convertible preferred shares shall be determined by multiplying the conversion price for such series of convertible preferred shares then in effect by a fraction, the numerator of which will be the number of common shares outstanding immediately before such issuance, plus the number of shares that the aggregate consideration received by the Company for such issuance would purchase at such conversion price then in effect, and the denominator of which will be the number of common shares outstanding immediately before such issuance, plus the number of such additional common shares to be issued.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Shares</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No dividends other than those payable solely in common shares shall be paid on any common share, unless and until (i) the dividends are paid on each outstanding share of convertible preferred share and (ii) a dividend is paid with respect to all outstanding convertible preferred shares in an amount equal to or greater than the aggregate amount of dividends, which would be payable on each convertible preferred share, if immediately prior to such payment on common shares, it had been converted into common shares.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Share Reserved for Issuance</w:t>
      </w:r>
    </w:p>
    <w:p>
      <w:pPr>
        <w:spacing w:after="0" w:line="162"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The Company’s common shares reserved for future issuances as of June 30, 2021 and December 31, 2020, are as follows: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140" w:type="dxa"/>
            <w:vAlign w:val="bottom"/>
            <w:gridSpan w:val="3"/>
          </w:tcPr>
          <w:p>
            <w:pPr>
              <w:ind w:left="20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86"/>
        </w:trPr>
        <w:tc>
          <w:tcPr>
            <w:tcW w:w="6160" w:type="dxa"/>
            <w:vAlign w:val="bottom"/>
          </w:tcPr>
          <w:p>
            <w:pPr>
              <w:spacing w:after="0"/>
              <w:rPr>
                <w:sz w:val="16"/>
                <w:szCs w:val="16"/>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2020</w:t>
            </w:r>
          </w:p>
        </w:tc>
      </w:tr>
      <w:tr>
        <w:trPr>
          <w:trHeight w:val="26"/>
        </w:trPr>
        <w:tc>
          <w:tcPr>
            <w:tcW w:w="6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 outstanding</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437,182,072</w:t>
            </w: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362,011,991</w:t>
            </w:r>
          </w:p>
        </w:tc>
      </w:tr>
      <w:tr>
        <w:trPr>
          <w:trHeight w:val="257"/>
        </w:trPr>
        <w:tc>
          <w:tcPr>
            <w:tcW w:w="6160" w:type="dxa"/>
            <w:vAlign w:val="bottom"/>
          </w:tcPr>
          <w:p>
            <w:pPr>
              <w:spacing w:after="0"/>
              <w:rPr>
                <w:sz w:val="20"/>
                <w:szCs w:val="20"/>
                <w:color w:val="auto"/>
              </w:rPr>
            </w:pPr>
            <w:r>
              <w:rPr>
                <w:rFonts w:ascii="Arial" w:cs="Arial" w:eastAsia="Arial" w:hAnsi="Arial"/>
                <w:sz w:val="18"/>
                <w:szCs w:val="18"/>
                <w:color w:val="auto"/>
              </w:rPr>
              <w:t>Share options outstanding</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26,099,336</w:t>
            </w:r>
          </w:p>
        </w:tc>
        <w:tc>
          <w:tcPr>
            <w:tcW w:w="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26,730,453</w:t>
            </w:r>
          </w:p>
        </w:tc>
      </w:tr>
      <w:tr>
        <w:trPr>
          <w:trHeight w:val="25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outstanding</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15,763,598</w:t>
            </w:r>
          </w:p>
        </w:tc>
        <w:tc>
          <w:tcPr>
            <w:tcW w:w="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160" w:type="dxa"/>
            <w:vAlign w:val="bottom"/>
          </w:tcPr>
          <w:p>
            <w:pPr>
              <w:spacing w:after="0"/>
              <w:rPr>
                <w:sz w:val="20"/>
                <w:szCs w:val="20"/>
                <w:color w:val="auto"/>
              </w:rPr>
            </w:pPr>
            <w:r>
              <w:rPr>
                <w:rFonts w:ascii="Arial" w:cs="Arial" w:eastAsia="Arial" w:hAnsi="Arial"/>
                <w:sz w:val="18"/>
                <w:szCs w:val="18"/>
                <w:color w:val="auto"/>
              </w:rPr>
              <w:t>Convertible preferred share warrant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585,022</w:t>
            </w:r>
          </w:p>
        </w:tc>
      </w:tr>
      <w:tr>
        <w:trPr>
          <w:trHeight w:val="264"/>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available for future grants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4,469,725</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3,981,178</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Total common shares reserved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483,514,731</w:t>
            </w:r>
          </w:p>
        </w:tc>
        <w:tc>
          <w:tcPr>
            <w:tcW w:w="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393,308,644</w:t>
            </w:r>
          </w:p>
        </w:tc>
      </w:tr>
      <w:tr>
        <w:trPr>
          <w:trHeight w:val="20"/>
        </w:trPr>
        <w:tc>
          <w:tcPr>
            <w:tcW w:w="6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-1045210</wp:posOffset>
            </wp:positionV>
            <wp:extent cx="462915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SHARES-BASED AWARDS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 Incentive Plans and Share Option Grants to Employees and Directors</w:t>
      </w:r>
    </w:p>
    <w:p>
      <w:pPr>
        <w:spacing w:after="0" w:line="14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In 2009, the Company adopted the 2009 Share Plan (the “2009 Plan”). In 2014, in connection with the Series C convertible preferred share financing, the Company adopted the 2014 Share Plan (the “2014 Plan”). Both the 2009 Plan and the 2014 Plan provide for the granting of incentive and non-statutory share options to directors, officers, employees, and consultants. Under the 2009 Plan and the 2014 Plan, the Company may grant options to purchase up to 5,000,000 and 31,884,190 common shares, respectively, at prices not less than the fair market value (FMV) at the date of grant, with limited exceptions. These options generally expire 10 years from the date of grant and are exercisable when the options vest. Incentive share options and non-statutory options generally vest over four years, the majority of which vest at a rate of 25% on the first anniversary of the grant date, with the remainder vesting ratably each month over the next three years.</w:t>
      </w:r>
    </w:p>
    <w:p>
      <w:pPr>
        <w:spacing w:after="0" w:line="121"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In January 2021, the Company’s Board of Directors approved the 2021 Stock Incentive Plan (the “2021 Plan”). The 2021 Plan replaced the 2009 Plan and 2014 Plan. 3,981,178 shares reserved for future issuance under 2009 Plan and 2014 Plan were removed and added to share reserve under the 2021 Plan. If outstanding share awards issued under the 2009 Plan and 2014 Plan 1) expire or terminate for any reason prior to exercise or settlement, 2) are forfeited, canceled or otherwise returned to the Company because of the failure to meet vesting conditions, or 3) are reacquired, withheld to satisfy a tax withholding obligation in connection with an award or to satisfy the purchase price or exercise price of a share award (collectively, the “Returning Shares”), will be added back to the 2021 Plan. The 2021 Plan provides for the grant of incentive share options, within the meaning of Section 422 of the Internal Revenue Code of 1986, as amended, to the</w:t>
      </w:r>
    </w:p>
    <w:p>
      <w:pPr>
        <w:sectPr>
          <w:pgSz w:w="11900" w:h="16838" w:orient="portrait"/>
          <w:cols w:equalWidth="0" w:num="1">
            <w:col w:w="9879"/>
          </w:cols>
          <w:pgMar w:left="580" w:top="132"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1" w:name="page242"/>
    <w:bookmarkEnd w:id="241"/>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9" w:lineRule="auto"/>
        <w:rPr>
          <w:sz w:val="20"/>
          <w:szCs w:val="20"/>
          <w:color w:val="auto"/>
        </w:rPr>
      </w:pPr>
      <w:r>
        <w:rPr>
          <w:rFonts w:ascii="Arial" w:cs="Arial" w:eastAsia="Arial" w:hAnsi="Arial"/>
          <w:sz w:val="18"/>
          <w:szCs w:val="18"/>
          <w:color w:val="auto"/>
        </w:rPr>
        <w:t>Company’s employees and any parent and subsidiary corporations’ employees, and for the grant of non-statutory share options, restricted shares, Restricted Stock Units (RSU), share appreciation rights, performance based awards and cash based awards to the Company’s employees, directors, and consultants and its parent and subsidiary corporations’ employees and consultants. The 2021 Plan became effective in January 2021. 16,616,225 shares were authorized to issue under the 2021 Plan. In January 2021, the Company also increased the number of shares reserved for issuance under the 2014 Share Plan by 2,033,333 shares which was transferred to the 2021 Plan.</w:t>
      </w:r>
    </w:p>
    <w:p>
      <w:pPr>
        <w:spacing w:after="0" w:line="110" w:lineRule="exact"/>
        <w:rPr>
          <w:sz w:val="20"/>
          <w:szCs w:val="20"/>
          <w:color w:val="auto"/>
        </w:rPr>
      </w:pPr>
    </w:p>
    <w:p>
      <w:pPr>
        <w:ind w:left="1260" w:right="539" w:firstLine="360"/>
        <w:spacing w:after="0" w:line="270" w:lineRule="auto"/>
        <w:rPr>
          <w:sz w:val="20"/>
          <w:szCs w:val="20"/>
          <w:color w:val="auto"/>
        </w:rPr>
      </w:pPr>
      <w:r>
        <w:rPr>
          <w:rFonts w:ascii="Arial" w:cs="Arial" w:eastAsia="Arial" w:hAnsi="Arial"/>
          <w:sz w:val="17"/>
          <w:szCs w:val="17"/>
          <w:color w:val="auto"/>
        </w:rPr>
        <w:t>As of June 30, 2021, 4,469,725 shares were remaining under the 2021 Plan. No shares were remaining under the 2009 Plan and 2014 Plan for future grant. As of December 31, 2020, nil and 3,981,178 shares were remaining under the 2009 Plan and the 2014 Plan, respectively, for future grant.</w:t>
      </w:r>
    </w:p>
    <w:p>
      <w:pPr>
        <w:spacing w:after="0" w:line="96" w:lineRule="exact"/>
        <w:rPr>
          <w:sz w:val="20"/>
          <w:szCs w:val="20"/>
          <w:color w:val="auto"/>
        </w:rPr>
      </w:pPr>
    </w:p>
    <w:p>
      <w:pPr>
        <w:ind w:left="1260" w:right="1059" w:firstLine="360"/>
        <w:spacing w:after="0" w:line="261" w:lineRule="auto"/>
        <w:rPr>
          <w:sz w:val="20"/>
          <w:szCs w:val="20"/>
          <w:color w:val="auto"/>
        </w:rPr>
      </w:pPr>
      <w:r>
        <w:rPr>
          <w:rFonts w:ascii="Arial" w:cs="Arial" w:eastAsia="Arial" w:hAnsi="Arial"/>
          <w:sz w:val="18"/>
          <w:szCs w:val="18"/>
          <w:color w:val="auto"/>
        </w:rPr>
        <w:t>A summary of share option activity under the 2009 Plan, the 2014 Plan, and the 2021 Plan is as follows: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4"/>
          </w:tcPr>
          <w:p>
            <w:pPr>
              <w:ind w:left="360"/>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6"/>
        </w:trPr>
        <w:tc>
          <w:tcPr>
            <w:tcW w:w="4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3"/>
        </w:trPr>
        <w:tc>
          <w:tcPr>
            <w:tcW w:w="4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Weighted-Average</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62"/>
        </w:trPr>
        <w:tc>
          <w:tcPr>
            <w:tcW w:w="4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Average</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w w:val="95"/>
              </w:rPr>
              <w:t>Intrinsic</w:t>
            </w:r>
          </w:p>
        </w:tc>
      </w:tr>
      <w:tr>
        <w:trPr>
          <w:trHeight w:val="162"/>
        </w:trPr>
        <w:tc>
          <w:tcPr>
            <w:tcW w:w="418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Number of</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Exercise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Contractual</w:t>
            </w:r>
          </w:p>
        </w:tc>
        <w:tc>
          <w:tcPr>
            <w:tcW w:w="120" w:type="dxa"/>
            <w:vAlign w:val="bottom"/>
          </w:tcPr>
          <w:p>
            <w:pPr>
              <w:spacing w:after="0"/>
              <w:rPr>
                <w:sz w:val="14"/>
                <w:szCs w:val="14"/>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Value</w:t>
            </w:r>
          </w:p>
        </w:tc>
      </w:tr>
      <w:tr>
        <w:trPr>
          <w:trHeight w:val="186"/>
        </w:trPr>
        <w:tc>
          <w:tcPr>
            <w:tcW w:w="4180" w:type="dxa"/>
            <w:vAlign w:val="bottom"/>
          </w:tcPr>
          <w:p>
            <w:pPr>
              <w:spacing w:after="0"/>
              <w:rPr>
                <w:sz w:val="16"/>
                <w:szCs w:val="16"/>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Term</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4"/>
              </w:rPr>
              <w:t>(in thousands)</w:t>
            </w:r>
          </w:p>
        </w:tc>
      </w:tr>
      <w:tr>
        <w:trPr>
          <w:trHeight w:val="26"/>
        </w:trPr>
        <w:tc>
          <w:tcPr>
            <w:tcW w:w="41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26,730,453</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118,155</w:t>
            </w:r>
          </w:p>
        </w:tc>
      </w:tr>
      <w:tr>
        <w:trPr>
          <w:trHeight w:val="257"/>
        </w:trPr>
        <w:tc>
          <w:tcPr>
            <w:tcW w:w="418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3,177,756</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7"/>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(3,028,530)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63"/>
        </w:trPr>
        <w:tc>
          <w:tcPr>
            <w:tcW w:w="4180" w:type="dxa"/>
            <w:vAlign w:val="bottom"/>
          </w:tcPr>
          <w:p>
            <w:pPr>
              <w:ind w:left="180"/>
              <w:spacing w:after="0"/>
              <w:rPr>
                <w:sz w:val="20"/>
                <w:szCs w:val="20"/>
                <w:color w:val="auto"/>
              </w:rPr>
            </w:pPr>
            <w:r>
              <w:rPr>
                <w:rFonts w:ascii="Arial" w:cs="Arial" w:eastAsia="Arial" w:hAnsi="Arial"/>
                <w:sz w:val="18"/>
                <w:szCs w:val="18"/>
                <w:color w:val="auto"/>
              </w:rPr>
              <w:t>Options canceled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(780,343)</w:t>
            </w: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95"/>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26,099,336</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1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8.5</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2,491,171</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r>
      <w:tr>
        <w:trPr>
          <w:trHeight w:val="231"/>
        </w:trPr>
        <w:tc>
          <w:tcPr>
            <w:tcW w:w="4180" w:type="dxa"/>
            <w:vAlign w:val="bottom"/>
          </w:tcPr>
          <w:p>
            <w:pPr>
              <w:spacing w:after="0"/>
              <w:rPr>
                <w:sz w:val="20"/>
                <w:szCs w:val="20"/>
                <w:color w:val="auto"/>
              </w:rPr>
            </w:pPr>
            <w:r>
              <w:rPr>
                <w:rFonts w:ascii="Arial" w:cs="Arial" w:eastAsia="Arial" w:hAnsi="Arial"/>
                <w:sz w:val="18"/>
                <w:szCs w:val="18"/>
                <w:color w:val="auto"/>
              </w:rPr>
              <w:t>Options vested and exercisable June 30, 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14,842,155</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6.6</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883,724</w:t>
            </w:r>
          </w:p>
        </w:tc>
      </w:tr>
      <w:tr>
        <w:trPr>
          <w:trHeight w:val="20"/>
        </w:trPr>
        <w:tc>
          <w:tcPr>
            <w:tcW w:w="4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-410845</wp:posOffset>
            </wp:positionV>
            <wp:extent cx="52120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-1079500</wp:posOffset>
            </wp:positionV>
            <wp:extent cx="13716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-1079500</wp:posOffset>
            </wp:positionV>
            <wp:extent cx="13716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-1079500</wp:posOffset>
            </wp:positionV>
            <wp:extent cx="13716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-1079500</wp:posOffset>
            </wp:positionV>
            <wp:extent cx="6858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Aggregate intrinsic value represents the difference between the exercise price of the options and the estimated fair value of common shares. The aggregate intrinsic value of options exercised was approximately $102.5 million for the six months ended June 30, 2021, and $0.7 million for the six months ended June 30, 2020.</w:t>
      </w:r>
    </w:p>
    <w:p>
      <w:pPr>
        <w:spacing w:after="0" w:line="120"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7"/>
          <w:szCs w:val="17"/>
          <w:color w:val="auto"/>
        </w:rPr>
        <w:t>The total fair value of share options granted during the six months ended June 30, 2021 and 2020, was approximately $ 23.9 million and $10.1 million, respectively, which is being recognized over the respective vesting periods. The total fair value of share options vested during the six months ended June 30, 2021 and 2020, was approximately $3.1 million and $1.8 million, respectively. The unamortized share-based compensation for the six months ended June 30, 2021 was approximately $817.2 million, and weighted average remaining amortization period as of June 30, 2021 was 3.9 years.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Black-Scholes Model used to value share options incorporates the following assumptions:</w:t>
      </w:r>
    </w:p>
    <w:p>
      <w:pPr>
        <w:spacing w:after="0" w:line="144"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b w:val="1"/>
          <w:bCs w:val="1"/>
          <w:i w:val="1"/>
          <w:iCs w:val="1"/>
          <w:color w:val="auto"/>
        </w:rPr>
        <w:t xml:space="preserve">Volatility — </w:t>
      </w:r>
      <w:r>
        <w:rPr>
          <w:rFonts w:ascii="Arial" w:cs="Arial" w:eastAsia="Arial" w:hAnsi="Arial"/>
          <w:sz w:val="18"/>
          <w:szCs w:val="18"/>
          <w:color w:val="auto"/>
        </w:rPr>
        <w:t>The expected share price volatilities are estimated based on the historical and implied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volatilities of comparable publicly traded companies as the Company does not have sufficient history of trading its common shares.</w:t>
      </w:r>
    </w:p>
    <w:p>
      <w:pPr>
        <w:spacing w:after="0" w:line="114"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b w:val="1"/>
          <w:bCs w:val="1"/>
          <w:i w:val="1"/>
          <w:iCs w:val="1"/>
          <w:color w:val="auto"/>
        </w:rPr>
        <w:t xml:space="preserve">Risk-Free Interest Rate — </w:t>
      </w:r>
      <w:r>
        <w:rPr>
          <w:rFonts w:ascii="Arial" w:cs="Arial" w:eastAsia="Arial" w:hAnsi="Arial"/>
          <w:sz w:val="18"/>
          <w:szCs w:val="18"/>
          <w:color w:val="auto"/>
        </w:rPr>
        <w:t>The risk-free interest rates are based on U.S. Treasury yields in effect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date for notes over the expected option term.</w:t>
      </w:r>
    </w:p>
    <w:p>
      <w:pPr>
        <w:spacing w:after="0" w:line="103"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b w:val="1"/>
          <w:bCs w:val="1"/>
          <w:i w:val="1"/>
          <w:iCs w:val="1"/>
          <w:color w:val="auto"/>
        </w:rPr>
        <w:t xml:space="preserve">Expected Life — </w:t>
      </w:r>
      <w:r>
        <w:rPr>
          <w:rFonts w:ascii="Arial" w:cs="Arial" w:eastAsia="Arial" w:hAnsi="Arial"/>
          <w:sz w:val="18"/>
          <w:szCs w:val="18"/>
          <w:color w:val="auto"/>
        </w:rPr>
        <w:t>The expected term of options granted to employees represents the period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share-based awards are expected to be outstanding. The Company utilizes historical data when establishing the expected term assumptions. For options granted with an extended exercise term, refer to the below section for details.</w:t>
      </w:r>
    </w:p>
    <w:p>
      <w:pPr>
        <w:spacing w:after="0" w:line="107" w:lineRule="exact"/>
        <w:rPr>
          <w:sz w:val="20"/>
          <w:szCs w:val="20"/>
          <w:color w:val="auto"/>
        </w:rPr>
      </w:pPr>
    </w:p>
    <w:p>
      <w:pPr>
        <w:jc w:val="both"/>
        <w:ind w:left="1260" w:right="539" w:firstLine="360"/>
        <w:spacing w:after="0" w:line="294" w:lineRule="auto"/>
        <w:rPr>
          <w:sz w:val="20"/>
          <w:szCs w:val="20"/>
          <w:color w:val="auto"/>
        </w:rPr>
      </w:pPr>
      <w:r>
        <w:rPr>
          <w:rFonts w:ascii="Arial" w:cs="Arial" w:eastAsia="Arial" w:hAnsi="Arial"/>
          <w:sz w:val="16"/>
          <w:szCs w:val="16"/>
          <w:b w:val="1"/>
          <w:bCs w:val="1"/>
          <w:i w:val="1"/>
          <w:iCs w:val="1"/>
          <w:color w:val="auto"/>
        </w:rPr>
        <w:t xml:space="preserve">Dividend Yield — </w:t>
      </w:r>
      <w:r>
        <w:rPr>
          <w:rFonts w:ascii="Arial" w:cs="Arial" w:eastAsia="Arial" w:hAnsi="Arial"/>
          <w:sz w:val="16"/>
          <w:szCs w:val="16"/>
          <w:color w:val="auto"/>
        </w:rPr>
        <w:t>The expected dividend yield assumption of zero is based on our current expectations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about our anticipated dividend policy over the expected option term, and an estimate of expected forfeiture rates. Over the course of the Company’s history, it has not declared or paid any dividends to shareholders.</w:t>
      </w:r>
    </w:p>
    <w:p>
      <w:pPr>
        <w:spacing w:after="0" w:line="80" w:lineRule="exact"/>
        <w:rPr>
          <w:sz w:val="20"/>
          <w:szCs w:val="20"/>
          <w:color w:val="auto"/>
        </w:rPr>
      </w:pPr>
    </w:p>
    <w:p>
      <w:pPr>
        <w:jc w:val="both"/>
        <w:ind w:left="1260" w:right="539" w:firstLine="360"/>
        <w:spacing w:after="0" w:line="291" w:lineRule="auto"/>
        <w:rPr>
          <w:sz w:val="20"/>
          <w:szCs w:val="20"/>
          <w:color w:val="auto"/>
        </w:rPr>
      </w:pPr>
      <w:r>
        <w:rPr>
          <w:rFonts w:ascii="Arial" w:cs="Arial" w:eastAsia="Arial" w:hAnsi="Arial"/>
          <w:sz w:val="17"/>
          <w:szCs w:val="17"/>
          <w:color w:val="auto"/>
        </w:rPr>
        <w:t>The Company estimates the fair value of the options utilizing the Black- Scholes option pricing model, which is dependent upon several variables, such as the expected option term, expected volatility of the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2" w:name="page243"/>
    <w:bookmarkEnd w:id="242"/>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rPr>
          <w:sz w:val="20"/>
          <w:szCs w:val="20"/>
          <w:color w:val="auto"/>
        </w:rPr>
      </w:pPr>
      <w:r>
        <w:rPr>
          <w:rFonts w:ascii="Arial" w:cs="Arial" w:eastAsia="Arial" w:hAnsi="Arial"/>
          <w:sz w:val="18"/>
          <w:szCs w:val="18"/>
          <w:color w:val="auto"/>
        </w:rPr>
        <w:t xml:space="preserve">Company’s share price over the expected term, expected risk-free interest rate over the expected option term, expected dividend yield rate over the expected option term, and an estimate of expected forfeiture rates. The Company believes this valuation methodology is appropriate for estimating the fair value of share options granted to employees and directors that are subject to ASC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requirements. These amounts are estimates and, thus, may not be reflective of actual future</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nor amounts ultimately realized by recipients of these grants.</w:t>
      </w:r>
    </w:p>
    <w:p>
      <w:pPr>
        <w:spacing w:after="0" w:line="108"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A summary of the assumptions the Company utilized to record compensation expense for share options granted during the three and six months ended June 30, 2021 and 2020, is as follows:</w:t>
      </w:r>
    </w:p>
    <w:p>
      <w:pPr>
        <w:spacing w:after="0" w:line="122"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Six Months Ended</w:t>
      </w:r>
    </w:p>
    <w:p>
      <w:pPr>
        <w:spacing w:after="0" w:line="17"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22225</wp:posOffset>
            </wp:positionV>
            <wp:extent cx="7200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6"/>
        </w:trPr>
        <w:tc>
          <w:tcPr>
            <w:tcW w:w="4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2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41.9%</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42.7%</w:t>
            </w:r>
          </w:p>
        </w:tc>
        <w:tc>
          <w:tcPr>
            <w:tcW w:w="100" w:type="dxa"/>
            <w:vAlign w:val="bottom"/>
          </w:tcPr>
          <w:p>
            <w:pPr>
              <w:spacing w:after="0"/>
              <w:rPr>
                <w:sz w:val="21"/>
                <w:szCs w:val="21"/>
                <w:color w:val="auto"/>
              </w:rPr>
            </w:pPr>
          </w:p>
        </w:tc>
      </w:tr>
      <w:tr>
        <w:trPr>
          <w:trHeight w:val="256"/>
        </w:trPr>
        <w:tc>
          <w:tcPr>
            <w:tcW w:w="42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r>
      <w:tr>
        <w:trPr>
          <w:trHeight w:val="257"/>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2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8"/>
                <w:szCs w:val="18"/>
                <w:color w:val="auto"/>
              </w:rPr>
              <w:t>Expected dividends</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311"/>
        </w:trPr>
        <w:tc>
          <w:tcPr>
            <w:tcW w:w="6460" w:type="dxa"/>
            <w:vAlign w:val="bottom"/>
            <w:gridSpan w:val="6"/>
          </w:tcPr>
          <w:p>
            <w:pPr>
              <w:ind w:left="360"/>
              <w:spacing w:after="0"/>
              <w:rPr>
                <w:sz w:val="20"/>
                <w:szCs w:val="20"/>
                <w:color w:val="auto"/>
              </w:rPr>
            </w:pPr>
            <w:r>
              <w:rPr>
                <w:rFonts w:ascii="Arial" w:cs="Arial" w:eastAsia="Arial" w:hAnsi="Arial"/>
                <w:sz w:val="18"/>
                <w:szCs w:val="18"/>
                <w:color w:val="auto"/>
              </w:rPr>
              <w:t>A summary of RSU award activity under the 2021 Plan is as follow:</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9"/>
        </w:trPr>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gridSpan w:val="5"/>
          </w:tcPr>
          <w:p>
            <w:pPr>
              <w:jc w:val="right"/>
              <w:ind w:right="430"/>
              <w:spacing w:after="0"/>
              <w:rPr>
                <w:sz w:val="20"/>
                <w:szCs w:val="20"/>
                <w:color w:val="auto"/>
              </w:rPr>
            </w:pPr>
            <w:r>
              <w:rPr>
                <w:rFonts w:ascii="Arial" w:cs="Arial" w:eastAsia="Arial" w:hAnsi="Arial"/>
                <w:sz w:val="14"/>
                <w:szCs w:val="14"/>
                <w:b w:val="1"/>
                <w:bCs w:val="1"/>
                <w:color w:val="auto"/>
              </w:rPr>
              <w:t>Restricted Stock Units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6"/>
          </w:tcPr>
          <w:p>
            <w:pPr>
              <w:spacing w:after="0"/>
              <w:rPr>
                <w:sz w:val="2"/>
                <w:szCs w:val="2"/>
                <w:color w:val="auto"/>
              </w:rPr>
            </w:pPr>
          </w:p>
        </w:tc>
        <w:tc>
          <w:tcPr>
            <w:tcW w:w="100" w:type="dxa"/>
            <w:vAlign w:val="bottom"/>
          </w:tcPr>
          <w:p>
            <w:pPr>
              <w:spacing w:after="0"/>
              <w:rPr>
                <w:sz w:val="2"/>
                <w:szCs w:val="2"/>
                <w:color w:val="auto"/>
              </w:rPr>
            </w:pPr>
          </w:p>
        </w:tc>
      </w:tr>
      <w:tr>
        <w:trPr>
          <w:trHeight w:val="173"/>
        </w:trPr>
        <w:tc>
          <w:tcPr>
            <w:tcW w:w="4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Performance-</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Average</w:t>
            </w:r>
          </w:p>
        </w:tc>
      </w:tr>
      <w:tr>
        <w:trPr>
          <w:trHeight w:val="162"/>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Time-Based</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Based</w:t>
            </w:r>
          </w:p>
        </w:tc>
        <w:tc>
          <w:tcPr>
            <w:tcW w:w="102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Total</w:t>
            </w:r>
          </w:p>
        </w:tc>
        <w:tc>
          <w:tcPr>
            <w:tcW w:w="8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3"/>
              </w:rPr>
              <w:t>Grant-Date</w:t>
            </w:r>
          </w:p>
        </w:tc>
      </w:tr>
      <w:tr>
        <w:trPr>
          <w:trHeight w:val="186"/>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102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7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Fair Value</w:t>
            </w:r>
          </w:p>
        </w:tc>
      </w:tr>
      <w:tr>
        <w:trPr>
          <w:trHeight w:val="26"/>
        </w:trPr>
        <w:tc>
          <w:tcPr>
            <w:tcW w:w="4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as of December 31, 2020</w:t>
            </w:r>
          </w:p>
        </w:tc>
        <w:tc>
          <w:tcPr>
            <w:tcW w:w="22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88"/>
              </w:rPr>
              <w:t>—</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56"/>
        </w:trPr>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9,729,078</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6,060,670</w:t>
            </w:r>
          </w:p>
        </w:tc>
        <w:tc>
          <w:tcPr>
            <w:tcW w:w="240" w:type="dxa"/>
            <w:vAlign w:val="bottom"/>
          </w:tcPr>
          <w:p>
            <w:pPr>
              <w:spacing w:after="0"/>
              <w:rPr>
                <w:sz w:val="22"/>
                <w:szCs w:val="22"/>
                <w:color w:val="auto"/>
              </w:rPr>
            </w:pPr>
          </w:p>
        </w:tc>
        <w:tc>
          <w:tcPr>
            <w:tcW w:w="1020" w:type="dxa"/>
            <w:vAlign w:val="bottom"/>
            <w:gridSpan w:val="3"/>
          </w:tcPr>
          <w:p>
            <w:pPr>
              <w:jc w:val="right"/>
              <w:ind w:right="130"/>
              <w:spacing w:after="0"/>
              <w:rPr>
                <w:sz w:val="20"/>
                <w:szCs w:val="20"/>
                <w:color w:val="auto"/>
              </w:rPr>
            </w:pPr>
            <w:r>
              <w:rPr>
                <w:rFonts w:ascii="Arial" w:cs="Arial" w:eastAsia="Arial" w:hAnsi="Arial"/>
                <w:sz w:val="18"/>
                <w:szCs w:val="18"/>
                <w:color w:val="auto"/>
                <w:w w:val="86"/>
              </w:rPr>
              <w:t>15,789,748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50.71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Cancelled/Forfeited</w:t>
            </w:r>
          </w:p>
        </w:tc>
        <w:tc>
          <w:tcPr>
            <w:tcW w:w="22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(26,150)</w:t>
            </w:r>
          </w:p>
        </w:tc>
        <w:tc>
          <w:tcPr>
            <w:tcW w:w="10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(26,150)</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56.06</w:t>
            </w:r>
          </w:p>
        </w:tc>
        <w:tc>
          <w:tcPr>
            <w:tcW w:w="12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4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Nonvested balance as of June 30, 2021</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9,702,928</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6,060,670</w:t>
            </w:r>
          </w:p>
        </w:tc>
        <w:tc>
          <w:tcPr>
            <w:tcW w:w="240" w:type="dxa"/>
            <w:vAlign w:val="bottom"/>
          </w:tcPr>
          <w:p>
            <w:pPr>
              <w:spacing w:after="0"/>
              <w:rPr>
                <w:sz w:val="23"/>
                <w:szCs w:val="23"/>
                <w:color w:val="auto"/>
              </w:rPr>
            </w:pPr>
          </w:p>
        </w:tc>
        <w:tc>
          <w:tcPr>
            <w:tcW w:w="1020" w:type="dxa"/>
            <w:vAlign w:val="bottom"/>
            <w:gridSpan w:val="3"/>
          </w:tcPr>
          <w:p>
            <w:pPr>
              <w:jc w:val="right"/>
              <w:ind w:right="130"/>
              <w:spacing w:after="0"/>
              <w:rPr>
                <w:sz w:val="20"/>
                <w:szCs w:val="20"/>
                <w:color w:val="auto"/>
              </w:rPr>
            </w:pPr>
            <w:r>
              <w:rPr>
                <w:rFonts w:ascii="Arial" w:cs="Arial" w:eastAsia="Arial" w:hAnsi="Arial"/>
                <w:sz w:val="18"/>
                <w:szCs w:val="18"/>
                <w:color w:val="auto"/>
                <w:w w:val="86"/>
              </w:rPr>
              <w:t>15,763,598</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50.70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5583555</wp:posOffset>
            </wp:positionH>
            <wp:positionV relativeFrom="paragraph">
              <wp:posOffset>-2270760</wp:posOffset>
            </wp:positionV>
            <wp:extent cx="13716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-2270760</wp:posOffset>
            </wp:positionV>
            <wp:extent cx="6858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-719455</wp:posOffset>
            </wp:positionV>
            <wp:extent cx="13716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-719455</wp:posOffset>
            </wp:positionV>
            <wp:extent cx="13716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-719455</wp:posOffset>
            </wp:positionV>
            <wp:extent cx="13716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-719455</wp:posOffset>
            </wp:positionV>
            <wp:extent cx="6858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ind w:left="1260" w:right="759" w:firstLine="360"/>
        <w:spacing w:after="0" w:line="271" w:lineRule="auto"/>
        <w:rPr>
          <w:sz w:val="20"/>
          <w:szCs w:val="20"/>
          <w:color w:val="auto"/>
        </w:rPr>
      </w:pPr>
      <w:r>
        <w:rPr>
          <w:rFonts w:ascii="Arial" w:cs="Arial" w:eastAsia="Arial" w:hAnsi="Arial"/>
          <w:sz w:val="16"/>
          <w:szCs w:val="16"/>
          <w:color w:val="auto"/>
        </w:rPr>
        <w:t>Time -based RSUs vest based on a performance condition and a service condition. The performance condition will be satisfied upon the Closing of the merger with CCIV, and service condition will be met generally over 4.0 years. The Company granted 5,232,507 shares of the time-based RSUs to the CEO.</w:t>
      </w:r>
    </w:p>
    <w:p>
      <w:pPr>
        <w:jc w:val="both"/>
        <w:ind w:left="1260" w:right="499"/>
        <w:spacing w:after="0" w:line="239" w:lineRule="auto"/>
        <w:rPr>
          <w:sz w:val="20"/>
          <w:szCs w:val="20"/>
          <w:color w:val="auto"/>
        </w:rPr>
      </w:pPr>
      <w:r>
        <w:rPr>
          <w:rFonts w:ascii="Arial" w:cs="Arial" w:eastAsia="Arial" w:hAnsi="Arial"/>
          <w:sz w:val="18"/>
          <w:szCs w:val="18"/>
          <w:color w:val="auto"/>
        </w:rPr>
        <w:t>Subject to the CEO’s continued employment on each vesting date, the CEO’s time-based RSUs will vest in sixteen equal quarterly installments beginning on the first Vesting date that is at least two months following the Closing.</w:t>
      </w:r>
    </w:p>
    <w:p>
      <w:pPr>
        <w:spacing w:after="0" w:line="10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The service condition for 25% of the Company’s non-CEO RSUs will be satisfied 375 days after the Closing. The remaining RSUs will be satisfied in equal quarterly installments thereafter, subject to continuous employment. The fair value of these award is estimated on the date of grant based on the market price of the CCIV’s stock times the actual exchange ratio on the Closing, discounted for lack of marketability.</w:t>
      </w:r>
    </w:p>
    <w:p>
      <w:pPr>
        <w:spacing w:after="0" w:line="10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All performance-based RSUs are granted to the CEO. The CEO performance RSUs will vest subject to the performance and market conditions. The performance condition will be satisfied upon the Closing of the merger. The market conditions will be satisfied and vest in five tranches based on the achievement of market capitalization goals applicable to each tranche over any six-month period subject to the CEO’s continued employment through the applicable vesting date. Any CEO performance RSUs that have not vested within five years after the Closing of the merger will be forfeited. The fair value of these award is estimated on the grant date using Monte Carlo simulation model, and used the following assumptions for the six months ended June 30, 2021:</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Six Months Ended</w:t>
            </w:r>
          </w:p>
        </w:tc>
      </w:tr>
      <w:tr>
        <w:trPr>
          <w:trHeight w:val="186"/>
        </w:trPr>
        <w:tc>
          <w:tcPr>
            <w:tcW w:w="708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Arial" w:cs="Arial" w:eastAsia="Arial" w:hAnsi="Arial"/>
                <w:sz w:val="14"/>
                <w:szCs w:val="14"/>
                <w:b w:val="1"/>
                <w:bCs w:val="1"/>
                <w:color w:val="auto"/>
              </w:rPr>
              <w:t>June 30, 2021</w:t>
            </w:r>
          </w:p>
        </w:tc>
      </w:tr>
      <w:tr>
        <w:trPr>
          <w:trHeight w:val="25"/>
        </w:trPr>
        <w:tc>
          <w:tcPr>
            <w:tcW w:w="70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1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60.0%</w:t>
            </w:r>
          </w:p>
        </w:tc>
      </w:tr>
      <w:tr>
        <w:trPr>
          <w:trHeight w:val="256"/>
        </w:trPr>
        <w:tc>
          <w:tcPr>
            <w:tcW w:w="70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tcPr>
          <w:p>
            <w:pPr>
              <w:jc w:val="right"/>
              <w:ind w:right="316"/>
              <w:spacing w:after="0"/>
              <w:rPr>
                <w:sz w:val="20"/>
                <w:szCs w:val="20"/>
                <w:color w:val="auto"/>
              </w:rPr>
            </w:pPr>
            <w:r>
              <w:rPr>
                <w:rFonts w:ascii="Arial" w:cs="Arial" w:eastAsia="Arial" w:hAnsi="Arial"/>
                <w:sz w:val="18"/>
                <w:szCs w:val="18"/>
                <w:color w:val="auto"/>
              </w:rPr>
              <w:t>5.0</w:t>
            </w:r>
          </w:p>
        </w:tc>
      </w:tr>
      <w:tr>
        <w:trPr>
          <w:trHeight w:val="25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0.9%</w:t>
            </w:r>
          </w:p>
        </w:tc>
      </w:tr>
      <w:tr>
        <w:trPr>
          <w:trHeight w:val="284"/>
        </w:trPr>
        <w:tc>
          <w:tcPr>
            <w:tcW w:w="7080" w:type="dxa"/>
            <w:vAlign w:val="bottom"/>
          </w:tcPr>
          <w:p>
            <w:pPr>
              <w:spacing w:after="0"/>
              <w:rPr>
                <w:sz w:val="20"/>
                <w:szCs w:val="20"/>
                <w:color w:val="auto"/>
              </w:rPr>
            </w:pPr>
            <w:r>
              <w:rPr>
                <w:rFonts w:ascii="Arial" w:cs="Arial" w:eastAsia="Arial" w:hAnsi="Arial"/>
                <w:sz w:val="18"/>
                <w:szCs w:val="18"/>
                <w:color w:val="auto"/>
              </w:rPr>
              <w:t>Expected dividends</w:t>
            </w:r>
          </w:p>
        </w:tc>
        <w:tc>
          <w:tcPr>
            <w:tcW w:w="1120" w:type="dxa"/>
            <w:vAlign w:val="bottom"/>
          </w:tcPr>
          <w:p>
            <w:pPr>
              <w:jc w:val="right"/>
              <w:ind w:right="316"/>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-668020</wp:posOffset>
            </wp:positionV>
            <wp:extent cx="44919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449199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5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3" w:name="page244"/>
    <w:bookmarkEnd w:id="243"/>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The Company recognizes compensation expense on a graded vesting schedule over the requisite vesting period for the time-based award. Stock-based compensation expense is recognized when the relevant performance condition is considered probable of achievement for the performance-based award. For the six months ended June 30, 2021, no compensation expense was recognized as the different vesting conditions were not met, and the performance condition cannot be deemed probable until the Closing occurs.</w:t>
      </w:r>
    </w:p>
    <w:p>
      <w:pPr>
        <w:spacing w:after="0" w:line="108"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Total employee and nonemployee share-based compensation expense, including that related to the extended exercise terms for senior management and consultants for the three and six months ended June 30, 2021 and 2020, is classified in the consolidated statements of operations as follows (in thousands):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14"/>
                <w:szCs w:val="14"/>
                <w:color w:val="auto"/>
              </w:rPr>
            </w:pPr>
          </w:p>
        </w:tc>
        <w:tc>
          <w:tcPr>
            <w:tcW w:w="132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w w:val="92"/>
              </w:rPr>
              <w:t>Six Months Ended</w:t>
            </w:r>
          </w:p>
        </w:tc>
      </w:tr>
      <w:tr>
        <w:trPr>
          <w:trHeight w:val="186"/>
        </w:trPr>
        <w:tc>
          <w:tcPr>
            <w:tcW w:w="524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right"/>
              <w:ind w:right="375"/>
              <w:spacing w:after="0"/>
              <w:rPr>
                <w:sz w:val="20"/>
                <w:szCs w:val="20"/>
                <w:color w:val="auto"/>
              </w:rPr>
            </w:pPr>
            <w:r>
              <w:rPr>
                <w:rFonts w:ascii="Arial" w:cs="Arial" w:eastAsia="Arial" w:hAnsi="Arial"/>
                <w:sz w:val="14"/>
                <w:szCs w:val="14"/>
                <w:b w:val="1"/>
                <w:bCs w:val="1"/>
                <w:color w:val="auto"/>
              </w:rPr>
              <w:t>June 30,</w:t>
            </w:r>
          </w:p>
        </w:tc>
      </w:tr>
      <w:tr>
        <w:trPr>
          <w:trHeight w:val="26"/>
        </w:trPr>
        <w:tc>
          <w:tcPr>
            <w:tcW w:w="52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8"/>
        </w:trPr>
        <w:tc>
          <w:tcPr>
            <w:tcW w:w="5240" w:type="dxa"/>
            <w:vAlign w:val="bottom"/>
          </w:tcPr>
          <w:p>
            <w:pPr>
              <w:spacing w:after="0"/>
              <w:rPr>
                <w:sz w:val="17"/>
                <w:szCs w:val="17"/>
                <w:color w:val="auto"/>
              </w:rPr>
            </w:pPr>
          </w:p>
        </w:tc>
        <w:tc>
          <w:tcPr>
            <w:tcW w:w="600" w:type="dxa"/>
            <w:vAlign w:val="bottom"/>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2020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rPr>
              <w:t>2020</w:t>
            </w:r>
          </w:p>
        </w:tc>
      </w:tr>
      <w:tr>
        <w:trPr>
          <w:trHeight w:val="26"/>
        </w:trPr>
        <w:tc>
          <w:tcPr>
            <w:tcW w:w="52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$13,539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$1,393</w:t>
            </w:r>
          </w:p>
        </w:tc>
      </w:tr>
      <w:tr>
        <w:trPr>
          <w:trHeight w:val="263"/>
        </w:trPr>
        <w:tc>
          <w:tcPr>
            <w:tcW w:w="52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jc w:val="right"/>
              <w:spacing w:after="0"/>
              <w:rPr>
                <w:sz w:val="20"/>
                <w:szCs w:val="20"/>
                <w:color w:val="auto"/>
              </w:rPr>
            </w:pPr>
            <w:r>
              <w:rPr>
                <w:rFonts w:ascii="Arial" w:cs="Arial" w:eastAsia="Arial" w:hAnsi="Arial"/>
                <w:sz w:val="18"/>
                <w:szCs w:val="18"/>
                <w:color w:val="auto"/>
              </w:rPr>
              <w:t>10,910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102,541</w:t>
            </w:r>
          </w:p>
        </w:tc>
        <w:tc>
          <w:tcPr>
            <w:tcW w:w="50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0"/>
        </w:trPr>
        <w:tc>
          <w:tcPr>
            <w:tcW w:w="5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90"/>
        </w:trPr>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$24,449</w:t>
            </w: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129,244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$1,981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-213995</wp:posOffset>
            </wp:positionV>
            <wp:extent cx="14605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31165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-556895</wp:posOffset>
            </wp:positionV>
            <wp:extent cx="13716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-556895</wp:posOffset>
            </wp:positionV>
            <wp:extent cx="13716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-556895</wp:posOffset>
            </wp:positionV>
            <wp:extent cx="13716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-556895</wp:posOffset>
            </wp:positionV>
            <wp:extent cx="6858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Total share-based compensation expense for the three and six months periods includes the</w:t>
      </w:r>
    </w:p>
    <w:p>
      <w:pPr>
        <w:spacing w:after="0" w:line="12" w:lineRule="exact"/>
        <w:rPr>
          <w:sz w:val="20"/>
          <w:szCs w:val="20"/>
          <w:color w:val="auto"/>
        </w:rPr>
      </w:pPr>
    </w:p>
    <w:p>
      <w:pPr>
        <w:ind w:left="1260" w:right="559"/>
        <w:spacing w:after="0" w:line="260" w:lineRule="auto"/>
        <w:rPr>
          <w:sz w:val="20"/>
          <w:szCs w:val="20"/>
          <w:color w:val="auto"/>
        </w:rPr>
      </w:pPr>
      <w:r>
        <w:rPr>
          <w:rFonts w:ascii="Arial" w:cs="Arial" w:eastAsia="Arial" w:hAnsi="Arial"/>
          <w:sz w:val="17"/>
          <w:szCs w:val="17"/>
          <w:color w:val="auto"/>
        </w:rPr>
        <w:t>$20.7 million and $123.6 million share- based compensation expense, respectively, related to the Series E convertible preferred shares issuance in March 2021 and April 2021. Refer to Note 5 “Contingent Forward Contracts” and Note 7 “Convertible Preferred Shares and Shareholders Deficit” for further detail.</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 LEASES</w:t>
      </w:r>
    </w:p>
    <w:p>
      <w:pPr>
        <w:spacing w:after="0" w:line="162"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The Company has entered into various non- cancellable operating and finance lease agreements for certain of the Company’s offices, manufacturing and warehouse facilities, retail and service locations, equipment, vehicles, and solar energy systems, worldwide. The Company has determined if an arrangement is a lease, or contains a lease, at inception and record the leases in the Company’s financial statements upon later of ASC 820 adoption date of January 1, 2021, or lease commencement, which is the date when the underlying asset is made available for use by the lessor.</w:t>
      </w:r>
    </w:p>
    <w:p>
      <w:pPr>
        <w:spacing w:after="0" w:line="122"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7"/>
          <w:szCs w:val="17"/>
          <w:color w:val="auto"/>
        </w:rPr>
        <w:t>Lease expense for operating lease payments is recognized on a straight-line basis over the lease term. Certain operating leases provide for annual increases to lease payments based on an index or rate. The Company estimates the annual increase in lease payments based on the index or rate at the lease commencement date, for both the Company’s historical leases and for new leases commencing after January 1, 2021. Differences between the estimated lease payment and actual payment are expensed as incurred. Lease expense for finance lease payments is recognized as amortization expense of the finance lease ROU asset and interest expense on the finance lease liability over the lease term.</w:t>
      </w:r>
    </w:p>
    <w:p>
      <w:pPr>
        <w:spacing w:after="0" w:line="99"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The balances for the operating and finance leases where the Company is the lessee are presented as follows within the Company’s consolidated balance sheet (in thousands):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4"/>
          </w:tcPr>
          <w:p>
            <w:pPr>
              <w:ind w:left="40"/>
              <w:spacing w:after="0"/>
              <w:rPr>
                <w:sz w:val="20"/>
                <w:szCs w:val="20"/>
                <w:color w:val="auto"/>
              </w:rPr>
            </w:pPr>
            <w:r>
              <w:rPr>
                <w:rFonts w:ascii="Arial" w:cs="Arial" w:eastAsia="Arial" w:hAnsi="Arial"/>
                <w:sz w:val="14"/>
                <w:szCs w:val="14"/>
                <w:b w:val="1"/>
                <w:bCs w:val="1"/>
                <w:color w:val="auto"/>
                <w:w w:val="87"/>
              </w:rPr>
              <w:t>As of June 30, 2021</w:t>
            </w:r>
          </w:p>
        </w:tc>
        <w:tc>
          <w:tcPr>
            <w:tcW w:w="0" w:type="dxa"/>
            <w:vAlign w:val="bottom"/>
          </w:tcPr>
          <w:p>
            <w:pPr>
              <w:spacing w:after="0"/>
              <w:rPr>
                <w:sz w:val="1"/>
                <w:szCs w:val="1"/>
                <w:color w:val="auto"/>
              </w:rPr>
            </w:pPr>
          </w:p>
        </w:tc>
      </w:tr>
      <w:tr>
        <w:trPr>
          <w:trHeight w:val="25"/>
        </w:trPr>
        <w:tc>
          <w:tcPr>
            <w:tcW w:w="6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126,655</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11,620</w:t>
            </w:r>
          </w:p>
        </w:tc>
        <w:tc>
          <w:tcPr>
            <w:tcW w:w="0" w:type="dxa"/>
            <w:vAlign w:val="bottom"/>
          </w:tcPr>
          <w:p>
            <w:pPr>
              <w:spacing w:after="0"/>
              <w:rPr>
                <w:sz w:val="1"/>
                <w:szCs w:val="1"/>
                <w:color w:val="auto"/>
              </w:rPr>
            </w:pPr>
          </w:p>
        </w:tc>
      </w:tr>
      <w:tr>
        <w:trPr>
          <w:trHeight w:val="277"/>
        </w:trPr>
        <w:tc>
          <w:tcPr>
            <w:tcW w:w="6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152,639</w:t>
            </w:r>
          </w:p>
        </w:tc>
        <w:tc>
          <w:tcPr>
            <w:tcW w:w="2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164,259</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Finance leases:</w:t>
            </w: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800" w:type="dxa"/>
            <w:vAlign w:val="bottom"/>
          </w:tcPr>
          <w:p>
            <w:pPr>
              <w:ind w:left="180"/>
              <w:spacing w:after="0"/>
              <w:rPr>
                <w:sz w:val="20"/>
                <w:szCs w:val="20"/>
                <w:color w:val="auto"/>
              </w:rPr>
            </w:pPr>
            <w:r>
              <w:rPr>
                <w:rFonts w:ascii="Arial" w:cs="Arial" w:eastAsia="Arial" w:hAnsi="Arial"/>
                <w:sz w:val="18"/>
                <w:szCs w:val="18"/>
                <w:color w:val="auto"/>
              </w:rPr>
              <w:t>Total finance lease assets</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6,442</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liabilities, current portion</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77"/>
        </w:trPr>
        <w:tc>
          <w:tcPr>
            <w:tcW w:w="6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Finance lease liabilities, net of current portion</w:t>
            </w: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2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finance lease liabilities</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6,535</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521208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-1302385</wp:posOffset>
            </wp:positionV>
            <wp:extent cx="521208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-1928495</wp:posOffset>
            </wp:positionV>
            <wp:extent cx="444881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444881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4" w:name="page245"/>
    <w:bookmarkEnd w:id="244"/>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The components of lease expense are as follows within the Company’s consolidated statement of operations (in thousands):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Three Months Ended</w:t>
            </w:r>
          </w:p>
        </w:tc>
        <w:tc>
          <w:tcPr>
            <w:tcW w:w="11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Six Months Ended</w:t>
            </w:r>
          </w:p>
        </w:tc>
      </w:tr>
      <w:tr>
        <w:trPr>
          <w:trHeight w:val="186"/>
        </w:trPr>
        <w:tc>
          <w:tcPr>
            <w:tcW w:w="19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June 30, 2021</w:t>
            </w: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June 30, 2021</w:t>
            </w:r>
          </w:p>
        </w:tc>
      </w:tr>
      <w:tr>
        <w:trPr>
          <w:trHeight w:val="26"/>
        </w:trPr>
        <w:tc>
          <w:tcPr>
            <w:tcW w:w="194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50"/>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lease expense:</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534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Operating lease expense</w:t>
            </w:r>
            <w:r>
              <w:rPr>
                <w:rFonts w:ascii="Arial" w:cs="Arial" w:eastAsia="Arial" w:hAnsi="Arial"/>
                <w:sz w:val="26"/>
                <w:szCs w:val="26"/>
                <w:color w:val="auto"/>
                <w:vertAlign w:val="superscript"/>
              </w:rPr>
              <w:t>(1)</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7,219</w:t>
            </w:r>
          </w:p>
        </w:tc>
        <w:tc>
          <w:tcPr>
            <w:tcW w:w="22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13,522</w:t>
            </w:r>
          </w:p>
        </w:tc>
        <w:tc>
          <w:tcPr>
            <w:tcW w:w="260" w:type="dxa"/>
            <w:vAlign w:val="bottom"/>
          </w:tcPr>
          <w:p>
            <w:pPr>
              <w:spacing w:after="0"/>
              <w:rPr>
                <w:sz w:val="23"/>
                <w:szCs w:val="23"/>
                <w:color w:val="auto"/>
              </w:rPr>
            </w:pPr>
          </w:p>
        </w:tc>
      </w:tr>
      <w:tr>
        <w:trPr>
          <w:trHeight w:val="256"/>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Variable lease expense</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579</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60" w:type="dxa"/>
            <w:vAlign w:val="bottom"/>
            <w:shd w:val="clear" w:color="auto" w:fill="CCEEFF"/>
          </w:tcPr>
          <w:p>
            <w:pPr>
              <w:spacing w:after="0"/>
              <w:rPr>
                <w:sz w:val="22"/>
                <w:szCs w:val="22"/>
                <w:color w:val="auto"/>
              </w:rPr>
            </w:pPr>
          </w:p>
        </w:tc>
      </w:tr>
      <w:tr>
        <w:trPr>
          <w:trHeight w:val="257"/>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Finance lease expense:</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57"/>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leased assets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637</w:t>
            </w:r>
          </w:p>
        </w:tc>
        <w:tc>
          <w:tcPr>
            <w:tcW w:w="2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60" w:type="dxa"/>
            <w:vAlign w:val="bottom"/>
            <w:shd w:val="clear" w:color="auto" w:fill="CCEEFF"/>
          </w:tcPr>
          <w:p>
            <w:pPr>
              <w:spacing w:after="0"/>
              <w:rPr>
                <w:sz w:val="22"/>
                <w:szCs w:val="22"/>
                <w:color w:val="auto"/>
              </w:rPr>
            </w:pPr>
          </w:p>
        </w:tc>
      </w:tr>
      <w:tr>
        <w:trPr>
          <w:trHeight w:val="263"/>
        </w:trPr>
        <w:tc>
          <w:tcPr>
            <w:tcW w:w="5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Interest on lease liabilities</w:t>
            </w:r>
          </w:p>
        </w:tc>
        <w:tc>
          <w:tcPr>
            <w:tcW w:w="2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4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Borders>
              <w:bottom w:val="single" w:sz="8" w:color="CCEEFF"/>
            </w:tcBorders>
          </w:tcPr>
          <w:p>
            <w:pPr>
              <w:spacing w:after="0"/>
              <w:rPr>
                <w:sz w:val="22"/>
                <w:szCs w:val="22"/>
                <w:color w:val="auto"/>
              </w:rPr>
            </w:pPr>
          </w:p>
        </w:tc>
      </w:tr>
      <w:tr>
        <w:trPr>
          <w:trHeight w:val="263"/>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finance lease expense</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741</w:t>
            </w:r>
          </w:p>
        </w:tc>
        <w:tc>
          <w:tcPr>
            <w:tcW w:w="2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260" w:type="dxa"/>
            <w:vAlign w:val="bottom"/>
            <w:shd w:val="clear" w:color="auto" w:fill="CCEEFF"/>
          </w:tcPr>
          <w:p>
            <w:pPr>
              <w:spacing w:after="0"/>
              <w:rPr>
                <w:sz w:val="22"/>
                <w:szCs w:val="22"/>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70"/>
        </w:trPr>
        <w:tc>
          <w:tcPr>
            <w:tcW w:w="5340" w:type="dxa"/>
            <w:vAlign w:val="bottom"/>
            <w:gridSpan w:val="2"/>
          </w:tcPr>
          <w:p>
            <w:pPr>
              <w:spacing w:after="0"/>
              <w:rPr>
                <w:sz w:val="20"/>
                <w:szCs w:val="20"/>
                <w:color w:val="auto"/>
              </w:rPr>
            </w:pPr>
            <w:r>
              <w:rPr>
                <w:rFonts w:ascii="Arial" w:cs="Arial" w:eastAsia="Arial" w:hAnsi="Arial"/>
                <w:sz w:val="18"/>
                <w:szCs w:val="18"/>
                <w:color w:val="auto"/>
              </w:rPr>
              <w:t>Total lease expense</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8,539</w:t>
            </w:r>
          </w:p>
        </w:tc>
        <w:tc>
          <w:tcPr>
            <w:tcW w:w="22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16,126</w:t>
            </w:r>
          </w:p>
        </w:tc>
        <w:tc>
          <w:tcPr>
            <w:tcW w:w="260" w:type="dxa"/>
            <w:vAlign w:val="bottom"/>
          </w:tcPr>
          <w:p>
            <w:pPr>
              <w:spacing w:after="0"/>
              <w:rPr>
                <w:sz w:val="23"/>
                <w:szCs w:val="23"/>
                <w:color w:val="auto"/>
              </w:rPr>
            </w:pPr>
          </w:p>
        </w:tc>
      </w:tr>
      <w:tr>
        <w:trPr>
          <w:trHeight w:val="21"/>
        </w:trPr>
        <w:tc>
          <w:tcPr>
            <w:tcW w:w="19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15"/>
        </w:trPr>
        <w:tc>
          <w:tcPr>
            <w:tcW w:w="1940" w:type="dxa"/>
            <w:vAlign w:val="bottom"/>
            <w:tcBorders>
              <w:bottom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-479425</wp:posOffset>
            </wp:positionV>
            <wp:extent cx="52120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-1482090</wp:posOffset>
            </wp:positionV>
            <wp:extent cx="44919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128" w:lineRule="exact"/>
        <w:rPr>
          <w:sz w:val="20"/>
          <w:szCs w:val="20"/>
          <w:color w:val="auto"/>
        </w:rPr>
      </w:pPr>
    </w:p>
    <w:p>
      <w:pPr>
        <w:ind w:left="1620" w:hanging="360"/>
        <w:spacing w:after="0"/>
        <w:tabs>
          <w:tab w:leader="none" w:pos="1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Includes short-term leases, which are immaterial.</w:t>
      </w:r>
    </w:p>
    <w:p>
      <w:pPr>
        <w:spacing w:after="0" w:line="211"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Other information related to leases where the Company is the lessee is as follows: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87"/>
              </w:rPr>
              <w:t>As of June 30, 2021</w:t>
            </w:r>
          </w:p>
        </w:tc>
      </w:tr>
      <w:tr>
        <w:trPr>
          <w:trHeight w:val="26"/>
        </w:trPr>
        <w:tc>
          <w:tcPr>
            <w:tcW w:w="70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180" w:type="dxa"/>
            <w:vAlign w:val="bottom"/>
            <w:shd w:val="clear" w:color="auto" w:fill="CCEEFF"/>
          </w:tcPr>
          <w:p>
            <w:pPr>
              <w:spacing w:after="0"/>
              <w:rPr>
                <w:sz w:val="21"/>
                <w:szCs w:val="21"/>
                <w:color w:val="auto"/>
              </w:rPr>
            </w:pPr>
          </w:p>
        </w:tc>
      </w:tr>
      <w:tr>
        <w:trPr>
          <w:trHeight w:val="257"/>
        </w:trPr>
        <w:tc>
          <w:tcPr>
            <w:tcW w:w="702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180" w:type="dxa"/>
            <w:vAlign w:val="bottom"/>
          </w:tcPr>
          <w:p>
            <w:pPr>
              <w:jc w:val="right"/>
              <w:ind w:right="294"/>
              <w:spacing w:after="0"/>
              <w:rPr>
                <w:sz w:val="20"/>
                <w:szCs w:val="20"/>
                <w:color w:val="auto"/>
              </w:rPr>
            </w:pPr>
            <w:r>
              <w:rPr>
                <w:rFonts w:ascii="Arial" w:cs="Arial" w:eastAsia="Arial" w:hAnsi="Arial"/>
                <w:sz w:val="18"/>
                <w:szCs w:val="18"/>
                <w:color w:val="auto"/>
              </w:rPr>
              <w:t>8.2</w:t>
            </w:r>
          </w:p>
        </w:tc>
      </w:tr>
      <w:tr>
        <w:trPr>
          <w:trHeight w:val="257"/>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2.5</w:t>
            </w:r>
          </w:p>
        </w:tc>
      </w:tr>
      <w:tr>
        <w:trPr>
          <w:trHeight w:val="270"/>
        </w:trPr>
        <w:tc>
          <w:tcPr>
            <w:tcW w:w="702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1180" w:type="dxa"/>
            <w:vAlign w:val="bottom"/>
          </w:tcPr>
          <w:p>
            <w:pPr>
              <w:spacing w:after="0"/>
              <w:rPr>
                <w:sz w:val="23"/>
                <w:szCs w:val="23"/>
                <w:color w:val="auto"/>
              </w:rPr>
            </w:pPr>
          </w:p>
        </w:tc>
      </w:tr>
      <w:tr>
        <w:trPr>
          <w:trHeight w:val="27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11.03%</w:t>
            </w:r>
          </w:p>
        </w:tc>
      </w:tr>
      <w:tr>
        <w:trPr>
          <w:trHeight w:val="270"/>
        </w:trPr>
        <w:tc>
          <w:tcPr>
            <w:tcW w:w="702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-1010920</wp:posOffset>
            </wp:positionV>
            <wp:extent cx="445770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128"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Supplemental cash flow information related to leases where the Company is the lessee is as follows (in thousands):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Six Months Ended</w:t>
            </w:r>
          </w:p>
        </w:tc>
      </w:tr>
      <w:tr>
        <w:trPr>
          <w:trHeight w:val="186"/>
        </w:trPr>
        <w:tc>
          <w:tcPr>
            <w:tcW w:w="7080" w:type="dxa"/>
            <w:vAlign w:val="bottom"/>
          </w:tcPr>
          <w:p>
            <w:pPr>
              <w:spacing w:after="0"/>
              <w:rPr>
                <w:sz w:val="16"/>
                <w:szCs w:val="16"/>
                <w:color w:val="auto"/>
              </w:rPr>
            </w:pPr>
          </w:p>
        </w:tc>
        <w:tc>
          <w:tcPr>
            <w:tcW w:w="1120" w:type="dxa"/>
            <w:vAlign w:val="bottom"/>
          </w:tcPr>
          <w:p>
            <w:pPr>
              <w:jc w:val="right"/>
              <w:ind w:right="75"/>
              <w:spacing w:after="0"/>
              <w:rPr>
                <w:sz w:val="20"/>
                <w:szCs w:val="20"/>
                <w:color w:val="auto"/>
              </w:rPr>
            </w:pPr>
            <w:r>
              <w:rPr>
                <w:rFonts w:ascii="Arial" w:cs="Arial" w:eastAsia="Arial" w:hAnsi="Arial"/>
                <w:sz w:val="14"/>
                <w:szCs w:val="14"/>
                <w:b w:val="1"/>
                <w:bCs w:val="1"/>
                <w:color w:val="auto"/>
              </w:rPr>
              <w:t>June 30, 2021</w:t>
            </w:r>
          </w:p>
        </w:tc>
      </w:tr>
      <w:tr>
        <w:trPr>
          <w:trHeight w:val="25"/>
        </w:trPr>
        <w:tc>
          <w:tcPr>
            <w:tcW w:w="70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120" w:type="dxa"/>
            <w:vAlign w:val="bottom"/>
            <w:shd w:val="clear" w:color="auto" w:fill="CCEEFF"/>
          </w:tcPr>
          <w:p>
            <w:pPr>
              <w:spacing w:after="0"/>
              <w:rPr>
                <w:sz w:val="21"/>
                <w:szCs w:val="21"/>
                <w:color w:val="auto"/>
              </w:rPr>
            </w:pPr>
          </w:p>
        </w:tc>
      </w:tr>
      <w:tr>
        <w:trPr>
          <w:trHeight w:val="257"/>
        </w:trPr>
        <w:tc>
          <w:tcPr>
            <w:tcW w:w="708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$ 7,742</w:t>
            </w:r>
          </w:p>
        </w:tc>
      </w:tr>
      <w:tr>
        <w:trPr>
          <w:trHeight w:val="25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from finance leases (interest payments)</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213</w:t>
            </w:r>
          </w:p>
        </w:tc>
      </w:tr>
      <w:tr>
        <w:trPr>
          <w:trHeight w:val="257"/>
        </w:trPr>
        <w:tc>
          <w:tcPr>
            <w:tcW w:w="7080" w:type="dxa"/>
            <w:vAlign w:val="bottom"/>
          </w:tcPr>
          <w:p>
            <w:pPr>
              <w:spacing w:after="0"/>
              <w:rPr>
                <w:sz w:val="20"/>
                <w:szCs w:val="20"/>
                <w:color w:val="auto"/>
              </w:rPr>
            </w:pPr>
            <w:r>
              <w:rPr>
                <w:rFonts w:ascii="Arial" w:cs="Arial" w:eastAsia="Arial" w:hAnsi="Arial"/>
                <w:sz w:val="18"/>
                <w:szCs w:val="18"/>
                <w:color w:val="auto"/>
              </w:rPr>
              <w:t>Financing cash flows from finance leases</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1,364</w:t>
            </w:r>
          </w:p>
        </w:tc>
      </w:tr>
      <w:tr>
        <w:trPr>
          <w:trHeight w:val="27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1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43,780</w:t>
            </w:r>
          </w:p>
        </w:tc>
      </w:tr>
      <w:tr>
        <w:trPr>
          <w:trHeight w:val="270"/>
        </w:trPr>
        <w:tc>
          <w:tcPr>
            <w:tcW w:w="7080" w:type="dxa"/>
            <w:vAlign w:val="bottom"/>
          </w:tcPr>
          <w:p>
            <w:pPr>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4,437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-1002665</wp:posOffset>
            </wp:positionV>
            <wp:extent cx="44919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4491990" cy="8890"/>
                    </a:xfrm>
                    <a:prstGeom prst="rect">
                      <a:avLst/>
                    </a:prstGeom>
                    <a:noFill/>
                  </pic:spPr>
                </pic:pic>
              </a:graphicData>
            </a:graphic>
          </wp:anchor>
        </w:drawing>
      </w:r>
    </w:p>
    <w:p>
      <w:pPr>
        <w:spacing w:after="0" w:line="141"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As of June 30, 2021, the maturities of the Company’s operating and finance lease liabilities (excluding short-term leases)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5" w:name="page246"/>
    <w:bookmarkEnd w:id="245"/>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1280" w:type="dxa"/>
            <w:vAlign w:val="bottom"/>
            <w:gridSpan w:val="5"/>
          </w:tcPr>
          <w:p>
            <w:pPr>
              <w:ind w:left="20"/>
              <w:spacing w:after="0"/>
              <w:rPr>
                <w:sz w:val="20"/>
                <w:szCs w:val="20"/>
                <w:color w:val="auto"/>
              </w:rPr>
            </w:pPr>
            <w:r>
              <w:rPr>
                <w:rFonts w:ascii="Arial" w:cs="Arial" w:eastAsia="Arial" w:hAnsi="Arial"/>
                <w:sz w:val="14"/>
                <w:szCs w:val="14"/>
                <w:b w:val="1"/>
                <w:bCs w:val="1"/>
                <w:color w:val="auto"/>
              </w:rPr>
              <w:t>Operating Leases</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Finance Leases</w:t>
            </w:r>
          </w:p>
        </w:tc>
      </w:tr>
      <w:tr>
        <w:trPr>
          <w:trHeight w:val="26"/>
        </w:trPr>
        <w:tc>
          <w:tcPr>
            <w:tcW w:w="6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Six months ending June 30, 2021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14,825</w:t>
            </w:r>
          </w:p>
        </w:tc>
        <w:tc>
          <w:tcPr>
            <w:tcW w:w="2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$1,496</w:t>
            </w:r>
          </w:p>
        </w:tc>
      </w:tr>
      <w:tr>
        <w:trPr>
          <w:trHeight w:val="257"/>
        </w:trPr>
        <w:tc>
          <w:tcPr>
            <w:tcW w:w="600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31,431</w:t>
            </w:r>
          </w:p>
        </w:tc>
        <w:tc>
          <w:tcPr>
            <w:tcW w:w="220" w:type="dxa"/>
            <w:vAlign w:val="bottom"/>
          </w:tcPr>
          <w:p>
            <w:pPr>
              <w:spacing w:after="0"/>
              <w:rPr>
                <w:sz w:val="22"/>
                <w:szCs w:val="22"/>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2,810</w:t>
            </w:r>
          </w:p>
        </w:tc>
      </w:tr>
      <w:tr>
        <w:trPr>
          <w:trHeight w:val="257"/>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30,577</w:t>
            </w:r>
          </w:p>
        </w:tc>
        <w:tc>
          <w:tcPr>
            <w:tcW w:w="22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2,457</w:t>
            </w:r>
          </w:p>
        </w:tc>
      </w:tr>
      <w:tr>
        <w:trPr>
          <w:trHeight w:val="257"/>
        </w:trPr>
        <w:tc>
          <w:tcPr>
            <w:tcW w:w="600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30,822</w:t>
            </w:r>
          </w:p>
        </w:tc>
        <w:tc>
          <w:tcPr>
            <w:tcW w:w="220" w:type="dxa"/>
            <w:vAlign w:val="bottom"/>
          </w:tcPr>
          <w:p>
            <w:pPr>
              <w:spacing w:after="0"/>
              <w:rPr>
                <w:sz w:val="22"/>
                <w:szCs w:val="22"/>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318</w:t>
            </w: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29,778</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63"/>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121,109</w:t>
            </w: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2"/>
                <w:szCs w:val="22"/>
                <w:color w:val="auto"/>
              </w:rPr>
            </w:pPr>
          </w:p>
        </w:tc>
      </w:tr>
      <w:tr>
        <w:trPr>
          <w:trHeight w:val="257"/>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258,542</w:t>
            </w:r>
          </w:p>
        </w:tc>
        <w:tc>
          <w:tcPr>
            <w:tcW w:w="22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7,081</w:t>
            </w:r>
          </w:p>
        </w:tc>
      </w:tr>
      <w:tr>
        <w:trPr>
          <w:trHeight w:val="263"/>
        </w:trPr>
        <w:tc>
          <w:tcPr>
            <w:tcW w:w="6000" w:type="dxa"/>
            <w:vAlign w:val="bottom"/>
          </w:tcPr>
          <w:p>
            <w:pPr>
              <w:spacing w:after="0"/>
              <w:rPr>
                <w:sz w:val="20"/>
                <w:szCs w:val="20"/>
                <w:color w:val="auto"/>
              </w:rPr>
            </w:pPr>
            <w:r>
              <w:rPr>
                <w:rFonts w:ascii="Arial" w:cs="Arial" w:eastAsia="Arial" w:hAnsi="Arial"/>
                <w:sz w:val="18"/>
                <w:szCs w:val="18"/>
                <w:color w:val="auto"/>
              </w:rPr>
              <w:t>Less: Interest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(94,283)</w:t>
            </w:r>
          </w:p>
        </w:tc>
        <w:tc>
          <w:tcPr>
            <w:tcW w:w="220" w:type="dxa"/>
            <w:vAlign w:val="bottom"/>
          </w:tcPr>
          <w:p>
            <w:pPr>
              <w:spacing w:after="0"/>
              <w:rPr>
                <w:sz w:val="22"/>
                <w:szCs w:val="22"/>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(546)</w:t>
            </w:r>
          </w:p>
        </w:tc>
      </w:tr>
      <w:tr>
        <w:trPr>
          <w:trHeight w:val="257"/>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obligations</w:t>
            </w:r>
          </w:p>
        </w:tc>
        <w:tc>
          <w:tcPr>
            <w:tcW w:w="1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164,259</w:t>
            </w:r>
          </w:p>
        </w:tc>
        <w:tc>
          <w:tcPr>
            <w:tcW w:w="1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200" w:type="dxa"/>
            <w:vAlign w:val="bottom"/>
            <w:tcBorders>
              <w:top w:val="single" w:sz="8" w:color="CCEEFF"/>
            </w:tcBorders>
            <w:shd w:val="clear" w:color="auto" w:fill="CCEEFF"/>
          </w:tcPr>
          <w:p>
            <w:pPr>
              <w:spacing w:after="0"/>
              <w:rPr>
                <w:sz w:val="22"/>
                <w:szCs w:val="22"/>
                <w:color w:val="auto"/>
              </w:rPr>
            </w:pPr>
          </w:p>
        </w:tc>
      </w:tr>
      <w:tr>
        <w:trPr>
          <w:trHeight w:val="263"/>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11,620</w:t>
            </w: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200" w:type="dxa"/>
            <w:vAlign w:val="bottom"/>
            <w:tcBorders>
              <w:bottom w:val="single" w:sz="8" w:color="CCEEFF"/>
            </w:tcBorders>
          </w:tcPr>
          <w:p>
            <w:pPr>
              <w:spacing w:after="0"/>
              <w:rPr>
                <w:sz w:val="22"/>
                <w:szCs w:val="22"/>
                <w:color w:val="auto"/>
              </w:rPr>
            </w:pPr>
          </w:p>
        </w:tc>
      </w:tr>
      <w:tr>
        <w:trPr>
          <w:trHeight w:val="29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lease obligations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152,639</w:t>
            </w:r>
          </w:p>
        </w:tc>
        <w:tc>
          <w:tcPr>
            <w:tcW w:w="22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$3,963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521208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-899795</wp:posOffset>
            </wp:positionV>
            <wp:extent cx="521208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-1893570</wp:posOffset>
            </wp:positionV>
            <wp:extent cx="462026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209" w:lineRule="exact"/>
        <w:rPr>
          <w:sz w:val="20"/>
          <w:szCs w:val="20"/>
          <w:color w:val="auto"/>
        </w:rPr>
      </w:pPr>
    </w:p>
    <w:p>
      <w:pPr>
        <w:jc w:val="both"/>
        <w:ind w:left="1260" w:right="1320" w:firstLine="360"/>
        <w:spacing w:after="0" w:line="263" w:lineRule="auto"/>
        <w:rPr>
          <w:sz w:val="20"/>
          <w:szCs w:val="20"/>
          <w:color w:val="auto"/>
        </w:rPr>
      </w:pPr>
      <w:r>
        <w:rPr>
          <w:rFonts w:ascii="Arial" w:cs="Arial" w:eastAsia="Arial" w:hAnsi="Arial"/>
          <w:sz w:val="18"/>
          <w:szCs w:val="18"/>
          <w:color w:val="auto"/>
        </w:rPr>
        <w:t>As previously reported in the Company’s audited financial statements for the year ended December 31, 2020 and under legacy lease accounting (ASC 840), future minimum lease payments under non-cancellable leases as of December 31, 2020 are as follows (in thousands):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1280" w:type="dxa"/>
            <w:vAlign w:val="bottom"/>
            <w:gridSpan w:val="5"/>
          </w:tcPr>
          <w:p>
            <w:pPr>
              <w:ind w:left="20"/>
              <w:spacing w:after="0"/>
              <w:rPr>
                <w:sz w:val="20"/>
                <w:szCs w:val="20"/>
                <w:color w:val="auto"/>
              </w:rPr>
            </w:pPr>
            <w:r>
              <w:rPr>
                <w:rFonts w:ascii="Arial" w:cs="Arial" w:eastAsia="Arial" w:hAnsi="Arial"/>
                <w:sz w:val="14"/>
                <w:szCs w:val="14"/>
                <w:b w:val="1"/>
                <w:bCs w:val="1"/>
                <w:color w:val="auto"/>
              </w:rPr>
              <w:t>Operating Leases</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Finance Leases</w:t>
            </w:r>
          </w:p>
        </w:tc>
      </w:tr>
      <w:tr>
        <w:trPr>
          <w:trHeight w:val="26"/>
        </w:trPr>
        <w:tc>
          <w:tcPr>
            <w:tcW w:w="6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25,490</w:t>
            </w:r>
          </w:p>
        </w:tc>
        <w:tc>
          <w:tcPr>
            <w:tcW w:w="2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$ 1,729</w:t>
            </w:r>
          </w:p>
        </w:tc>
      </w:tr>
      <w:tr>
        <w:trPr>
          <w:trHeight w:val="257"/>
        </w:trPr>
        <w:tc>
          <w:tcPr>
            <w:tcW w:w="600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28,837</w:t>
            </w:r>
          </w:p>
        </w:tc>
        <w:tc>
          <w:tcPr>
            <w:tcW w:w="200" w:type="dxa"/>
            <w:vAlign w:val="bottom"/>
          </w:tcPr>
          <w:p>
            <w:pPr>
              <w:spacing w:after="0"/>
              <w:rPr>
                <w:sz w:val="22"/>
                <w:szCs w:val="22"/>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1,547</w:t>
            </w:r>
          </w:p>
        </w:tc>
      </w:tr>
      <w:tr>
        <w:trPr>
          <w:trHeight w:val="257"/>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27,633</w:t>
            </w:r>
          </w:p>
        </w:tc>
        <w:tc>
          <w:tcPr>
            <w:tcW w:w="20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1,174</w:t>
            </w:r>
          </w:p>
        </w:tc>
      </w:tr>
      <w:tr>
        <w:trPr>
          <w:trHeight w:val="257"/>
        </w:trPr>
        <w:tc>
          <w:tcPr>
            <w:tcW w:w="600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28,207</w:t>
            </w:r>
          </w:p>
        </w:tc>
        <w:tc>
          <w:tcPr>
            <w:tcW w:w="200" w:type="dxa"/>
            <w:vAlign w:val="bottom"/>
          </w:tcPr>
          <w:p>
            <w:pPr>
              <w:spacing w:after="0"/>
              <w:rPr>
                <w:sz w:val="22"/>
                <w:szCs w:val="22"/>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27,474</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63"/>
        </w:trPr>
        <w:tc>
          <w:tcPr>
            <w:tcW w:w="600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116,155</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6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9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253,796</w:t>
            </w:r>
          </w:p>
        </w:tc>
        <w:tc>
          <w:tcPr>
            <w:tcW w:w="20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4,459</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24"/>
        </w:trPr>
        <w:tc>
          <w:tcPr>
            <w:tcW w:w="6000" w:type="dxa"/>
            <w:vAlign w:val="bottom"/>
          </w:tcPr>
          <w:p>
            <w:pPr>
              <w:spacing w:after="0"/>
              <w:rPr>
                <w:sz w:val="20"/>
                <w:szCs w:val="20"/>
                <w:color w:val="auto"/>
              </w:rPr>
            </w:pPr>
            <w:r>
              <w:rPr>
                <w:rFonts w:ascii="Arial" w:cs="Arial" w:eastAsia="Arial" w:hAnsi="Arial"/>
                <w:sz w:val="18"/>
                <w:szCs w:val="18"/>
                <w:color w:val="auto"/>
              </w:rPr>
              <w:t>Less: Interest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(1,202)</w:t>
            </w:r>
          </w:p>
        </w:tc>
      </w:tr>
      <w:tr>
        <w:trPr>
          <w:trHeight w:val="25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obligations</w:t>
            </w:r>
          </w:p>
        </w:tc>
        <w:tc>
          <w:tcPr>
            <w:tcW w:w="2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60" w:type="dxa"/>
            <w:vAlign w:val="bottom"/>
            <w:tcBorders>
              <w:top w:val="single" w:sz="8" w:color="CCEEFF"/>
            </w:tcBorders>
            <w:shd w:val="clear" w:color="auto" w:fill="CCEEFF"/>
          </w:tcPr>
          <w:p>
            <w:pPr>
              <w:spacing w:after="0"/>
              <w:rPr>
                <w:sz w:val="22"/>
                <w:szCs w:val="22"/>
                <w:color w:val="auto"/>
              </w:rPr>
            </w:pPr>
          </w:p>
        </w:tc>
      </w:tr>
      <w:tr>
        <w:trPr>
          <w:trHeight w:val="264"/>
        </w:trPr>
        <w:tc>
          <w:tcPr>
            <w:tcW w:w="6000" w:type="dxa"/>
            <w:vAlign w:val="bottom"/>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r>
      <w:tr>
        <w:trPr>
          <w:trHeight w:val="295"/>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lease obligations</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521208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-933450</wp:posOffset>
            </wp:positionV>
            <wp:extent cx="521208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-1928495</wp:posOffset>
            </wp:positionV>
            <wp:extent cx="462915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jc w:val="both"/>
        <w:ind w:left="1260" w:right="1540" w:firstLine="360"/>
        <w:spacing w:after="0" w:line="286" w:lineRule="auto"/>
        <w:rPr>
          <w:sz w:val="20"/>
          <w:szCs w:val="20"/>
          <w:color w:val="auto"/>
        </w:rPr>
      </w:pPr>
      <w:r>
        <w:rPr>
          <w:rFonts w:ascii="Arial" w:cs="Arial" w:eastAsia="Arial" w:hAnsi="Arial"/>
          <w:sz w:val="17"/>
          <w:szCs w:val="17"/>
          <w:color w:val="auto"/>
        </w:rPr>
        <w:t>As of June 30, 2021, and December 31, 2020, the Company had $79.2 million and $406.1 million in commitments related to the Arizona manufacturing plant and equipment. This represents future expected payments on open purchase orders entered as of June 30, 2021, and December 31, 2020.</w:t>
      </w:r>
    </w:p>
    <w:p>
      <w:pPr>
        <w:spacing w:after="0" w:line="98" w:lineRule="exact"/>
        <w:rPr>
          <w:sz w:val="20"/>
          <w:szCs w:val="20"/>
          <w:color w:val="auto"/>
        </w:rPr>
      </w:pPr>
    </w:p>
    <w:p>
      <w:pPr>
        <w:ind w:left="1260" w:right="1380" w:firstLine="360"/>
        <w:spacing w:after="0" w:line="259" w:lineRule="auto"/>
        <w:rPr>
          <w:sz w:val="20"/>
          <w:szCs w:val="20"/>
          <w:color w:val="auto"/>
        </w:rPr>
      </w:pPr>
      <w:r>
        <w:rPr>
          <w:rFonts w:ascii="Arial" w:cs="Arial" w:eastAsia="Arial" w:hAnsi="Arial"/>
          <w:sz w:val="18"/>
          <w:szCs w:val="18"/>
          <w:color w:val="auto"/>
        </w:rPr>
        <w:t>The Company entered into non-cancellable purchase commitment to purchase battery cells over the next 3 years with various vendors. Battery cell costs can fluctuate from time to time based on, among other things, supply and demand, costs of raw materials, and purchase volumes. The estimated purchase commitment as of June 30, 2021 is set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Arial" w:cs="Arial" w:eastAsia="Arial" w:hAnsi="Arial"/>
                <w:sz w:val="14"/>
                <w:szCs w:val="14"/>
                <w:b w:val="1"/>
                <w:bCs w:val="1"/>
                <w:color w:val="auto"/>
              </w:rPr>
              <w:t>Years ended December 31,</w:t>
            </w: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Minimum Purchase Commitment</w:t>
            </w: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260" w:type="dxa"/>
            <w:vAlign w:val="bottom"/>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2021 (remainder of the year)</w:t>
            </w:r>
          </w:p>
        </w:tc>
        <w:tc>
          <w:tcPr>
            <w:tcW w:w="5160" w:type="dxa"/>
            <w:vAlign w:val="bottom"/>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$104,370</w:t>
            </w:r>
          </w:p>
        </w:tc>
        <w:tc>
          <w:tcPr>
            <w:tcW w:w="1260" w:type="dxa"/>
            <w:vAlign w:val="bottom"/>
          </w:tcPr>
          <w:p>
            <w:pPr>
              <w:spacing w:after="0"/>
              <w:rPr>
                <w:sz w:val="19"/>
                <w:szCs w:val="19"/>
                <w:color w:val="auto"/>
              </w:rPr>
            </w:pPr>
          </w:p>
        </w:tc>
      </w:tr>
      <w:tr>
        <w:trPr>
          <w:trHeight w:val="229"/>
        </w:trPr>
        <w:tc>
          <w:tcPr>
            <w:tcW w:w="126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2022</w:t>
            </w:r>
          </w:p>
        </w:tc>
        <w:tc>
          <w:tcPr>
            <w:tcW w:w="5160" w:type="dxa"/>
            <w:vAlign w:val="bottom"/>
            <w:gridSpan w:val="5"/>
          </w:tcPr>
          <w:p>
            <w:pPr>
              <w:jc w:val="right"/>
              <w:ind w:right="660"/>
              <w:spacing w:after="0"/>
              <w:rPr>
                <w:sz w:val="20"/>
                <w:szCs w:val="20"/>
                <w:color w:val="auto"/>
              </w:rPr>
            </w:pPr>
            <w:r>
              <w:rPr>
                <w:rFonts w:ascii="Arial" w:cs="Arial" w:eastAsia="Arial" w:hAnsi="Arial"/>
                <w:sz w:val="18"/>
                <w:szCs w:val="18"/>
                <w:color w:val="auto"/>
              </w:rPr>
              <w:t>202,400</w:t>
            </w:r>
          </w:p>
        </w:tc>
        <w:tc>
          <w:tcPr>
            <w:tcW w:w="1260" w:type="dxa"/>
            <w:vAlign w:val="bottom"/>
          </w:tcPr>
          <w:p>
            <w:pPr>
              <w:spacing w:after="0"/>
              <w:rPr>
                <w:sz w:val="19"/>
                <w:szCs w:val="19"/>
                <w:color w:val="auto"/>
              </w:rPr>
            </w:pPr>
          </w:p>
        </w:tc>
      </w:tr>
      <w:tr>
        <w:trPr>
          <w:trHeight w:val="263"/>
        </w:trPr>
        <w:tc>
          <w:tcPr>
            <w:tcW w:w="1260" w:type="dxa"/>
            <w:vAlign w:val="bottom"/>
          </w:tcPr>
          <w:p>
            <w:pPr>
              <w:spacing w:after="0"/>
              <w:rPr>
                <w:sz w:val="22"/>
                <w:szCs w:val="22"/>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9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spacing w:after="0"/>
              <w:rPr>
                <w:sz w:val="22"/>
                <w:szCs w:val="22"/>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202,400</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0"/>
        </w:trPr>
        <w:tc>
          <w:tcPr>
            <w:tcW w:w="1260" w:type="dxa"/>
            <w:vAlign w:val="bottom"/>
          </w:tcPr>
          <w:p>
            <w:pPr>
              <w:spacing w:after="0"/>
              <w:rPr>
                <w:sz w:val="23"/>
                <w:szCs w:val="23"/>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3820" w:type="dxa"/>
            <w:vAlign w:val="bottom"/>
            <w:gridSpan w:val="3"/>
          </w:tcPr>
          <w:p>
            <w:pPr>
              <w:spacing w:after="0"/>
              <w:rPr>
                <w:sz w:val="23"/>
                <w:szCs w:val="23"/>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$509,170</w:t>
            </w:r>
          </w:p>
        </w:tc>
        <w:tc>
          <w:tcPr>
            <w:tcW w:w="1260" w:type="dxa"/>
            <w:vAlign w:val="bottom"/>
          </w:tcPr>
          <w:p>
            <w:pPr>
              <w:spacing w:after="0"/>
              <w:rPr>
                <w:sz w:val="23"/>
                <w:szCs w:val="23"/>
                <w:color w:val="auto"/>
              </w:rPr>
            </w:pPr>
          </w:p>
        </w:tc>
      </w:tr>
      <w:tr>
        <w:trPr>
          <w:trHeight w:val="21"/>
        </w:trPr>
        <w:tc>
          <w:tcPr>
            <w:tcW w:w="1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01"/>
        </w:trPr>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160" w:type="dxa"/>
            <w:vAlign w:val="bottom"/>
            <w:gridSpan w:val="5"/>
          </w:tcPr>
          <w:p>
            <w:pPr>
              <w:jc w:val="right"/>
              <w:ind w:right="3940"/>
              <w:spacing w:after="0"/>
              <w:rPr>
                <w:sz w:val="20"/>
                <w:szCs w:val="20"/>
                <w:color w:val="auto"/>
              </w:rPr>
            </w:pPr>
            <w:r>
              <w:rPr>
                <w:rFonts w:ascii="Arial" w:cs="Arial" w:eastAsia="Arial" w:hAnsi="Arial"/>
                <w:sz w:val="18"/>
                <w:szCs w:val="18"/>
                <w:color w:val="auto"/>
              </w:rPr>
              <w:t>F-63</w:t>
            </w: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4597400</wp:posOffset>
            </wp:positionH>
            <wp:positionV relativeFrom="paragraph">
              <wp:posOffset>-1336675</wp:posOffset>
            </wp:positionV>
            <wp:extent cx="13716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46" w:name="page247"/>
    <w:bookmarkEnd w:id="246"/>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recognition of the CEO’s efforts on the contemplated merger, the board of directors approved a</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 million transaction bonus payable to the CEO, subject to: (1) the Closing of the merger, (ii) the CEO’s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continued employment through the closing date and (iii) the CEO’s not giving notice of his intent to resign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on or before the closing date. The transaction bonus was paid to the CEO on the first regularly scheduled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payroll date after the Closing.</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From time to time, the Company may be involved in litigation relating to claims arising out of the Company’s operations in the normal course of business. Management is not currently aware of any matters that could have a material adverse effect on the financial position, results of operations, or cash flows of the Company. However, the Company may be subject to various legal proceedings and claims that arise in the ordinary course of its business activities. There is no material pending or threatened litigation against the Company that remains outstanding as of June 30, 2021.</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customers, vendors, investors, directors, and officers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and utilities infrastructure in the amount of $24.6 million and $15.5 million as of June 30, 2021 and December 31, 2020, respectively, for which no liabilities are recorded on the consolidated balance sheets.</w:t>
      </w:r>
    </w:p>
    <w:p>
      <w:pPr>
        <w:spacing w:after="0" w:line="3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 INCOME TAXES</w:t>
      </w:r>
    </w:p>
    <w:p>
      <w:pPr>
        <w:spacing w:after="0" w:line="162"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The Company’s provision from income taxes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107"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 The Company’s estimated effective tax rate for the year differs from the U.S. statutory rate of 21% because the entity is in a year-to-date and forecasted loss position; therefore, any taxes reported are due to foreign income taxes and state minimum taxes.</w:t>
      </w:r>
    </w:p>
    <w:p>
      <w:pPr>
        <w:spacing w:after="0" w:line="125"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Company recorded an income tax provision (benefit) of $0.0 million for the three and six months ended June 30, 2021, as compared to $(0.0) million and $(0.1) million for the same periods in the prior year. This resulted in an effective tax rate of (0.0)% for the three and six months ended June 30, 2021, and the same periods prior year. The change is primarily due to foreign income taxes, state income taxes, and a decrease in pre-tax income.</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June 30, 2021, and December 31, 2020, the Company had unrecognized tax benefits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$65.4 million and $42.9 million, of which $2.6 million, if recognized for both periods, would favorably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impact the Company’s effective tax rate. The Company does not anticipate a material change in its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unrecognized tax benefits in the next 12 months.</w:t>
      </w:r>
    </w:p>
    <w:p>
      <w:pPr>
        <w:spacing w:after="0" w:line="130"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On June 29, 2020, the California governor signed into law the 2020 Budget Act, which temporarily suspends the utilization of net operating losses and limits the utilization of the research credit to $5.0 million</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7" w:name="page248"/>
    <w:bookmarkEnd w:id="247"/>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annually for 2020, 2021 and 2022. The Company is continuing to assess the 2020 Budget Act, but currently does not expect any material impact to the condensed consolidated financial statements.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 NET LOSS PER SHARE</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Basic and diluted net loss per share are calculated as follows (in thousands, except per share amounts):</w:t>
      </w:r>
    </w:p>
    <w:p>
      <w:pPr>
        <w:spacing w:after="0" w:line="2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(261,726)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(117,285)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(1,009,678)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(246,868)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spacing w:after="0"/>
              <w:rPr>
                <w:sz w:val="20"/>
                <w:szCs w:val="20"/>
                <w:color w:val="auto"/>
              </w:rPr>
            </w:pPr>
            <w:r>
              <w:rPr>
                <w:rFonts w:ascii="Arial" w:cs="Arial" w:eastAsia="Arial" w:hAnsi="Arial"/>
                <w:sz w:val="18"/>
                <w:szCs w:val="18"/>
                <w:color w:val="auto"/>
              </w:rPr>
              <w:t>Deemed dividend related to the issuance of</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Series E convertible preferred shares</w:t>
            </w:r>
          </w:p>
        </w:tc>
        <w:tc>
          <w:tcPr>
            <w:tcW w:w="10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(2,167,332)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(261,726)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(117,285)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(3,177,010)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(246,868)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gridSpan w:val="2"/>
            <w:vMerge w:val="restart"/>
          </w:tcPr>
          <w:p>
            <w:pPr>
              <w:spacing w:after="0" w:line="202" w:lineRule="exact"/>
              <w:rPr>
                <w:sz w:val="20"/>
                <w:szCs w:val="20"/>
                <w:color w:val="auto"/>
              </w:rPr>
            </w:pPr>
            <w:r>
              <w:rPr>
                <w:rFonts w:ascii="Arial" w:cs="Arial" w:eastAsia="Arial" w:hAnsi="Arial"/>
                <w:sz w:val="18"/>
                <w:szCs w:val="18"/>
                <w:color w:val="auto"/>
              </w:rPr>
              <w:t>Weighted-average shares outstanding – 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13,728,639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8,319,168</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13,042,653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8,117,746</w:t>
            </w:r>
          </w:p>
        </w:tc>
        <w:tc>
          <w:tcPr>
            <w:tcW w:w="0" w:type="dxa"/>
            <w:vAlign w:val="bottom"/>
          </w:tcPr>
          <w:p>
            <w:pPr>
              <w:spacing w:after="0"/>
              <w:rPr>
                <w:sz w:val="1"/>
                <w:szCs w:val="1"/>
                <w:color w:val="auto"/>
              </w:rPr>
            </w:pPr>
          </w:p>
        </w:tc>
      </w:tr>
      <w:tr>
        <w:trPr>
          <w:trHeight w:val="263"/>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8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(19.06)</w:t>
            </w: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(243.59)</w:t>
            </w: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-856615</wp:posOffset>
            </wp:positionV>
            <wp:extent cx="14605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-856615</wp:posOffset>
            </wp:positionV>
            <wp:extent cx="14605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-856615</wp:posOffset>
            </wp:positionV>
            <wp:extent cx="330898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308985" cy="8255"/>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-1336675</wp:posOffset>
            </wp:positionV>
            <wp:extent cx="13716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-1336675</wp:posOffset>
            </wp:positionV>
            <wp:extent cx="13716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-1336675</wp:posOffset>
            </wp:positionV>
            <wp:extent cx="13716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-1336675</wp:posOffset>
            </wp:positionV>
            <wp:extent cx="6858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The following table sets forth the potential shares of common share as of the end of each period presented that are not included in the calculation of diluted net loss per share because to do so would be anti-dilutive:</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0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As of June 30,</w:t>
            </w:r>
          </w:p>
        </w:tc>
      </w:tr>
      <w:tr>
        <w:trPr>
          <w:trHeight w:val="26"/>
        </w:trPr>
        <w:tc>
          <w:tcPr>
            <w:tcW w:w="6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8"/>
        </w:trPr>
        <w:tc>
          <w:tcPr>
            <w:tcW w:w="6160" w:type="dxa"/>
            <w:vAlign w:val="bottom"/>
          </w:tcPr>
          <w:p>
            <w:pPr>
              <w:spacing w:after="0"/>
              <w:rPr>
                <w:sz w:val="17"/>
                <w:szCs w:val="17"/>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r>
      <w:tr>
        <w:trPr>
          <w:trHeight w:val="25"/>
        </w:trPr>
        <w:tc>
          <w:tcPr>
            <w:tcW w:w="6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 outstanding</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437,182,072</w:t>
            </w: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252,486,667</w:t>
            </w:r>
          </w:p>
        </w:tc>
      </w:tr>
      <w:tr>
        <w:trPr>
          <w:trHeight w:val="256"/>
        </w:trPr>
        <w:tc>
          <w:tcPr>
            <w:tcW w:w="6160" w:type="dxa"/>
            <w:vAlign w:val="bottom"/>
          </w:tcPr>
          <w:p>
            <w:pPr>
              <w:spacing w:after="0"/>
              <w:rPr>
                <w:sz w:val="20"/>
                <w:szCs w:val="20"/>
                <w:color w:val="auto"/>
              </w:rPr>
            </w:pPr>
            <w:r>
              <w:rPr>
                <w:rFonts w:ascii="Arial" w:cs="Arial" w:eastAsia="Arial" w:hAnsi="Arial"/>
                <w:sz w:val="18"/>
                <w:szCs w:val="18"/>
                <w:color w:val="auto"/>
              </w:rPr>
              <w:t>Share options outstanding</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26,099,336</w:t>
            </w:r>
          </w:p>
        </w:tc>
        <w:tc>
          <w:tcPr>
            <w:tcW w:w="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22,729,435</w:t>
            </w:r>
          </w:p>
        </w:tc>
      </w:tr>
      <w:tr>
        <w:trPr>
          <w:trHeight w:val="257"/>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 unit outstanding</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15,763,598</w:t>
            </w:r>
          </w:p>
        </w:tc>
        <w:tc>
          <w:tcPr>
            <w:tcW w:w="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Convertible preferred share warrant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585,022</w:t>
            </w:r>
          </w:p>
        </w:tc>
      </w:tr>
      <w:tr>
        <w:trPr>
          <w:trHeight w:val="29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479,045,006</w:t>
            </w:r>
          </w:p>
        </w:tc>
        <w:tc>
          <w:tcPr>
            <w:tcW w:w="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275,801,124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63740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4637405" cy="825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-882015</wp:posOffset>
            </wp:positionV>
            <wp:extent cx="13716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-882015</wp:posOffset>
            </wp:positionV>
            <wp:extent cx="6858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 EMPLOYEE BENEFIT PLAN</w:t>
      </w:r>
    </w:p>
    <w:p>
      <w:pPr>
        <w:spacing w:after="0" w:line="162"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six months ended June 30, 2021 and 2020.</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14 — SUBSEQUENT EVENTS</w:t>
      </w:r>
    </w:p>
    <w:p>
      <w:pPr>
        <w:spacing w:after="0" w:line="148" w:lineRule="exact"/>
        <w:rPr>
          <w:sz w:val="20"/>
          <w:szCs w:val="20"/>
          <w:color w:val="auto"/>
        </w:rPr>
      </w:pPr>
    </w:p>
    <w:p>
      <w:pPr>
        <w:jc w:val="center"/>
        <w:ind w:left="1600" w:right="240"/>
        <w:spacing w:after="0" w:line="270" w:lineRule="auto"/>
        <w:rPr>
          <w:sz w:val="20"/>
          <w:szCs w:val="20"/>
          <w:color w:val="auto"/>
        </w:rPr>
      </w:pPr>
      <w:r>
        <w:rPr>
          <w:rFonts w:ascii="Arial" w:cs="Arial" w:eastAsia="Arial" w:hAnsi="Arial"/>
          <w:sz w:val="17"/>
          <w:szCs w:val="17"/>
          <w:color w:val="auto"/>
        </w:rPr>
        <w:t>In connection with the preparation of the financial statements for the three and six months ended June 30, 2021, the Company has evaluated subsequent events for both conditions existing and not existing on June 30, 2021, and concluded there were no subsequent events to recognize in the financial statements.</w:t>
      </w:r>
    </w:p>
    <w:p>
      <w:pPr>
        <w:spacing w:after="0" w:line="96"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On July 22, 2021, CCIV held a special meeting of stockholders to approve the Merger Agreement. Following the Closing on July 23, 2021 CCIV has changed its name to Lucid Group, Inc. and its Class A common stock, par value $0.0001 per share (“Common Stock”), and warrants began trading on The Nasdaq Stock Market LLC under the symbols “LCID” and “LCIDW,” respectively.</w:t>
      </w:r>
    </w:p>
    <w:p>
      <w:pPr>
        <w:spacing w:after="0" w:line="120"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Immediately prior to the Closing, all of Lucid’s preferred shares (the “Lucid Preferred Shares”) then issued and outstanding were converted into Lucid’s common shares, par value $0.0001 per share (the “Lucid Common Shares”) in accordance with the terms of Lucid Group’s Memorandum and Articles of Association, such that each converted Lucid Preferred Share was no longer outstanding and ceased to exist, and each holder thereof thereafter ceased to have any rights with respect to such securities. At the date</w:t>
      </w:r>
    </w:p>
    <w:p>
      <w:pPr>
        <w:sectPr>
          <w:pgSz w:w="11900" w:h="16838" w:orient="portrait"/>
          <w:cols w:equalWidth="0" w:num="1">
            <w:col w:w="9879"/>
          </w:cols>
          <w:pgMar w:left="580" w:top="132" w:right="1440" w:bottom="1440" w:gutter="0" w:footer="0" w:header="0"/>
        </w:sectPr>
      </w:pP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8" w:name="page249"/>
    <w:bookmarkEnd w:id="248"/>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9" w:lineRule="auto"/>
        <w:rPr>
          <w:sz w:val="20"/>
          <w:szCs w:val="20"/>
          <w:color w:val="auto"/>
        </w:rPr>
      </w:pPr>
      <w:r>
        <w:rPr>
          <w:rFonts w:ascii="Arial" w:cs="Arial" w:eastAsia="Arial" w:hAnsi="Arial"/>
          <w:sz w:val="17"/>
          <w:szCs w:val="17"/>
          <w:color w:val="auto"/>
        </w:rPr>
        <w:t>and time that the business combination became effective, each Lucid Common Share then issued and outstanding was automatically cancelled and the holders of Lucid Common Shares received 2.644 shares of Common Stock in exchange for each Lucid Common Share they held at such time, based on the Equity Value (as defined in the Merger Agreement) of $12.3 billion. The Equity Value equals (a) $11.8 billion plus</w:t>
      </w:r>
    </w:p>
    <w:p>
      <w:pPr>
        <w:spacing w:after="0" w:line="2" w:lineRule="exact"/>
        <w:rPr>
          <w:sz w:val="20"/>
          <w:szCs w:val="20"/>
          <w:color w:val="auto"/>
        </w:rPr>
      </w:pPr>
    </w:p>
    <w:p>
      <w:pPr>
        <w:ind w:left="1520" w:hanging="260"/>
        <w:spacing w:after="0"/>
        <w:tabs>
          <w:tab w:leader="none" w:pos="15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all cash and cash equivalents of Lucid and its subsidiaries less (ii) all indebtedness for borrowed</w:t>
      </w:r>
    </w:p>
    <w:p>
      <w:pPr>
        <w:spacing w:after="0" w:line="9" w:lineRule="exact"/>
        <w:rPr>
          <w:rFonts w:ascii="Arial" w:cs="Arial" w:eastAsia="Arial" w:hAnsi="Arial"/>
          <w:sz w:val="18"/>
          <w:szCs w:val="18"/>
          <w:color w:val="auto"/>
        </w:rPr>
      </w:pPr>
    </w:p>
    <w:p>
      <w:pPr>
        <w:ind w:left="1260" w:right="579"/>
        <w:spacing w:after="0" w:line="290" w:lineRule="auto"/>
        <w:rPr>
          <w:rFonts w:ascii="Arial" w:cs="Arial" w:eastAsia="Arial" w:hAnsi="Arial"/>
          <w:sz w:val="18"/>
          <w:szCs w:val="18"/>
          <w:color w:val="auto"/>
        </w:rPr>
      </w:pPr>
      <w:r>
        <w:rPr>
          <w:rFonts w:ascii="Arial" w:cs="Arial" w:eastAsia="Arial" w:hAnsi="Arial"/>
          <w:sz w:val="17"/>
          <w:szCs w:val="17"/>
          <w:color w:val="auto"/>
        </w:rPr>
        <w:t>money of Lucid and its subsidiaries, in each case as of two business days prior to the Closing. The holders of the Lucid Common Shares were issued 1,193,226,511 shares of Common Stock at the Closing.</w:t>
      </w:r>
    </w:p>
    <w:p>
      <w:pPr>
        <w:spacing w:after="0" w:line="80" w:lineRule="exact"/>
        <w:rPr>
          <w:sz w:val="20"/>
          <w:szCs w:val="20"/>
          <w:color w:val="auto"/>
        </w:rPr>
      </w:pPr>
    </w:p>
    <w:p>
      <w:pPr>
        <w:ind w:left="1260" w:right="599" w:firstLine="360"/>
        <w:spacing w:after="0" w:line="286" w:lineRule="auto"/>
        <w:rPr>
          <w:sz w:val="20"/>
          <w:szCs w:val="20"/>
          <w:color w:val="auto"/>
        </w:rPr>
      </w:pPr>
      <w:r>
        <w:rPr>
          <w:rFonts w:ascii="Arial" w:cs="Arial" w:eastAsia="Arial" w:hAnsi="Arial"/>
          <w:sz w:val="17"/>
          <w:szCs w:val="17"/>
          <w:color w:val="auto"/>
        </w:rPr>
        <w:t>Subsequent to June 30, 2021, the Company entered into new retail lease agreements for various locations. The leases commenced in and after July 2021 and will expire on or before June 2031. Under the lease agreements, the Company will pay base rent from $0.1 million to $0.5 million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9" w:name="page250"/>
    <w:bookmarkEnd w:id="249"/>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Churchill Capital Corp IV</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We have audited the accompanying balance sheet of Churchill Capital Corp IV (the “Company”) as of December 31, 2020, the related statements of operations, changes in stockholders’ equity and cash flows for the period from April 30,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April 30, 2020 (inception) through December 31, 2020, in conformity with accounting principles generally accepted in the United States of America.</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162"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As disclosed in Note 2, the accompanying financial statements as of December 31, 2020 and for the period from April 30, 2020 (inception) through December 31, 2020, have been restated.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left="1260" w:right="459" w:firstLine="360"/>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Marcum LLP</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Marcum LLP</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from 2020 to 2021.</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Houston, TX</w:t>
      </w:r>
    </w:p>
    <w:p>
      <w:pPr>
        <w:spacing w:after="0" w:line="158" w:lineRule="exact"/>
        <w:rPr>
          <w:sz w:val="20"/>
          <w:szCs w:val="20"/>
          <w:color w:val="auto"/>
        </w:rPr>
      </w:pPr>
    </w:p>
    <w:p>
      <w:pPr>
        <w:ind w:left="1260" w:right="819"/>
        <w:spacing w:after="0" w:line="277" w:lineRule="auto"/>
        <w:rPr>
          <w:sz w:val="20"/>
          <w:szCs w:val="20"/>
          <w:color w:val="auto"/>
        </w:rPr>
      </w:pPr>
      <w:r>
        <w:rPr>
          <w:rFonts w:ascii="Arial" w:cs="Arial" w:eastAsia="Arial" w:hAnsi="Arial"/>
          <w:sz w:val="18"/>
          <w:szCs w:val="18"/>
          <w:color w:val="auto"/>
        </w:rPr>
        <w:t>March 15, 2021, except for the effects of the restatement disclosed in Note 2 and the subsequent events discussed in Note 12 (Legal Proceedings), as to which the date is May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0" w:name="page251"/>
    <w:bookmarkEnd w:id="250"/>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060" w:type="dxa"/>
            <w:vAlign w:val="bottom"/>
          </w:tcPr>
          <w:p>
            <w:pPr>
              <w:jc w:val="center"/>
              <w:ind w:left="1070"/>
              <w:spacing w:after="0"/>
              <w:rPr>
                <w:sz w:val="20"/>
                <w:szCs w:val="20"/>
                <w:color w:val="auto"/>
              </w:rPr>
            </w:pPr>
            <w:r>
              <w:rPr>
                <w:rFonts w:ascii="Arial" w:cs="Arial" w:eastAsia="Arial" w:hAnsi="Arial"/>
                <w:sz w:val="18"/>
                <w:szCs w:val="18"/>
                <w:b w:val="1"/>
                <w:bCs w:val="1"/>
                <w:color w:val="auto"/>
                <w:w w:val="99"/>
              </w:rPr>
              <w:t>CHURCHILL CAPITAL CORP IV</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060" w:type="dxa"/>
            <w:vAlign w:val="bottom"/>
          </w:tcPr>
          <w:p>
            <w:pPr>
              <w:jc w:val="center"/>
              <w:ind w:left="1010"/>
              <w:spacing w:after="0"/>
              <w:rPr>
                <w:sz w:val="20"/>
                <w:szCs w:val="20"/>
                <w:color w:val="auto"/>
              </w:rPr>
            </w:pPr>
            <w:r>
              <w:rPr>
                <w:rFonts w:ascii="Arial" w:cs="Arial" w:eastAsia="Arial" w:hAnsi="Arial"/>
                <w:sz w:val="18"/>
                <w:szCs w:val="18"/>
                <w:b w:val="1"/>
                <w:bCs w:val="1"/>
                <w:color w:val="auto"/>
                <w:w w:val="96"/>
              </w:rPr>
              <w:t>BALANCE SHEET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6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DECEMBER 31, 2020 (As Restated)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0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3,592,857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6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937,786</w:t>
            </w:r>
          </w:p>
        </w:tc>
        <w:tc>
          <w:tcPr>
            <w:tcW w:w="0" w:type="dxa"/>
            <w:vAlign w:val="bottom"/>
          </w:tcPr>
          <w:p>
            <w:pPr>
              <w:spacing w:after="0"/>
              <w:rPr>
                <w:sz w:val="1"/>
                <w:szCs w:val="1"/>
                <w:color w:val="auto"/>
              </w:rPr>
            </w:pPr>
          </w:p>
        </w:tc>
      </w:tr>
      <w:tr>
        <w:trPr>
          <w:trHeight w:val="256"/>
        </w:trPr>
        <w:tc>
          <w:tcPr>
            <w:tcW w:w="7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4,530,643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06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2,070,086,006</w:t>
            </w:r>
          </w:p>
        </w:tc>
        <w:tc>
          <w:tcPr>
            <w:tcW w:w="0" w:type="dxa"/>
            <w:vAlign w:val="bottom"/>
          </w:tcPr>
          <w:p>
            <w:pPr>
              <w:spacing w:after="0"/>
              <w:rPr>
                <w:sz w:val="1"/>
                <w:szCs w:val="1"/>
                <w:color w:val="auto"/>
              </w:rPr>
            </w:pPr>
          </w:p>
        </w:tc>
      </w:tr>
      <w:tr>
        <w:trPr>
          <w:trHeight w:val="295"/>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2,074,616,649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1,446,951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6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10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81,422</w:t>
            </w:r>
          </w:p>
        </w:tc>
        <w:tc>
          <w:tcPr>
            <w:tcW w:w="0" w:type="dxa"/>
            <w:vAlign w:val="bottom"/>
          </w:tcPr>
          <w:p>
            <w:pPr>
              <w:spacing w:after="0"/>
              <w:rPr>
                <w:sz w:val="1"/>
                <w:szCs w:val="1"/>
                <w:color w:val="auto"/>
              </w:rPr>
            </w:pPr>
          </w:p>
        </w:tc>
      </w:tr>
      <w:tr>
        <w:trPr>
          <w:trHeight w:val="257"/>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142,200,500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60" w:type="dxa"/>
            <w:vAlign w:val="bottom"/>
          </w:tcPr>
          <w:p>
            <w:pPr>
              <w:spacing w:after="0"/>
              <w:rPr>
                <w:sz w:val="20"/>
                <w:szCs w:val="20"/>
                <w:color w:val="auto"/>
              </w:rPr>
            </w:pPr>
            <w:r>
              <w:rPr>
                <w:rFonts w:ascii="Arial" w:cs="Arial" w:eastAsia="Arial" w:hAnsi="Arial"/>
                <w:sz w:val="18"/>
                <w:szCs w:val="18"/>
                <w:color w:val="auto"/>
              </w:rPr>
              <w:t>Deferred underwriting payable</w:t>
            </w:r>
          </w:p>
        </w:tc>
        <w:tc>
          <w:tcPr>
            <w:tcW w:w="10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72,450,000</w:t>
            </w:r>
          </w:p>
        </w:tc>
        <w:tc>
          <w:tcPr>
            <w:tcW w:w="0" w:type="dxa"/>
            <w:vAlign w:val="bottom"/>
          </w:tcPr>
          <w:p>
            <w:pPr>
              <w:spacing w:after="0"/>
              <w:rPr>
                <w:sz w:val="1"/>
                <w:szCs w:val="1"/>
                <w:color w:val="auto"/>
              </w:rPr>
            </w:pPr>
          </w:p>
        </w:tc>
      </w:tr>
      <w:tr>
        <w:trPr>
          <w:trHeight w:val="263"/>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216,178,873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60" w:type="dxa"/>
            <w:vAlign w:val="bottom"/>
          </w:tcPr>
          <w:p>
            <w:pPr>
              <w:spacing w:after="0"/>
              <w:rPr>
                <w:sz w:val="20"/>
                <w:szCs w:val="20"/>
                <w:color w:val="auto"/>
              </w:rPr>
            </w:pPr>
            <w:r>
              <w:rPr>
                <w:rFonts w:ascii="Arial" w:cs="Arial" w:eastAsia="Arial" w:hAnsi="Arial"/>
                <w:sz w:val="18"/>
                <w:szCs w:val="18"/>
                <w:color w:val="auto"/>
              </w:rPr>
              <w:t>Commitments</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99"/>
              </w:rPr>
              <w:t>Class A common stock subject to possible redemption 185,343,777 shares at redemption</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1,853,437,770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 shares issued and</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060" w:type="dxa"/>
            <w:vAlign w:val="bottom"/>
          </w:tcPr>
          <w:p>
            <w:pPr>
              <w:spacing w:after="0"/>
              <w:rPr>
                <w:sz w:val="20"/>
                <w:szCs w:val="20"/>
                <w:color w:val="auto"/>
              </w:rPr>
            </w:pPr>
            <w:r>
              <w:rPr>
                <w:rFonts w:ascii="Arial" w:cs="Arial" w:eastAsia="Arial" w:hAnsi="Arial"/>
                <w:sz w:val="18"/>
                <w:szCs w:val="18"/>
                <w:color w:val="auto"/>
              </w:rPr>
              <w:t>Class A common stock, $0.0001 par value; 400,000,000 shares authorized; 21,656,223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issued and outstanding (excluding 185,343,777 shares subject to</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49"/>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$0.0001 par value; 100,000,000 shares authorized; 51,750,000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68,460,540</w:t>
            </w:r>
          </w:p>
        </w:tc>
        <w:tc>
          <w:tcPr>
            <w:tcW w:w="0" w:type="dxa"/>
            <w:vAlign w:val="bottom"/>
          </w:tcPr>
          <w:p>
            <w:pPr>
              <w:spacing w:after="0"/>
              <w:rPr>
                <w:sz w:val="1"/>
                <w:szCs w:val="1"/>
                <w:color w:val="auto"/>
              </w:rPr>
            </w:pPr>
          </w:p>
        </w:tc>
      </w:tr>
      <w:tr>
        <w:trPr>
          <w:trHeight w:val="277"/>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(63,467,875)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0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5,000,006</w:t>
            </w:r>
          </w:p>
        </w:tc>
        <w:tc>
          <w:tcPr>
            <w:tcW w:w="0" w:type="dxa"/>
            <w:vAlign w:val="bottom"/>
          </w:tcPr>
          <w:p>
            <w:pPr>
              <w:spacing w:after="0"/>
              <w:rPr>
                <w:sz w:val="1"/>
                <w:szCs w:val="1"/>
                <w:color w:val="auto"/>
              </w:rPr>
            </w:pPr>
          </w:p>
        </w:tc>
      </w:tr>
      <w:tr>
        <w:trPr>
          <w:trHeight w:val="308"/>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2,074,616,649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448310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-2656840</wp:posOffset>
            </wp:positionV>
            <wp:extent cx="448310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44831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-3668395</wp:posOffset>
            </wp:positionV>
            <wp:extent cx="44831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44831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-4011295</wp:posOffset>
            </wp:positionV>
            <wp:extent cx="44831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4483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1" w:name="page252"/>
    <w:bookmarkEnd w:id="251"/>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FOR THE PERIOD FROM APRIL 30, 2020 (INCEPTION) THROUGH DECEMBER 31, 2020</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(As Restated)</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28"/>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0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(2,976,423)</w:t>
            </w: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20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531,361</w:t>
            </w: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warrant liabilities</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(58,778,500)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200" w:type="dxa"/>
            <w:vAlign w:val="bottom"/>
          </w:tcPr>
          <w:p>
            <w:pPr>
              <w:ind w:left="180"/>
              <w:spacing w:after="0"/>
              <w:rPr>
                <w:sz w:val="20"/>
                <w:szCs w:val="20"/>
                <w:color w:val="auto"/>
              </w:rPr>
            </w:pPr>
            <w:r>
              <w:rPr>
                <w:rFonts w:ascii="Arial" w:cs="Arial" w:eastAsia="Arial" w:hAnsi="Arial"/>
                <w:sz w:val="18"/>
                <w:szCs w:val="18"/>
                <w:color w:val="auto"/>
              </w:rPr>
              <w:t>Transaction costs attributable to the Initial Public Offering</w:t>
            </w: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(2,167,536)</w:t>
            </w:r>
          </w:p>
        </w:tc>
        <w:tc>
          <w:tcPr>
            <w:tcW w:w="0" w:type="dxa"/>
            <w:vAlign w:val="bottom"/>
          </w:tcPr>
          <w:p>
            <w:pPr>
              <w:spacing w:after="0"/>
              <w:rPr>
                <w:sz w:val="1"/>
                <w:szCs w:val="1"/>
                <w:color w:val="auto"/>
              </w:rPr>
            </w:pPr>
          </w:p>
        </w:tc>
      </w:tr>
      <w:tr>
        <w:trPr>
          <w:trHeight w:val="263"/>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20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2"/>
              </w:rPr>
              <w:t>(60,410,030)</w:t>
            </w:r>
          </w:p>
        </w:tc>
        <w:tc>
          <w:tcPr>
            <w:tcW w:w="0" w:type="dxa"/>
            <w:vAlign w:val="bottom"/>
          </w:tcPr>
          <w:p>
            <w:pPr>
              <w:spacing w:after="0"/>
              <w:rPr>
                <w:sz w:val="1"/>
                <w:szCs w:val="1"/>
                <w:color w:val="auto"/>
              </w:rPr>
            </w:pPr>
          </w:p>
        </w:tc>
      </w:tr>
      <w:tr>
        <w:trPr>
          <w:trHeight w:val="257"/>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(63,386,453)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(81,422)</w:t>
            </w:r>
          </w:p>
        </w:tc>
        <w:tc>
          <w:tcPr>
            <w:tcW w:w="0" w:type="dxa"/>
            <w:vAlign w:val="bottom"/>
          </w:tcPr>
          <w:p>
            <w:pPr>
              <w:spacing w:after="0"/>
              <w:rPr>
                <w:sz w:val="1"/>
                <w:szCs w:val="1"/>
                <w:color w:val="auto"/>
              </w:rPr>
            </w:pPr>
          </w:p>
        </w:tc>
      </w:tr>
      <w:tr>
        <w:trPr>
          <w:trHeight w:val="295"/>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(63,467,875)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line="202" w:lineRule="exact"/>
              <w:rPr>
                <w:sz w:val="20"/>
                <w:szCs w:val="20"/>
                <w:color w:val="auto"/>
              </w:rPr>
            </w:pPr>
            <w:r>
              <w:rPr>
                <w:rFonts w:ascii="Arial" w:cs="Arial" w:eastAsia="Arial" w:hAnsi="Arial"/>
                <w:sz w:val="18"/>
                <w:szCs w:val="18"/>
                <w:color w:val="auto"/>
              </w:rPr>
              <w:t>Basic and diluted weighted average shares outstanding, Class A common stock subject to</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87"/>
              </w:rPr>
              <w:t>188,268,610</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1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7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and diluted net income per share, Class A common stock subject to possible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tcBorders>
              <w:bottom w:val="single" w:sz="8" w:color="auto"/>
            </w:tcBorders>
            <w:vMerge w:val="continue"/>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20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 Non-redeemable common stock</w:t>
            </w:r>
          </w:p>
        </w:tc>
        <w:tc>
          <w:tcPr>
            <w:tcW w:w="1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62,139,948</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200" w:type="dxa"/>
            <w:vAlign w:val="bottom"/>
          </w:tcPr>
          <w:p>
            <w:pPr>
              <w:spacing w:after="0"/>
              <w:rPr>
                <w:sz w:val="20"/>
                <w:szCs w:val="20"/>
                <w:color w:val="auto"/>
              </w:rPr>
            </w:pPr>
            <w:r>
              <w:rPr>
                <w:rFonts w:ascii="Arial" w:cs="Arial" w:eastAsia="Arial" w:hAnsi="Arial"/>
                <w:sz w:val="18"/>
                <w:szCs w:val="18"/>
                <w:color w:val="auto"/>
              </w:rPr>
              <w:t>Basic and diluted net loss per share, Non-redeemable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5212080" cy="20574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5212080" cy="2057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-1242060</wp:posOffset>
            </wp:positionV>
            <wp:extent cx="457771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-1584960</wp:posOffset>
            </wp:positionV>
            <wp:extent cx="457771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2" w:name="page253"/>
    <w:bookmarkEnd w:id="252"/>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ind w:left="1060" w:right="1320"/>
        <w:spacing w:after="0" w:line="275" w:lineRule="auto"/>
        <w:rPr>
          <w:sz w:val="20"/>
          <w:szCs w:val="20"/>
          <w:color w:val="auto"/>
        </w:rPr>
      </w:pPr>
      <w:r>
        <w:rPr>
          <w:rFonts w:ascii="Arial" w:cs="Arial" w:eastAsia="Arial" w:hAnsi="Arial"/>
          <w:sz w:val="18"/>
          <w:szCs w:val="18"/>
          <w:b w:val="1"/>
          <w:bCs w:val="1"/>
          <w:color w:val="auto"/>
        </w:rPr>
        <w:t>STATEMENT OF CHANGES IN STOCKHOLDERS’ EQUITY FOR THE PERIOD FROM APRIL 30, 2020 (INCEPTION) THROUGH DECEMBER 31, 2020 (As Restated)</w:t>
      </w:r>
    </w:p>
    <w:p>
      <w:pPr>
        <w:spacing w:after="0" w:line="38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1740" w:type="dxa"/>
            <w:vAlign w:val="bottom"/>
            <w:gridSpan w:val="4"/>
            <w:vMerge w:val="restart"/>
          </w:tcPr>
          <w:p>
            <w:pPr>
              <w:jc w:val="right"/>
              <w:ind w:right="31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4"/>
                <w:szCs w:val="4"/>
                <w:color w:val="auto"/>
              </w:rPr>
            </w:pPr>
          </w:p>
        </w:tc>
        <w:tc>
          <w:tcPr>
            <w:tcW w:w="1400" w:type="dxa"/>
            <w:vAlign w:val="bottom"/>
            <w:gridSpan w:val="4"/>
            <w:vMerge w:val="restart"/>
          </w:tcPr>
          <w:p>
            <w:pPr>
              <w:jc w:val="right"/>
              <w:ind w:right="15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74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89"/>
              </w:rPr>
              <w:t>Paid-in</w:t>
            </w:r>
          </w:p>
        </w:tc>
        <w:tc>
          <w:tcPr>
            <w:tcW w:w="1200" w:type="dxa"/>
            <w:vAlign w:val="bottom"/>
            <w:gridSpan w:val="4"/>
          </w:tcPr>
          <w:p>
            <w:pPr>
              <w:jc w:val="right"/>
              <w:ind w:right="340"/>
              <w:spacing w:after="0" w:line="125" w:lineRule="exact"/>
              <w:rPr>
                <w:sz w:val="20"/>
                <w:szCs w:val="20"/>
                <w:color w:val="auto"/>
              </w:rPr>
            </w:pPr>
            <w:r>
              <w:rPr>
                <w:rFonts w:ascii="Arial" w:cs="Arial" w:eastAsia="Arial" w:hAnsi="Arial"/>
                <w:sz w:val="14"/>
                <w:szCs w:val="14"/>
                <w:b w:val="1"/>
                <w:bCs w:val="1"/>
                <w:color w:val="auto"/>
                <w:w w:val="95"/>
              </w:rPr>
              <w:t>Accumulated</w:t>
            </w:r>
          </w:p>
        </w:tc>
        <w:tc>
          <w:tcPr>
            <w:tcW w:w="126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8"/>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April 30, 2020</w:t>
            </w: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(Inception)</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rPr>
              <w:t>Issuance of Class B common</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stock to Sponsor</w:t>
            </w:r>
          </w:p>
        </w:tc>
        <w:tc>
          <w:tcPr>
            <w:tcW w:w="1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51,750,000</w:t>
            </w:r>
          </w:p>
        </w:tc>
        <w:tc>
          <w:tcPr>
            <w:tcW w:w="1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5,175</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19,825</w:t>
            </w:r>
          </w:p>
        </w:tc>
        <w:tc>
          <w:tcPr>
            <w:tcW w:w="12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9"/>
              </w:rPr>
              <w:t>Sale of 207,000,000 Units, net of</w:t>
            </w:r>
          </w:p>
        </w:tc>
        <w:tc>
          <w:tcPr>
            <w:tcW w:w="9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underwriting discounts and</w:t>
            </w:r>
          </w:p>
        </w:tc>
        <w:tc>
          <w:tcPr>
            <w:tcW w:w="9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offering expenses</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207,000,000</w:t>
            </w: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20,700</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1,921,859,951</w:t>
            </w: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1,921,880,651</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color w:val="auto"/>
                <w:w w:val="98"/>
              </w:rPr>
              <w:t>Class A common stock subject to</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(185,343,777)</w:t>
            </w: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(18,534)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(1,853,419,236)</w:t>
            </w:r>
          </w:p>
        </w:tc>
        <w:tc>
          <w:tcPr>
            <w:tcW w:w="12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(1,853,437,770)</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(63,467,875)</w:t>
            </w:r>
          </w:p>
        </w:tc>
        <w:tc>
          <w:tcPr>
            <w:tcW w:w="1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(63,467,875)</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40" w:type="dxa"/>
            <w:vAlign w:val="bottom"/>
          </w:tcPr>
          <w:p>
            <w:pPr>
              <w:spacing w:after="0"/>
              <w:rPr>
                <w:sz w:val="20"/>
                <w:szCs w:val="20"/>
                <w:color w:val="auto"/>
              </w:rPr>
            </w:pPr>
            <w:r>
              <w:rPr>
                <w:rFonts w:ascii="Arial" w:cs="Arial" w:eastAsia="Arial" w:hAnsi="Arial"/>
                <w:sz w:val="18"/>
                <w:szCs w:val="18"/>
                <w:color w:val="auto"/>
              </w:rPr>
              <w:t>Balance – December 31, 2020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21,656,223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2,166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51,750,000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5,175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68,460,540</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w w:val="90"/>
              </w:rPr>
              <w:t>(63,467,875) $</w:t>
            </w:r>
          </w:p>
        </w:tc>
        <w:tc>
          <w:tcPr>
            <w:tcW w:w="1100" w:type="dxa"/>
            <w:vAlign w:val="bottom"/>
          </w:tcPr>
          <w:p>
            <w:pPr>
              <w:jc w:val="right"/>
              <w:spacing w:after="0"/>
              <w:rPr>
                <w:sz w:val="20"/>
                <w:szCs w:val="20"/>
                <w:color w:val="auto"/>
              </w:rPr>
            </w:pPr>
            <w:r>
              <w:rPr>
                <w:rFonts w:ascii="Arial" w:cs="Arial" w:eastAsia="Arial" w:hAnsi="Arial"/>
                <w:sz w:val="18"/>
                <w:szCs w:val="18"/>
                <w:color w:val="auto"/>
              </w:rPr>
              <w:t>5,000,006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6389370</wp:posOffset>
            </wp:positionH>
            <wp:positionV relativeFrom="paragraph">
              <wp:posOffset>-213995</wp:posOffset>
            </wp:positionV>
            <wp:extent cx="3429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-1696720</wp:posOffset>
            </wp:positionV>
            <wp:extent cx="5143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-1696720</wp:posOffset>
            </wp:positionV>
            <wp:extent cx="5143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-1696720</wp:posOffset>
            </wp:positionV>
            <wp:extent cx="5143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-1696720</wp:posOffset>
            </wp:positionV>
            <wp:extent cx="168021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680210" cy="8255"/>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-1696720</wp:posOffset>
            </wp:positionV>
            <wp:extent cx="10287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-1696720</wp:posOffset>
            </wp:positionV>
            <wp:extent cx="6858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-1696720</wp:posOffset>
            </wp:positionV>
            <wp:extent cx="5143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-1696720</wp:posOffset>
            </wp:positionV>
            <wp:extent cx="5143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253" w:name="page254"/>
    <w:bookmarkEnd w:id="253"/>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STATEMENT OF CASH FLOWS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FOR THE PERIOD FROM APRIL 30, 2020 (INCEPTION) THROUGH DECEMBER 31, 2020</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(As Restated)</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57"/>
        </w:trPr>
        <w:tc>
          <w:tcPr>
            <w:tcW w:w="70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7"/>
              </w:rPr>
              <w:t>$   (63,467,875)</w:t>
            </w:r>
          </w:p>
        </w:tc>
      </w:tr>
      <w:tr>
        <w:trPr>
          <w:trHeight w:val="257"/>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700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(531,361)</w:t>
            </w:r>
          </w:p>
        </w:tc>
      </w:tr>
      <w:tr>
        <w:trPr>
          <w:trHeight w:val="257"/>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60" w:type="dxa"/>
            <w:vAlign w:val="bottom"/>
          </w:tcPr>
          <w:p>
            <w:pPr>
              <w:spacing w:after="0"/>
              <w:rPr>
                <w:sz w:val="22"/>
                <w:szCs w:val="22"/>
                <w:color w:val="auto"/>
              </w:rPr>
            </w:pPr>
          </w:p>
        </w:tc>
      </w:tr>
      <w:tr>
        <w:trPr>
          <w:trHeight w:val="257"/>
        </w:trPr>
        <w:tc>
          <w:tcPr>
            <w:tcW w:w="7000" w:type="dxa"/>
            <w:vAlign w:val="bottom"/>
          </w:tcPr>
          <w:p>
            <w:pPr>
              <w:ind w:left="180"/>
              <w:spacing w:after="0"/>
              <w:rPr>
                <w:sz w:val="20"/>
                <w:szCs w:val="20"/>
                <w:color w:val="auto"/>
              </w:rPr>
            </w:pPr>
            <w:r>
              <w:rPr>
                <w:rFonts w:ascii="Arial" w:cs="Arial" w:eastAsia="Arial" w:hAnsi="Arial"/>
                <w:sz w:val="18"/>
                <w:szCs w:val="18"/>
                <w:color w:val="auto"/>
              </w:rPr>
              <w:t>Loss on warrant liabilities</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58,778,500</w:t>
            </w:r>
          </w:p>
        </w:tc>
      </w:tr>
      <w:tr>
        <w:trPr>
          <w:trHeight w:val="257"/>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 attributable to Initial Public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2,167,536</w:t>
            </w:r>
          </w:p>
        </w:tc>
        <w:tc>
          <w:tcPr>
            <w:tcW w:w="60" w:type="dxa"/>
            <w:vAlign w:val="bottom"/>
          </w:tcPr>
          <w:p>
            <w:pPr>
              <w:spacing w:after="0"/>
              <w:rPr>
                <w:sz w:val="22"/>
                <w:szCs w:val="22"/>
                <w:color w:val="auto"/>
              </w:rPr>
            </w:pPr>
          </w:p>
        </w:tc>
      </w:tr>
      <w:tr>
        <w:trPr>
          <w:trHeight w:val="257"/>
        </w:trPr>
        <w:tc>
          <w:tcPr>
            <w:tcW w:w="70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(937,786)</w:t>
            </w:r>
          </w:p>
        </w:tc>
        <w:tc>
          <w:tcPr>
            <w:tcW w:w="60" w:type="dxa"/>
            <w:vAlign w:val="bottom"/>
          </w:tcPr>
          <w:p>
            <w:pPr>
              <w:spacing w:after="0"/>
              <w:rPr>
                <w:sz w:val="22"/>
                <w:szCs w:val="22"/>
                <w:color w:val="auto"/>
              </w:rPr>
            </w:pPr>
          </w:p>
        </w:tc>
      </w:tr>
      <w:tr>
        <w:trPr>
          <w:trHeight w:val="257"/>
        </w:trPr>
        <w:tc>
          <w:tcPr>
            <w:tcW w:w="70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1,446,951</w:t>
            </w:r>
          </w:p>
        </w:tc>
      </w:tr>
      <w:tr>
        <w:trPr>
          <w:trHeight w:val="263"/>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81,422</w:t>
            </w:r>
          </w:p>
        </w:tc>
        <w:tc>
          <w:tcPr>
            <w:tcW w:w="60" w:type="dxa"/>
            <w:vAlign w:val="bottom"/>
          </w:tcPr>
          <w:p>
            <w:pPr>
              <w:spacing w:after="0"/>
              <w:rPr>
                <w:sz w:val="22"/>
                <w:szCs w:val="22"/>
                <w:color w:val="auto"/>
              </w:rPr>
            </w:pPr>
          </w:p>
        </w:tc>
      </w:tr>
      <w:tr>
        <w:trPr>
          <w:trHeight w:val="264"/>
        </w:trPr>
        <w:tc>
          <w:tcPr>
            <w:tcW w:w="7000" w:type="dxa"/>
            <w:vAlign w:val="bottom"/>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(2,467,258)</w:t>
            </w:r>
          </w:p>
        </w:tc>
      </w:tr>
      <w:tr>
        <w:trPr>
          <w:trHeight w:val="256"/>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444881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444881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Investment of cash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970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Cash withdrawn from Trust Account to pay taxes</w:t>
      </w:r>
    </w:p>
    <w:p>
      <w:pPr>
        <w:spacing w:after="0" w:line="73"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54" w:lineRule="exact"/>
        <w:rPr>
          <w:sz w:val="20"/>
          <w:szCs w:val="20"/>
          <w:color w:val="auto"/>
        </w:rPr>
      </w:pPr>
    </w:p>
    <w:p>
      <w:pPr>
        <w:ind w:left="1260" w:right="1511"/>
        <w:spacing w:after="0" w:line="313" w:lineRule="auto"/>
        <w:rPr>
          <w:sz w:val="20"/>
          <w:szCs w:val="20"/>
          <w:color w:val="auto"/>
        </w:rPr>
      </w:pPr>
      <w:r>
        <w:rPr>
          <w:rFonts w:ascii="Arial" w:cs="Arial" w:eastAsia="Arial" w:hAnsi="Arial"/>
          <w:sz w:val="18"/>
          <w:szCs w:val="18"/>
          <w:color w:val="auto"/>
        </w:rPr>
        <w:t>Proceeds from issuance of Class B common stock to Sponsor Proceeds from sale of Units, net of underwriting discounts paid Proceeds from sale of Private Placement Warrants 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-538480</wp:posOffset>
            </wp:positionV>
            <wp:extent cx="5212080" cy="17145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-195580</wp:posOffset>
            </wp:positionV>
            <wp:extent cx="5212080" cy="17145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Repayment of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8859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Payment of offering costs</w:t>
      </w:r>
    </w:p>
    <w:p>
      <w:pPr>
        <w:spacing w:after="0" w:line="86"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970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Change in Cash</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Cash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20574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 End of period</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9685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Initial classification of Class A common stock subject to possible redemption</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Change in value of Class A 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39370</wp:posOffset>
            </wp:positionV>
            <wp:extent cx="5212080" cy="20574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Deferred underwriting fee payable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right"/>
        <w:ind w:right="359"/>
        <w:spacing w:after="0"/>
        <w:rPr>
          <w:sz w:val="20"/>
          <w:szCs w:val="20"/>
          <w:color w:val="auto"/>
        </w:rPr>
      </w:pPr>
      <w:r>
        <w:rPr>
          <w:rFonts w:ascii="Arial" w:cs="Arial" w:eastAsia="Arial" w:hAnsi="Arial"/>
          <w:sz w:val="17"/>
          <w:szCs w:val="17"/>
          <w:color w:val="auto"/>
        </w:rPr>
        <w:t>(2,070,000,000)</w:t>
      </w:r>
    </w:p>
    <w:p>
      <w:pPr>
        <w:spacing w:after="0" w:line="61"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450,000</w:t>
      </w:r>
    </w:p>
    <w:p>
      <w:pPr>
        <w:spacing w:after="0" w:line="73" w:lineRule="exact"/>
        <w:rPr>
          <w:sz w:val="20"/>
          <w:szCs w:val="20"/>
          <w:color w:val="auto"/>
        </w:rPr>
      </w:pPr>
    </w:p>
    <w:p>
      <w:pPr>
        <w:ind w:left="109"/>
        <w:spacing w:after="0"/>
        <w:rPr>
          <w:sz w:val="20"/>
          <w:szCs w:val="20"/>
          <w:color w:val="auto"/>
        </w:rPr>
      </w:pPr>
      <w:r>
        <w:rPr>
          <w:rFonts w:ascii="Arial" w:cs="Arial" w:eastAsia="Arial" w:hAnsi="Arial"/>
          <w:sz w:val="16"/>
          <w:szCs w:val="16"/>
          <w:b w:val="1"/>
          <w:bCs w:val="1"/>
          <w:color w:val="auto"/>
        </w:rPr>
        <w:t>(2,069,550,000)</w:t>
      </w:r>
    </w:p>
    <w:p>
      <w:pPr>
        <w:spacing w:after="0" w:line="360"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25,000</w:t>
      </w:r>
    </w:p>
    <w:p>
      <w:pPr>
        <w:spacing w:after="0" w:line="63"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2,033,596,400</w:t>
      </w:r>
    </w:p>
    <w:p>
      <w:pPr>
        <w:spacing w:after="0" w:line="63"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42,850,000</w:t>
      </w:r>
    </w:p>
    <w:p>
      <w:pPr>
        <w:spacing w:after="0" w:line="63"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550,000</w:t>
      </w:r>
    </w:p>
    <w:p>
      <w:pPr>
        <w:spacing w:after="0" w:line="6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(550,000)</w:t>
      </w:r>
    </w:p>
    <w:p>
      <w:pPr>
        <w:spacing w:after="0" w:line="63" w:lineRule="exact"/>
        <w:rPr>
          <w:sz w:val="20"/>
          <w:szCs w:val="20"/>
          <w:color w:val="auto"/>
        </w:rPr>
      </w:pPr>
    </w:p>
    <w:p>
      <w:pPr>
        <w:jc w:val="right"/>
        <w:ind w:right="359"/>
        <w:spacing w:after="0"/>
        <w:rPr>
          <w:sz w:val="20"/>
          <w:szCs w:val="20"/>
          <w:color w:val="auto"/>
        </w:rPr>
      </w:pPr>
      <w:r>
        <w:rPr>
          <w:rFonts w:ascii="Arial" w:cs="Arial" w:eastAsia="Arial" w:hAnsi="Arial"/>
          <w:sz w:val="18"/>
          <w:szCs w:val="18"/>
          <w:color w:val="auto"/>
        </w:rPr>
        <w:t>(861,285)</w:t>
      </w:r>
    </w:p>
    <w:p>
      <w:pPr>
        <w:spacing w:after="0" w:line="86" w:lineRule="exact"/>
        <w:rPr>
          <w:sz w:val="20"/>
          <w:szCs w:val="20"/>
          <w:color w:val="auto"/>
        </w:rPr>
      </w:pPr>
    </w:p>
    <w:p>
      <w:pPr>
        <w:ind w:left="169"/>
        <w:spacing w:after="0"/>
        <w:rPr>
          <w:sz w:val="20"/>
          <w:szCs w:val="20"/>
          <w:color w:val="auto"/>
        </w:rPr>
      </w:pPr>
      <w:r>
        <w:rPr>
          <w:rFonts w:ascii="Arial" w:cs="Arial" w:eastAsia="Arial" w:hAnsi="Arial"/>
          <w:sz w:val="16"/>
          <w:szCs w:val="16"/>
          <w:b w:val="1"/>
          <w:bCs w:val="1"/>
          <w:color w:val="auto"/>
        </w:rPr>
        <w:t>2,075,610,115</w:t>
      </w:r>
    </w:p>
    <w:p>
      <w:pPr>
        <w:spacing w:after="0" w:line="113" w:lineRule="exact"/>
        <w:rPr>
          <w:sz w:val="20"/>
          <w:szCs w:val="20"/>
          <w:color w:val="auto"/>
        </w:rPr>
      </w:pPr>
    </w:p>
    <w:p>
      <w:pPr>
        <w:ind w:left="469"/>
        <w:spacing w:after="0"/>
        <w:rPr>
          <w:sz w:val="20"/>
          <w:szCs w:val="20"/>
          <w:color w:val="auto"/>
        </w:rPr>
      </w:pPr>
      <w:r>
        <w:rPr>
          <w:rFonts w:ascii="Arial" w:cs="Arial" w:eastAsia="Arial" w:hAnsi="Arial"/>
          <w:sz w:val="17"/>
          <w:szCs w:val="17"/>
          <w:b w:val="1"/>
          <w:bCs w:val="1"/>
          <w:color w:val="auto"/>
        </w:rPr>
        <w:t>3,592,857</w:t>
      </w:r>
    </w:p>
    <w:p>
      <w:pPr>
        <w:spacing w:after="0" w:line="75" w:lineRule="exact"/>
        <w:rPr>
          <w:sz w:val="20"/>
          <w:szCs w:val="20"/>
          <w:color w:val="auto"/>
        </w:rPr>
      </w:pPr>
    </w:p>
    <w:p>
      <w:pPr>
        <w:ind w:left="1009"/>
        <w:spacing w:after="0"/>
        <w:rPr>
          <w:sz w:val="20"/>
          <w:szCs w:val="20"/>
          <w:color w:val="auto"/>
        </w:rPr>
      </w:pPr>
      <w:r>
        <w:rPr>
          <w:rFonts w:ascii="Arial" w:cs="Arial" w:eastAsia="Arial" w:hAnsi="Arial"/>
          <w:sz w:val="18"/>
          <w:szCs w:val="18"/>
          <w:b w:val="1"/>
          <w:bCs w:val="1"/>
          <w:color w:val="auto"/>
        </w:rPr>
        <w:t>—</w:t>
      </w:r>
    </w:p>
    <w:p>
      <w:pPr>
        <w:spacing w:after="0" w:line="90" w:lineRule="exact"/>
        <w:rPr>
          <w:sz w:val="20"/>
          <w:szCs w:val="20"/>
          <w:color w:val="auto"/>
        </w:rPr>
      </w:pPr>
    </w:p>
    <w:p>
      <w:pPr>
        <w:ind w:left="469" w:hanging="469"/>
        <w:spacing w:after="0"/>
        <w:tabs>
          <w:tab w:leader="none" w:pos="469"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3,592,857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762635"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356" w:lineRule="exact"/>
        <w:rPr>
          <w:sz w:val="20"/>
          <w:szCs w:val="20"/>
          <w:color w:val="auto"/>
        </w:rPr>
      </w:pPr>
    </w:p>
    <w:p>
      <w:pPr>
        <w:ind w:left="169" w:hanging="169"/>
        <w:spacing w:after="0"/>
        <w:tabs>
          <w:tab w:leader="none" w:pos="16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1,914,737,110</w:t>
      </w:r>
    </w:p>
    <w:p>
      <w:pPr>
        <w:spacing w:after="0" w:line="140" w:lineRule="exact"/>
        <w:rPr>
          <w:rFonts w:ascii="Arial" w:cs="Arial" w:eastAsia="Arial" w:hAnsi="Arial"/>
          <w:sz w:val="16"/>
          <w:szCs w:val="16"/>
          <w:color w:val="auto"/>
        </w:rPr>
      </w:pPr>
    </w:p>
    <w:p>
      <w:pPr>
        <w:ind w:left="329" w:hanging="329"/>
        <w:spacing w:after="0"/>
        <w:tabs>
          <w:tab w:leader="none" w:pos="32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(61,299,340)</w:t>
      </w:r>
    </w:p>
    <w:p>
      <w:pPr>
        <w:spacing w:after="0" w:line="140" w:lineRule="exact"/>
        <w:rPr>
          <w:rFonts w:ascii="Arial" w:cs="Arial" w:eastAsia="Arial" w:hAnsi="Arial"/>
          <w:sz w:val="16"/>
          <w:szCs w:val="16"/>
          <w:color w:val="auto"/>
        </w:rPr>
      </w:pPr>
    </w:p>
    <w:p>
      <w:pPr>
        <w:ind w:left="389" w:hanging="389"/>
        <w:spacing w:after="0"/>
        <w:tabs>
          <w:tab w:leader="none" w:pos="38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72,450,000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6263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626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-174625</wp:posOffset>
            </wp:positionV>
            <wp:extent cx="76263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626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-354330</wp:posOffset>
            </wp:positionV>
            <wp:extent cx="762635"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7551" w:space="720"/>
            <w:col w:w="1608"/>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12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4" w:name="page255"/>
    <w:bookmarkEnd w:id="254"/>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48" w:lineRule="exact"/>
        <w:rPr>
          <w:sz w:val="20"/>
          <w:szCs w:val="20"/>
          <w:color w:val="auto"/>
        </w:rPr>
      </w:pPr>
    </w:p>
    <w:p>
      <w:pPr>
        <w:ind w:left="1260" w:right="979" w:firstLine="360"/>
        <w:spacing w:after="0" w:line="243" w:lineRule="auto"/>
        <w:rPr>
          <w:sz w:val="20"/>
          <w:szCs w:val="20"/>
          <w:color w:val="auto"/>
        </w:rPr>
      </w:pPr>
      <w:r>
        <w:rPr>
          <w:rFonts w:ascii="Arial" w:cs="Arial" w:eastAsia="Arial" w:hAnsi="Arial"/>
          <w:sz w:val="18"/>
          <w:szCs w:val="18"/>
          <w:color w:val="auto"/>
        </w:rPr>
        <w:t>Churchill Capital Corp IV (formerly known as 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120" w:lineRule="exact"/>
        <w:rPr>
          <w:sz w:val="20"/>
          <w:szCs w:val="20"/>
          <w:color w:val="auto"/>
        </w:rPr>
      </w:pPr>
    </w:p>
    <w:p>
      <w:pPr>
        <w:ind w:left="1260" w:right="959" w:firstLine="360"/>
        <w:spacing w:after="0" w:line="261" w:lineRule="auto"/>
        <w:rPr>
          <w:sz w:val="20"/>
          <w:szCs w:val="20"/>
          <w:color w:val="auto"/>
        </w:rPr>
      </w:pPr>
      <w:r>
        <w:rPr>
          <w:rFonts w:ascii="Arial" w:cs="Arial" w:eastAsia="Arial" w:hAnsi="Arial"/>
          <w:sz w:val="18"/>
          <w:szCs w:val="18"/>
          <w:color w:val="auto"/>
        </w:rPr>
        <w:t>The Company has one subsidiary, Air Merger Sub, Inc., a direct, wholly owned subsidiary of the Company incorporated in Delaware on February 19, 2021 (“Merger Sub”) (see Note 12).</w:t>
      </w:r>
    </w:p>
    <w:p>
      <w:pPr>
        <w:spacing w:after="0" w:line="10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As of December 31, 2020, the Company had not commenced any operations. All activity for the period from April 30, 2020 (inception) through December 31, 2020 relates to the Company’s formation and the initial public offering (“Initial Public Offering”), identifying a target company for a Business Combination, and activities in connection with the proposed acquisition of Atieva, Inc., d/b/a Lucid Motors, an exempted company incorporated with limited liability under the laws of the Cayman Islands (“Atieva”) (see Note 12).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00" w:lineRule="exact"/>
        <w:rPr>
          <w:sz w:val="20"/>
          <w:szCs w:val="20"/>
          <w:color w:val="auto"/>
        </w:rPr>
      </w:pPr>
    </w:p>
    <w:p>
      <w:pPr>
        <w:ind w:left="1260" w:right="999" w:firstLine="360"/>
        <w:spacing w:after="0" w:line="258" w:lineRule="auto"/>
        <w:rPr>
          <w:sz w:val="20"/>
          <w:szCs w:val="20"/>
          <w:color w:val="auto"/>
        </w:rPr>
      </w:pPr>
      <w:r>
        <w:rPr>
          <w:rFonts w:ascii="Arial" w:cs="Arial" w:eastAsia="Arial" w:hAnsi="Arial"/>
          <w:sz w:val="17"/>
          <w:szCs w:val="17"/>
          <w:color w:val="auto"/>
        </w:rPr>
        <w:t>The registration statements for the Company’s Initial Public Offering were declared effective on July 29, 2020. On August 3, 2020, the Company consummated the Initial Public Offering of</w:t>
      </w:r>
    </w:p>
    <w:p>
      <w:pPr>
        <w:spacing w:after="0" w:line="1" w:lineRule="exact"/>
        <w:rPr>
          <w:sz w:val="20"/>
          <w:szCs w:val="20"/>
          <w:color w:val="auto"/>
        </w:rPr>
      </w:pPr>
    </w:p>
    <w:p>
      <w:pPr>
        <w:ind w:left="1260" w:right="559"/>
        <w:spacing w:after="0" w:line="238" w:lineRule="auto"/>
        <w:rPr>
          <w:sz w:val="20"/>
          <w:szCs w:val="20"/>
          <w:color w:val="auto"/>
        </w:rPr>
      </w:pPr>
      <w:r>
        <w:rPr>
          <w:rFonts w:ascii="Arial" w:cs="Arial" w:eastAsia="Arial" w:hAnsi="Arial"/>
          <w:sz w:val="18"/>
          <w:szCs w:val="18"/>
          <w:color w:val="auto"/>
        </w:rPr>
        <w:t>207,000,000 units (the “Units” and, with respect to the shares of Class A common stock included in the Units sold, the “Public Shares”), which includes the full exercise by the underwriters of the over- allotment option to purchase an additional 27,000,000 Units, at $10.00 per Unit, generating gross proceeds of $2,070,000,000, which is described in Note 4.</w:t>
      </w:r>
    </w:p>
    <w:p>
      <w:pPr>
        <w:spacing w:after="0" w:line="121"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42,850,000 warrants (the “Private Placement Warrants”) at a price of $1.00 per Private Placement Warrant in a private placement to Churchill Sponsor IV LLC, (the “Sponsor”), generating gross proceeds of $42,850,000 which is described in Note 5.</w:t>
      </w:r>
    </w:p>
    <w:p>
      <w:pPr>
        <w:spacing w:after="0" w:line="120" w:lineRule="exact"/>
        <w:rPr>
          <w:sz w:val="20"/>
          <w:szCs w:val="20"/>
          <w:color w:val="auto"/>
        </w:rPr>
      </w:pPr>
    </w:p>
    <w:p>
      <w:pPr>
        <w:ind w:left="1260" w:right="1199" w:firstLine="360"/>
        <w:spacing w:after="0" w:line="261" w:lineRule="auto"/>
        <w:rPr>
          <w:sz w:val="20"/>
          <w:szCs w:val="20"/>
          <w:color w:val="auto"/>
        </w:rPr>
      </w:pPr>
      <w:r>
        <w:rPr>
          <w:rFonts w:ascii="Arial" w:cs="Arial" w:eastAsia="Arial" w:hAnsi="Arial"/>
          <w:sz w:val="18"/>
          <w:szCs w:val="18"/>
          <w:color w:val="auto"/>
        </w:rPr>
        <w:t>Transaction costs amounted to $109,714,885, consisting of $ 36,403,600 of underwriting fees, $72,450,000 of deferred underwriting fees and $861,285 of other offering costs.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Following the closing of the Initial Public Offering on August 3, 2020, an amount of $2,070,000,000</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($10.00 per Unit) from the net proceeds of the sale of the Units in the Initial Public Offering and the sale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Private Placement Warrants was placed in a trust account (the “Trust Account”) located in the United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States and invested only in U.S. government securities, within the meaning set forth in Section 2(a)(16) of</w:t>
      </w:r>
    </w:p>
    <w:p>
      <w:pPr>
        <w:spacing w:after="0" w:line="7" w:lineRule="exact"/>
        <w:rPr>
          <w:sz w:val="20"/>
          <w:szCs w:val="20"/>
          <w:color w:val="auto"/>
        </w:rPr>
      </w:pPr>
    </w:p>
    <w:p>
      <w:pPr>
        <w:ind w:left="1260" w:right="539"/>
        <w:spacing w:after="0" w:line="236" w:lineRule="auto"/>
        <w:rPr>
          <w:sz w:val="20"/>
          <w:szCs w:val="20"/>
          <w:color w:val="auto"/>
        </w:rPr>
      </w:pPr>
      <w:r>
        <w:rPr>
          <w:rFonts w:ascii="Arial" w:cs="Arial" w:eastAsia="Arial" w:hAnsi="Arial"/>
          <w:sz w:val="18"/>
          <w:szCs w:val="18"/>
          <w:color w:val="auto"/>
        </w:rPr>
        <w:t>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125"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(excluding taxes payable on interest income earned from the Trust Account and the deferred underwriting commissions) at the time of the agreement to enter into the initial Business Combination. The Company will only complete a Business</w:t>
      </w: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55" w:name="page256"/>
    <w:bookmarkEnd w:id="255"/>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819"/>
        <w:spacing w:after="0" w:line="248" w:lineRule="auto"/>
        <w:rPr>
          <w:sz w:val="20"/>
          <w:szCs w:val="20"/>
          <w:color w:val="auto"/>
        </w:rPr>
      </w:pPr>
      <w:r>
        <w:rPr>
          <w:rFonts w:ascii="Arial" w:cs="Arial" w:eastAsia="Arial" w:hAnsi="Arial"/>
          <w:sz w:val="18"/>
          <w:szCs w:val="18"/>
          <w:color w:val="auto"/>
        </w:rPr>
        <w:t>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01"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net of amounts withdrawn for working capital requirements, subject to an annual limit of $1,000,000 and/or to pay its taxes (“permitted withdrawals”)). The per-share amount to be distributed to public stockholders who redeem their Public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116"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 6)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1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14"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The Sponsor has agreed (a) to waive its redemption rights with respect to its Founder Shares and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111"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If the Company is unable to complete a Business Combination by August 3, 2022 (or November 3, 2022 if the Company has an executed letter of intent, agreement in principle or definitive agreement for a Business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6" w:name="page257"/>
    <w:bookmarkEnd w:id="256"/>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Combination by August 3, 2022) (the “Combination Window”),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Window.</w:t>
      </w:r>
    </w:p>
    <w:p>
      <w:pPr>
        <w:spacing w:after="0" w:line="11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Initial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7)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24"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in the Trust Account to below (i)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who executed a waiver of any and all rights to seek access to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w:t>
      </w:r>
    </w:p>
    <w:p>
      <w:pPr>
        <w:spacing w:after="0" w:line="119"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and Uncertainties</w:t>
      </w:r>
    </w:p>
    <w:p>
      <w:pPr>
        <w:spacing w:after="0" w:line="14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7" w:name="page258"/>
    <w:bookmarkEnd w:id="257"/>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Company has principally financed its operations from inception using proceeds from the sale of its equity securities to its shareholders prior to the Initial Public Offering and such amount of proceeds from the Initial Public Offering that were placed in an account outside of the Trust Account for working capital purposes. As of December 31, 2020, the Company had $3,592,857 in its operating bank accounts, $2,070,086,006 in securities held in the Trust Account to be used for a Business Combination or to repurchase or redeem its common stock in connection therewith and working capital of $3,218,168. As of December 31, 2020, approximately $86,000 of the amount on deposit in the Trust Account represented interest income, which is available to pay the Company’s tax obligations. Based on the foregoing, the Company believes it will have sufficient cash to meet its needs for a reasonable period of time, which is considered to be one year from the issuance date of the financial statements. On February 22, 2021, the Company entered into a convertible promissory note with the Sponsor pursuant to which the Sponsor agreed to loan the Company up to an aggregate principal amount of $1,500,000 (see Note 12).</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162"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The Company previously accounted for its outstanding Public Warrants (as defined in Note 4) and Private Placement Warrants (collectively, with the Public Warrants, the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offer or exchange offer made to and accepted by holders of more than 50% of the outstanding shares of a single class of stock, all holders of the Warrants would be entitled to receive cash for their Warrants (the “tender offer provision”).</w:t>
      </w:r>
    </w:p>
    <w:p>
      <w:pPr>
        <w:spacing w:after="0" w:line="111"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Securities and Exchange Commission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w:t>
      </w:r>
    </w:p>
    <w:p>
      <w:pPr>
        <w:spacing w:after="0" w:line="96"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In further consideration of the SEC Statement,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concluded that the Company’s Private Placement Warrants are not indexed to the Company’s common stock in the manner contemplated by ASC Section 815-40-15 because the holder of the instrument is not an input into the pricing of a fixed-for-fixed option on equity shares. In addition, based on management’s evaluation, the Company’s audit committee, in consultation with management, concluded that the tender offer provision fails the “classified in stockholders’ equity” criteria as contemplated by ASC Section 815-40-25.</w:t>
      </w:r>
    </w:p>
    <w:p>
      <w:pPr>
        <w:spacing w:after="0" w:line="130"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 See Notes 3, 8, 9, 10 and 11.</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58" w:name="page259"/>
    <w:bookmarkEnd w:id="258"/>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left="1260" w:right="1320" w:firstLine="360"/>
        <w:spacing w:after="0" w:line="263"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investments held in trust, operating expenses, or cash.</w:t>
      </w:r>
    </w:p>
    <w:p>
      <w:pPr>
        <w:spacing w:after="0" w:line="103" w:lineRule="exact"/>
        <w:rPr>
          <w:sz w:val="20"/>
          <w:szCs w:val="20"/>
          <w:color w:val="auto"/>
        </w:rPr>
      </w:pPr>
    </w:p>
    <w:p>
      <w:pPr>
        <w:ind w:left="1260" w:right="1540" w:firstLine="360"/>
        <w:spacing w:after="0" w:line="277" w:lineRule="auto"/>
        <w:rPr>
          <w:sz w:val="20"/>
          <w:szCs w:val="20"/>
          <w:color w:val="auto"/>
        </w:rPr>
      </w:pPr>
      <w:r>
        <w:rPr>
          <w:rFonts w:ascii="Arial" w:cs="Arial" w:eastAsia="Arial" w:hAnsi="Arial"/>
          <w:sz w:val="18"/>
          <w:szCs w:val="18"/>
          <w:color w:val="auto"/>
        </w:rPr>
        <w:t>The table below summarizes the effects of the restatement on the financial statements for all periods being restated: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Previously</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jc w:val="right"/>
              <w:ind w:right="1760"/>
              <w:spacing w:after="0"/>
              <w:rPr>
                <w:sz w:val="20"/>
                <w:szCs w:val="20"/>
                <w:color w:val="auto"/>
              </w:rPr>
            </w:pPr>
            <w:r>
              <w:rPr>
                <w:rFonts w:ascii="Arial" w:cs="Arial" w:eastAsia="Arial" w:hAnsi="Arial"/>
                <w:sz w:val="14"/>
                <w:szCs w:val="14"/>
                <w:b w:val="1"/>
                <w:bCs w:val="1"/>
                <w:color w:val="auto"/>
              </w:rPr>
              <w:t>As</w:t>
            </w:r>
          </w:p>
        </w:tc>
      </w:tr>
      <w:tr>
        <w:trPr>
          <w:trHeight w:val="185"/>
        </w:trPr>
        <w:tc>
          <w:tcPr>
            <w:tcW w:w="12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2280" w:type="dxa"/>
            <w:vAlign w:val="bottom"/>
            <w:gridSpan w:val="2"/>
          </w:tcPr>
          <w:p>
            <w:pPr>
              <w:jc w:val="right"/>
              <w:ind w:right="1560"/>
              <w:spacing w:after="0"/>
              <w:rPr>
                <w:sz w:val="20"/>
                <w:szCs w:val="20"/>
                <w:color w:val="auto"/>
              </w:rPr>
            </w:pPr>
            <w:r>
              <w:rPr>
                <w:rFonts w:ascii="Arial" w:cs="Arial" w:eastAsia="Arial" w:hAnsi="Arial"/>
                <w:sz w:val="14"/>
                <w:szCs w:val="14"/>
                <w:b w:val="1"/>
                <w:bCs w:val="1"/>
                <w:color w:val="auto"/>
              </w:rPr>
              <w:t>Restated</w:t>
            </w:r>
          </w:p>
        </w:tc>
      </w:tr>
      <w:tr>
        <w:trPr>
          <w:trHeight w:val="196"/>
        </w:trPr>
        <w:tc>
          <w:tcPr>
            <w:tcW w:w="126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sheet as of August 3, 2020 (audited)</w:t>
            </w: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72,450,000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83,422,000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w w:val="99"/>
              </w:rPr>
              <w:t>155,872,000</w:t>
            </w:r>
          </w:p>
        </w:tc>
        <w:tc>
          <w:tcPr>
            <w:tcW w:w="1260" w:type="dxa"/>
            <w:vAlign w:val="bottom"/>
          </w:tcPr>
          <w:p>
            <w:pPr>
              <w:spacing w:after="0"/>
              <w:rPr>
                <w:sz w:val="17"/>
                <w:szCs w:val="17"/>
                <w:color w:val="auto"/>
              </w:rPr>
            </w:pPr>
          </w:p>
        </w:tc>
      </w:tr>
      <w:tr>
        <w:trPr>
          <w:trHeight w:val="202"/>
        </w:trPr>
        <w:tc>
          <w:tcPr>
            <w:tcW w:w="126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Subject to Possible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60" w:type="dxa"/>
            <w:vAlign w:val="bottom"/>
          </w:tcPr>
          <w:p>
            <w:pPr>
              <w:spacing w:after="0"/>
              <w:rPr>
                <w:sz w:val="20"/>
                <w:szCs w:val="20"/>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1,998,159,110</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(83,422,000)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1,914,737,110</w:t>
            </w:r>
          </w:p>
        </w:tc>
        <w:tc>
          <w:tcPr>
            <w:tcW w:w="1260" w:type="dxa"/>
            <w:vAlign w:val="bottom"/>
          </w:tcPr>
          <w:p>
            <w:pPr>
              <w:spacing w:after="0"/>
              <w:rPr>
                <w:sz w:val="20"/>
                <w:szCs w:val="20"/>
                <w:color w:val="auto"/>
              </w:rPr>
            </w:pPr>
          </w:p>
        </w:tc>
      </w:tr>
      <w:tr>
        <w:trPr>
          <w:trHeight w:val="203"/>
        </w:trPr>
        <w:tc>
          <w:tcPr>
            <w:tcW w:w="126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718</w:t>
            </w:r>
          </w:p>
        </w:tc>
        <w:tc>
          <w:tcPr>
            <w:tcW w:w="12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835</w:t>
            </w: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1,553</w:t>
            </w:r>
          </w:p>
        </w:tc>
        <w:tc>
          <w:tcPr>
            <w:tcW w:w="126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4,995,112</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2,166,701</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7,161,813</w:t>
            </w:r>
          </w:p>
        </w:tc>
        <w:tc>
          <w:tcPr>
            <w:tcW w:w="126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(1,000)</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(2,167,536)</w:t>
            </w: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(2,168,536)</w:t>
            </w:r>
          </w:p>
        </w:tc>
        <w:tc>
          <w:tcPr>
            <w:tcW w:w="126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5,000,005</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5,000,005</w:t>
            </w:r>
          </w:p>
        </w:tc>
        <w:tc>
          <w:tcPr>
            <w:tcW w:w="126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Number of shares subject to redemption</w:t>
            </w:r>
          </w:p>
        </w:tc>
        <w:tc>
          <w:tcPr>
            <w:tcW w:w="10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199,815,911</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(8,342,200)</w:t>
            </w: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w w:val="99"/>
              </w:rPr>
              <w:t>191,473,711</w:t>
            </w:r>
          </w:p>
        </w:tc>
        <w:tc>
          <w:tcPr>
            <w:tcW w:w="126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sheet as of September 30, 2020 (unaudited)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72,483,333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3"/>
              </w:rPr>
              <w:t>135,402,500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w w:val="99"/>
              </w:rPr>
              <w:t>207,885,833</w:t>
            </w:r>
          </w:p>
        </w:tc>
        <w:tc>
          <w:tcPr>
            <w:tcW w:w="1260" w:type="dxa"/>
            <w:vAlign w:val="bottom"/>
          </w:tcPr>
          <w:p>
            <w:pPr>
              <w:spacing w:after="0"/>
              <w:rPr>
                <w:sz w:val="17"/>
                <w:szCs w:val="17"/>
                <w:color w:val="auto"/>
              </w:rPr>
            </w:pPr>
          </w:p>
        </w:tc>
      </w:tr>
      <w:tr>
        <w:trPr>
          <w:trHeight w:val="215"/>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1,998,003,495</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(135,402,500)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1,862,600,995</w:t>
            </w:r>
          </w:p>
        </w:tc>
        <w:tc>
          <w:tcPr>
            <w:tcW w:w="1260" w:type="dxa"/>
            <w:vAlign w:val="bottom"/>
          </w:tcPr>
          <w:p>
            <w:pPr>
              <w:spacing w:after="0"/>
              <w:rPr>
                <w:sz w:val="20"/>
                <w:szCs w:val="20"/>
                <w:color w:val="auto"/>
              </w:rPr>
            </w:pPr>
          </w:p>
        </w:tc>
      </w:tr>
      <w:tr>
        <w:trPr>
          <w:trHeight w:val="216"/>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8"/>
                <w:szCs w:val="18"/>
                <w:color w:val="auto"/>
              </w:rPr>
            </w:pPr>
          </w:p>
        </w:tc>
        <w:tc>
          <w:tcPr>
            <w:tcW w:w="2280" w:type="dxa"/>
            <w:vAlign w:val="bottom"/>
            <w:gridSpan w:val="2"/>
          </w:tcPr>
          <w:p>
            <w:pPr>
              <w:jc w:val="right"/>
              <w:ind w:right="1260"/>
              <w:spacing w:after="0"/>
              <w:rPr>
                <w:sz w:val="20"/>
                <w:szCs w:val="20"/>
                <w:color w:val="auto"/>
              </w:rPr>
            </w:pPr>
            <w:r>
              <w:rPr>
                <w:rFonts w:ascii="Arial" w:cs="Arial" w:eastAsia="Arial" w:hAnsi="Arial"/>
                <w:sz w:val="18"/>
                <w:szCs w:val="18"/>
                <w:color w:val="auto"/>
              </w:rPr>
              <w:t>2,075</w:t>
            </w:r>
          </w:p>
        </w:tc>
      </w:tr>
      <w:tr>
        <w:trPr>
          <w:trHeight w:val="216"/>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5,150,724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54,146,682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59,297,406</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(156,614)</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(54,148,036)</w:t>
            </w:r>
          </w:p>
        </w:tc>
        <w:tc>
          <w:tcPr>
            <w:tcW w:w="120" w:type="dxa"/>
            <w:vAlign w:val="bottom"/>
          </w:tcPr>
          <w:p>
            <w:pPr>
              <w:spacing w:after="0"/>
              <w:rPr>
                <w:sz w:val="18"/>
                <w:szCs w:val="18"/>
                <w:color w:val="auto"/>
              </w:rPr>
            </w:pPr>
          </w:p>
        </w:tc>
        <w:tc>
          <w:tcPr>
            <w:tcW w:w="2280" w:type="dxa"/>
            <w:vAlign w:val="bottom"/>
            <w:gridSpan w:val="2"/>
          </w:tcPr>
          <w:p>
            <w:pPr>
              <w:jc w:val="right"/>
              <w:ind w:right="1200"/>
              <w:spacing w:after="0"/>
              <w:rPr>
                <w:sz w:val="20"/>
                <w:szCs w:val="20"/>
                <w:color w:val="auto"/>
              </w:rPr>
            </w:pPr>
            <w:r>
              <w:rPr>
                <w:rFonts w:ascii="Arial" w:cs="Arial" w:eastAsia="Arial" w:hAnsi="Arial"/>
                <w:sz w:val="18"/>
                <w:szCs w:val="18"/>
                <w:color w:val="auto"/>
              </w:rPr>
              <w:t>(54,304,650)</w:t>
            </w:r>
          </w:p>
        </w:tc>
      </w:tr>
      <w:tr>
        <w:trPr>
          <w:trHeight w:val="216"/>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Number of shares subject to redemption</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199,787,373</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(13,539,371)</w:t>
            </w:r>
          </w:p>
        </w:tc>
        <w:tc>
          <w:tcPr>
            <w:tcW w:w="120" w:type="dxa"/>
            <w:vAlign w:val="bottom"/>
          </w:tcPr>
          <w:p>
            <w:pPr>
              <w:spacing w:after="0"/>
              <w:rPr>
                <w:sz w:val="18"/>
                <w:szCs w:val="18"/>
                <w:color w:val="auto"/>
              </w:rPr>
            </w:pPr>
          </w:p>
        </w:tc>
        <w:tc>
          <w:tcPr>
            <w:tcW w:w="2280" w:type="dxa"/>
            <w:vAlign w:val="bottom"/>
            <w:gridSpan w:val="2"/>
          </w:tcPr>
          <w:p>
            <w:pPr>
              <w:jc w:val="right"/>
              <w:ind w:right="1260"/>
              <w:spacing w:after="0"/>
              <w:rPr>
                <w:sz w:val="20"/>
                <w:szCs w:val="20"/>
                <w:color w:val="auto"/>
              </w:rPr>
            </w:pPr>
            <w:r>
              <w:rPr>
                <w:rFonts w:ascii="Arial" w:cs="Arial" w:eastAsia="Arial" w:hAnsi="Arial"/>
                <w:sz w:val="18"/>
                <w:szCs w:val="18"/>
                <w:color w:val="auto"/>
                <w:w w:val="99"/>
              </w:rPr>
              <w:t>186,248,002</w:t>
            </w:r>
          </w:p>
        </w:tc>
      </w:tr>
      <w:tr>
        <w:trPr>
          <w:trHeight w:val="216"/>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sheet as of December 31, 2020 (audited)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73,978,373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142,200,500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80" w:type="dxa"/>
            <w:vAlign w:val="bottom"/>
            <w:gridSpan w:val="2"/>
          </w:tcPr>
          <w:p>
            <w:pPr>
              <w:jc w:val="right"/>
              <w:ind w:right="1260"/>
              <w:spacing w:after="0"/>
              <w:rPr>
                <w:sz w:val="20"/>
                <w:szCs w:val="20"/>
                <w:color w:val="auto"/>
              </w:rPr>
            </w:pPr>
            <w:r>
              <w:rPr>
                <w:rFonts w:ascii="Arial" w:cs="Arial" w:eastAsia="Arial" w:hAnsi="Arial"/>
                <w:sz w:val="18"/>
                <w:szCs w:val="18"/>
                <w:color w:val="auto"/>
                <w:w w:val="99"/>
              </w:rPr>
              <w:t>216,178,873</w:t>
            </w:r>
          </w:p>
        </w:tc>
      </w:tr>
      <w:tr>
        <w:trPr>
          <w:trHeight w:val="215"/>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1,995,638,270</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(142,200,500)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1,853,437,770</w:t>
            </w:r>
          </w:p>
        </w:tc>
        <w:tc>
          <w:tcPr>
            <w:tcW w:w="1260" w:type="dxa"/>
            <w:vAlign w:val="bottom"/>
          </w:tcPr>
          <w:p>
            <w:pPr>
              <w:spacing w:after="0"/>
              <w:rPr>
                <w:sz w:val="20"/>
                <w:szCs w:val="20"/>
                <w:color w:val="auto"/>
              </w:rPr>
            </w:pPr>
          </w:p>
        </w:tc>
      </w:tr>
      <w:tr>
        <w:trPr>
          <w:trHeight w:val="216"/>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8"/>
                <w:szCs w:val="18"/>
                <w:color w:val="auto"/>
              </w:rPr>
            </w:pPr>
          </w:p>
        </w:tc>
        <w:tc>
          <w:tcPr>
            <w:tcW w:w="2280" w:type="dxa"/>
            <w:vAlign w:val="bottom"/>
            <w:gridSpan w:val="2"/>
          </w:tcPr>
          <w:p>
            <w:pPr>
              <w:jc w:val="right"/>
              <w:ind w:right="1260"/>
              <w:spacing w:after="0"/>
              <w:rPr>
                <w:sz w:val="20"/>
                <w:szCs w:val="20"/>
                <w:color w:val="auto"/>
              </w:rPr>
            </w:pPr>
            <w:r>
              <w:rPr>
                <w:rFonts w:ascii="Arial" w:cs="Arial" w:eastAsia="Arial" w:hAnsi="Arial"/>
                <w:sz w:val="18"/>
                <w:szCs w:val="18"/>
                <w:color w:val="auto"/>
              </w:rPr>
              <w:t>2,166</w:t>
            </w:r>
          </w:p>
        </w:tc>
      </w:tr>
      <w:tr>
        <w:trPr>
          <w:trHeight w:val="216"/>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7,515,926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60,944,614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68,460,540</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(2,521,839)</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(60,946,036)</w:t>
            </w:r>
          </w:p>
        </w:tc>
        <w:tc>
          <w:tcPr>
            <w:tcW w:w="120" w:type="dxa"/>
            <w:vAlign w:val="bottom"/>
          </w:tcPr>
          <w:p>
            <w:pPr>
              <w:spacing w:after="0"/>
              <w:rPr>
                <w:sz w:val="18"/>
                <w:szCs w:val="18"/>
                <w:color w:val="auto"/>
              </w:rPr>
            </w:pPr>
          </w:p>
        </w:tc>
        <w:tc>
          <w:tcPr>
            <w:tcW w:w="2280" w:type="dxa"/>
            <w:vAlign w:val="bottom"/>
            <w:gridSpan w:val="2"/>
          </w:tcPr>
          <w:p>
            <w:pPr>
              <w:jc w:val="right"/>
              <w:ind w:right="1200"/>
              <w:spacing w:after="0"/>
              <w:rPr>
                <w:sz w:val="20"/>
                <w:szCs w:val="20"/>
                <w:color w:val="auto"/>
              </w:rPr>
            </w:pPr>
            <w:r>
              <w:rPr>
                <w:rFonts w:ascii="Arial" w:cs="Arial" w:eastAsia="Arial" w:hAnsi="Arial"/>
                <w:sz w:val="18"/>
                <w:szCs w:val="18"/>
                <w:color w:val="auto"/>
              </w:rPr>
              <w:t>(63,467,875)</w:t>
            </w:r>
          </w:p>
        </w:tc>
      </w:tr>
      <w:tr>
        <w:trPr>
          <w:trHeight w:val="216"/>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Number of shares subject to redemption</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199,563,827</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(14,220,050)</w:t>
            </w:r>
          </w:p>
        </w:tc>
        <w:tc>
          <w:tcPr>
            <w:tcW w:w="120" w:type="dxa"/>
            <w:vAlign w:val="bottom"/>
          </w:tcPr>
          <w:p>
            <w:pPr>
              <w:spacing w:after="0"/>
              <w:rPr>
                <w:sz w:val="18"/>
                <w:szCs w:val="18"/>
                <w:color w:val="auto"/>
              </w:rPr>
            </w:pPr>
          </w:p>
        </w:tc>
        <w:tc>
          <w:tcPr>
            <w:tcW w:w="2280" w:type="dxa"/>
            <w:vAlign w:val="bottom"/>
            <w:gridSpan w:val="2"/>
          </w:tcPr>
          <w:p>
            <w:pPr>
              <w:jc w:val="right"/>
              <w:ind w:right="1260"/>
              <w:spacing w:after="0"/>
              <w:rPr>
                <w:sz w:val="20"/>
                <w:szCs w:val="20"/>
                <w:color w:val="auto"/>
              </w:rPr>
            </w:pPr>
            <w:r>
              <w:rPr>
                <w:rFonts w:ascii="Arial" w:cs="Arial" w:eastAsia="Arial" w:hAnsi="Arial"/>
                <w:sz w:val="18"/>
                <w:szCs w:val="18"/>
                <w:color w:val="auto"/>
                <w:w w:val="99"/>
              </w:rPr>
              <w:t>185,343,777</w:t>
            </w:r>
          </w:p>
        </w:tc>
      </w:tr>
      <w:tr>
        <w:trPr>
          <w:trHeight w:val="215"/>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for the three Month Ended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2020 (unaudited)</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(155,614)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(54,148,036)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80" w:type="dxa"/>
            <w:vAlign w:val="bottom"/>
            <w:gridSpan w:val="2"/>
          </w:tcPr>
          <w:p>
            <w:pPr>
              <w:jc w:val="right"/>
              <w:ind w:right="1200"/>
              <w:spacing w:after="0"/>
              <w:rPr>
                <w:sz w:val="20"/>
                <w:szCs w:val="20"/>
                <w:color w:val="auto"/>
              </w:rPr>
            </w:pPr>
            <w:r>
              <w:rPr>
                <w:rFonts w:ascii="Arial" w:cs="Arial" w:eastAsia="Arial" w:hAnsi="Arial"/>
                <w:sz w:val="18"/>
                <w:szCs w:val="18"/>
                <w:color w:val="auto"/>
              </w:rPr>
              <w:t>(54,303,650)</w:t>
            </w:r>
          </w:p>
        </w:tc>
      </w:tr>
      <w:tr>
        <w:trPr>
          <w:trHeight w:val="215"/>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8"/>
              </w:rPr>
              <w:t>Basic and diluted weighted average shares outstanding,</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common stock subject to possible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199,815,911</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(8,342,200)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191,473,711</w:t>
            </w:r>
          </w:p>
        </w:tc>
        <w:tc>
          <w:tcPr>
            <w:tcW w:w="1260" w:type="dxa"/>
            <w:vAlign w:val="bottom"/>
          </w:tcPr>
          <w:p>
            <w:pPr>
              <w:spacing w:after="0"/>
              <w:rPr>
                <w:sz w:val="20"/>
                <w:szCs w:val="20"/>
                <w:color w:val="auto"/>
              </w:rPr>
            </w:pPr>
          </w:p>
        </w:tc>
      </w:tr>
      <w:tr>
        <w:trPr>
          <w:trHeight w:val="215"/>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Basic and diluted net income per share, Class A</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common stock subject to possible redemption</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2280" w:type="dxa"/>
            <w:vAlign w:val="bottom"/>
            <w:gridSpan w:val="2"/>
          </w:tcPr>
          <w:p>
            <w:pPr>
              <w:jc w:val="right"/>
              <w:ind w:right="1260"/>
              <w:spacing w:after="0"/>
              <w:rPr>
                <w:sz w:val="20"/>
                <w:szCs w:val="20"/>
                <w:color w:val="auto"/>
              </w:rPr>
            </w:pPr>
            <w:r>
              <w:rPr>
                <w:rFonts w:ascii="Arial" w:cs="Arial" w:eastAsia="Arial" w:hAnsi="Arial"/>
                <w:sz w:val="18"/>
                <w:szCs w:val="18"/>
                <w:color w:val="auto"/>
              </w:rPr>
              <w:t>0.00</w:t>
            </w:r>
          </w:p>
        </w:tc>
      </w:tr>
      <w:tr>
        <w:trPr>
          <w:trHeight w:val="215"/>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8"/>
              </w:rPr>
              <w:t>Basic and diluted weighted average shares outstanding,</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common stock</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53,784,534</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5,259,213</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59,043,747</w:t>
            </w:r>
          </w:p>
        </w:tc>
        <w:tc>
          <w:tcPr>
            <w:tcW w:w="1260" w:type="dxa"/>
            <w:vAlign w:val="bottom"/>
          </w:tcPr>
          <w:p>
            <w:pPr>
              <w:spacing w:after="0"/>
              <w:rPr>
                <w:sz w:val="20"/>
                <w:szCs w:val="20"/>
                <w:color w:val="auto"/>
              </w:rPr>
            </w:pPr>
          </w:p>
        </w:tc>
      </w:tr>
      <w:tr>
        <w:trPr>
          <w:trHeight w:val="215"/>
        </w:trPr>
        <w:tc>
          <w:tcPr>
            <w:tcW w:w="12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Basic and diluted net loss per share, Non-redeemable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0"/>
                <w:szCs w:val="20"/>
                <w:color w:val="auto"/>
              </w:rPr>
            </w:pPr>
          </w:p>
        </w:tc>
        <w:tc>
          <w:tcPr>
            <w:tcW w:w="2280" w:type="dxa"/>
            <w:vAlign w:val="bottom"/>
            <w:gridSpan w:val="2"/>
          </w:tcPr>
          <w:p>
            <w:pPr>
              <w:jc w:val="right"/>
              <w:ind w:right="1200"/>
              <w:spacing w:after="0"/>
              <w:rPr>
                <w:sz w:val="20"/>
                <w:szCs w:val="20"/>
                <w:color w:val="auto"/>
              </w:rPr>
            </w:pPr>
            <w:r>
              <w:rPr>
                <w:rFonts w:ascii="Arial" w:cs="Arial" w:eastAsia="Arial" w:hAnsi="Arial"/>
                <w:sz w:val="18"/>
                <w:szCs w:val="18"/>
                <w:color w:val="auto"/>
              </w:rPr>
              <w:t>(0.92)</w:t>
            </w:r>
          </w:p>
        </w:tc>
      </w:tr>
      <w:tr>
        <w:trPr>
          <w:trHeight w:val="216"/>
        </w:trPr>
        <w:tc>
          <w:tcPr>
            <w:tcW w:w="126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607"/>
        </w:trPr>
        <w:tc>
          <w:tcPr>
            <w:tcW w:w="1260" w:type="dxa"/>
            <w:vAlign w:val="bottom"/>
          </w:tcPr>
          <w:p>
            <w:pPr>
              <w:spacing w:after="0"/>
              <w:rPr>
                <w:sz w:val="24"/>
                <w:szCs w:val="24"/>
                <w:color w:val="auto"/>
              </w:rPr>
            </w:pPr>
          </w:p>
        </w:tc>
        <w:tc>
          <w:tcPr>
            <w:tcW w:w="4420" w:type="dxa"/>
            <w:vAlign w:val="bottom"/>
          </w:tcPr>
          <w:p>
            <w:pPr>
              <w:ind w:left="3900"/>
              <w:spacing w:after="0"/>
              <w:rPr>
                <w:sz w:val="20"/>
                <w:szCs w:val="20"/>
                <w:color w:val="auto"/>
              </w:rPr>
            </w:pPr>
            <w:r>
              <w:rPr>
                <w:rFonts w:ascii="Arial" w:cs="Arial" w:eastAsia="Arial" w:hAnsi="Arial"/>
                <w:sz w:val="18"/>
                <w:szCs w:val="18"/>
                <w:color w:val="auto"/>
              </w:rPr>
              <w:t>F-76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5146040</wp:posOffset>
            </wp:positionH>
            <wp:positionV relativeFrom="paragraph">
              <wp:posOffset>-6128385</wp:posOffset>
            </wp:positionV>
            <wp:extent cx="13716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-6128385</wp:posOffset>
            </wp:positionV>
            <wp:extent cx="366014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59" w:name="page260"/>
    <w:bookmarkEnd w:id="259"/>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0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Previously</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w:t>
            </w:r>
          </w:p>
        </w:tc>
      </w:tr>
      <w:tr>
        <w:trPr>
          <w:trHeight w:val="185"/>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Reported</w:t>
            </w: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Restated</w:t>
            </w:r>
          </w:p>
        </w:tc>
      </w:tr>
      <w:tr>
        <w:trPr>
          <w:trHeight w:val="191"/>
        </w:trPr>
        <w:tc>
          <w:tcPr>
            <w:tcW w:w="442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7"/>
              </w:rPr>
              <w:t>Statement of Operations for the period from April 30,</w:t>
            </w: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2020 (inception) to September 30, 2020 (unaudited)</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(156,614)</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6"/>
              </w:rPr>
              <w:t>$(54,148,036)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w w:val="97"/>
              </w:rPr>
              <w:t>(54,304,650)</w:t>
            </w:r>
          </w:p>
        </w:tc>
        <w:tc>
          <w:tcPr>
            <w:tcW w:w="60" w:type="dxa"/>
            <w:vAlign w:val="bottom"/>
          </w:tcPr>
          <w:p>
            <w:pPr>
              <w:spacing w:after="0"/>
              <w:rPr>
                <w:sz w:val="17"/>
                <w:szCs w:val="17"/>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weighted average shares outstanding,</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common stock subject to possible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199,815,911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(8,342,200)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191,473,711</w:t>
            </w:r>
          </w:p>
        </w:tc>
        <w:tc>
          <w:tcPr>
            <w:tcW w:w="60" w:type="dxa"/>
            <w:vAlign w:val="bottom"/>
          </w:tcPr>
          <w:p>
            <w:pPr>
              <w:spacing w:after="0"/>
              <w:rPr>
                <w:sz w:val="20"/>
                <w:szCs w:val="20"/>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rPr>
              <w:t>Basic and diluted net income per share, Class A</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common stock subject to possible redemption</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weighted average shares outstanding,</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common stock</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51,169,291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3,693,493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54,862,784</w:t>
            </w:r>
          </w:p>
        </w:tc>
        <w:tc>
          <w:tcPr>
            <w:tcW w:w="60" w:type="dxa"/>
            <w:vAlign w:val="bottom"/>
          </w:tcPr>
          <w:p>
            <w:pPr>
              <w:spacing w:after="0"/>
              <w:rPr>
                <w:sz w:val="20"/>
                <w:szCs w:val="20"/>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Non-redeemable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(0.99)</w:t>
            </w:r>
          </w:p>
        </w:tc>
      </w:tr>
      <w:tr>
        <w:trPr>
          <w:trHeight w:val="198"/>
        </w:trPr>
        <w:tc>
          <w:tcPr>
            <w:tcW w:w="4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Statement of Operations for the period from April 30,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 (inception) to December 31, 2020 (audited)</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(2,521,839)</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6"/>
              </w:rPr>
              <w:t>$(60,946,036)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w w:val="97"/>
              </w:rPr>
              <w:t>(63,467,875)</w:t>
            </w:r>
          </w:p>
        </w:tc>
        <w:tc>
          <w:tcPr>
            <w:tcW w:w="60" w:type="dxa"/>
            <w:vAlign w:val="bottom"/>
          </w:tcPr>
          <w:p>
            <w:pPr>
              <w:spacing w:after="0"/>
              <w:rPr>
                <w:sz w:val="17"/>
                <w:szCs w:val="17"/>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weighted average shares outstanding,</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common stock subject to possible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199,798,408</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(11,529,798)</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188,268,610</w:t>
            </w:r>
          </w:p>
        </w:tc>
        <w:tc>
          <w:tcPr>
            <w:tcW w:w="60" w:type="dxa"/>
            <w:vAlign w:val="bottom"/>
          </w:tcPr>
          <w:p>
            <w:pPr>
              <w:spacing w:after="0"/>
              <w:rPr>
                <w:sz w:val="20"/>
                <w:szCs w:val="20"/>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rPr>
              <w:t>Basic and diluted net income per share, Class A</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common stock subject to possible redemption</w:t>
            </w: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weighted average shares outstanding,</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Non-redeemable common stock</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54,384,479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7,755,470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62,139,949</w:t>
            </w:r>
          </w:p>
        </w:tc>
        <w:tc>
          <w:tcPr>
            <w:tcW w:w="60" w:type="dxa"/>
            <w:vAlign w:val="bottom"/>
          </w:tcPr>
          <w:p>
            <w:pPr>
              <w:spacing w:after="0"/>
              <w:rPr>
                <w:sz w:val="20"/>
                <w:szCs w:val="20"/>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Non-redeemable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198"/>
        </w:trPr>
        <w:tc>
          <w:tcPr>
            <w:tcW w:w="4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Statement of Cash Flows for the period from April 30,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 (inception) to December 31, 2020 (audited)</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(2,521,839)</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6"/>
              </w:rPr>
              <w:t>$(60,946,036)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w w:val="97"/>
              </w:rPr>
              <w:t>(63,467,875)</w:t>
            </w:r>
          </w:p>
        </w:tc>
        <w:tc>
          <w:tcPr>
            <w:tcW w:w="60" w:type="dxa"/>
            <w:vAlign w:val="bottom"/>
          </w:tcPr>
          <w:p>
            <w:pPr>
              <w:spacing w:after="0"/>
              <w:rPr>
                <w:sz w:val="17"/>
                <w:szCs w:val="17"/>
                <w:color w:val="auto"/>
              </w:rPr>
            </w:pP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warrant liabilities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58,778,500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58,778,500</w:t>
            </w:r>
          </w:p>
        </w:tc>
        <w:tc>
          <w:tcPr>
            <w:tcW w:w="60" w:type="dxa"/>
            <w:vAlign w:val="bottom"/>
          </w:tcPr>
          <w:p>
            <w:pPr>
              <w:spacing w:after="0"/>
              <w:rPr>
                <w:sz w:val="17"/>
                <w:szCs w:val="17"/>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Transaction costs attributable to Initial Public Offering</w:t>
            </w:r>
          </w:p>
        </w:tc>
        <w:tc>
          <w:tcPr>
            <w:tcW w:w="10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2,167,536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2,167,536</w:t>
            </w:r>
          </w:p>
        </w:tc>
        <w:tc>
          <w:tcPr>
            <w:tcW w:w="60" w:type="dxa"/>
            <w:vAlign w:val="bottom"/>
          </w:tcPr>
          <w:p>
            <w:pPr>
              <w:spacing w:after="0"/>
              <w:rPr>
                <w:sz w:val="17"/>
                <w:szCs w:val="17"/>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Initial classification of Class A common stock subject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possible redemption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1,998,159,110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(83,422,000)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1,914,737,110</w:t>
            </w:r>
          </w:p>
        </w:tc>
        <w:tc>
          <w:tcPr>
            <w:tcW w:w="60" w:type="dxa"/>
            <w:vAlign w:val="bottom"/>
          </w:tcPr>
          <w:p>
            <w:pPr>
              <w:spacing w:after="0"/>
              <w:rPr>
                <w:sz w:val="20"/>
                <w:szCs w:val="20"/>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rPr>
              <w:t>Change in value of Class A common stock subject to</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(2,520,840)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(58,778,500)</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(61,299,340)</w:t>
            </w:r>
          </w:p>
        </w:tc>
      </w:tr>
      <w:tr>
        <w:trPr>
          <w:trHeight w:val="211"/>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Statement of Cash Flows for the period from April 30,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2020 (inception) to September 30, 2020 (unaudited)</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(156,614)</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$(54,148,036)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(54,304,650)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on warrant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51,980,500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51,980,500</w:t>
            </w:r>
          </w:p>
        </w:tc>
        <w:tc>
          <w:tcPr>
            <w:tcW w:w="6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Transaction costs attributable to Initial Public Offering</w:t>
            </w: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2,167,536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2,167,536</w:t>
            </w:r>
          </w:p>
        </w:tc>
      </w:tr>
      <w:tr>
        <w:trPr>
          <w:trHeight w:val="215"/>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Class A common stock subject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possible redemption</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1,998,159,110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(83,422,000)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1,914,737,110</w:t>
            </w:r>
          </w:p>
        </w:tc>
        <w:tc>
          <w:tcPr>
            <w:tcW w:w="60" w:type="dxa"/>
            <w:vAlign w:val="bottom"/>
          </w:tcPr>
          <w:p>
            <w:pPr>
              <w:spacing w:after="0"/>
              <w:rPr>
                <w:sz w:val="20"/>
                <w:szCs w:val="20"/>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Change in value of Class A common stock subject to</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(155,615)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(51,980,500)</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(52,136,115)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5146040</wp:posOffset>
            </wp:positionH>
            <wp:positionV relativeFrom="paragraph">
              <wp:posOffset>-5751195</wp:posOffset>
            </wp:positionV>
            <wp:extent cx="13716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-5751195</wp:posOffset>
            </wp:positionV>
            <wp:extent cx="366014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0" w:name="page261"/>
    <w:bookmarkEnd w:id="260"/>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Emerging Growth Company</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9"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preparation of the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19"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left="1260" w:right="719" w:firstLine="360"/>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Cash equivalents consist of mutual funds. The Company did not have any cash equivalents as of December 31, 2020.</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1" w:name="page262"/>
    <w:bookmarkEnd w:id="261"/>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148"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At December 31, 2020, substantially all of the assets held in the Trust Account were held in U.S. Treasury Bills. Through December 31, 2020, the Company withdrew $450,000 of interest earned on the Trust Account for working capital purposes.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 Liability</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The Company accounts for the Warrants in accordance with the guidance contained in ASC 815-40-15-7D and 7F under which the Warrants do not meet the criteria for equity treatment and must be recorded as liabilities. Accordingly, the Company classifies the Warrants as liabilities at their fair value and adjust the Warrants to fair value at each reporting period. This liability is subject to re -measurement at each balance sheet date until exercised, and any change in fair value is recognized in our statement of operations. The Public Warrants and Private Placement Warrants for periods where no observable traded price was available are valued using a Monte Carlo simulation and a modified Black Scholes model, respectively. For periods subsequent to the detachment of the Public Warrants from the Units, the Public Warrant quoted market price was used as the fair value as of each relevant date.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162"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Shares of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Class A common stock subject to possible redemption is presented at redemption value as temporary equity, outside of the stockholders’ equity section of the Company’s balance sheet.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3"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13"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On March 27, 2020, President Trump signed the Coronavirus Aid, Relief, and Economic Security “CARES” Act into law. The CARES Act includes several significant business tax provisions that, among</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2" w:name="page263"/>
    <w:bookmarkEnd w:id="262"/>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other things, would eliminate the taxable income limit for certain net operating losses (“NOL) and allow businesses to carry back NOLs arising in 2018, 2019 and 2020 to the five prior years, suspend the excess business loss rules, accelerate refunds of previously generated corporate alternative minimum tax credits, generally loosen the business interest limitation under IRC section 163(j) from 30 percent to 50 percent among other technical corrections included in the Tax Cuts and Jobs Act tax provisions. The Company does not believe that the CARES Act will have a significant impact on Company’s financial position or statement of operations.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Income (Loss) per Common Share</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Net income (loss) per common share is computed by dividing net income by the weighted-average number of common shares outstanding during the period. The Company has not considered the effect of the warrants sold in the Public Offering and Private Placement to purchase an aggregate of 84,250,000 shares of common stock in the calculation of diluted loss per share, since the exercise of the warrants into shares of common stock is contingent upon the occurrence of future events and the inclusion of such warrants would be anti-dilutive.</w:t>
      </w:r>
    </w:p>
    <w:p>
      <w:pPr>
        <w:spacing w:after="0" w:line="125"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The Company’s statement of operations includes a presentation of income (loss) per share for Class A common stock subject to possible redemption in a manner similar to the two-class method of income (loss) per ordinary share. Net income (loss) per common share, basic and diluted, for Class A common stock subject to possible redemption is calculated by dividing the proportionate share of income or loss on marketable securities held by the Trust Account by the weighted average number of Class A common stock subject to possible redemption outstanding since original issuance.</w:t>
      </w:r>
    </w:p>
    <w:p>
      <w:pPr>
        <w:spacing w:after="0" w:line="125"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Net income (loss) per share, basic and diluted, for non-redeemable ordinary shares is calculated by dividing the net loss, adjusted for income or loss on marketable securities attributable to Class A common stock subject to possible redemption, by the weighted average number of non-redeemable ordinary shares outstanding for the period.</w:t>
      </w:r>
    </w:p>
    <w:p>
      <w:pPr>
        <w:spacing w:after="0" w:line="106"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Non-redeemable common stock includes Founder Shares and non-redeemable shares of common stock as these shares do not have any redemption features. Non-redeemable common stock participates in the income or loss on marketable securities based on the non-redeemable shares’ proportionate interest.</w:t>
      </w:r>
    </w:p>
    <w:p>
      <w:pPr>
        <w:spacing w:after="0" w:line="98"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The following table reflects the calculation of basic and diluted net income (loss) per ordinary share (in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3" w:name="page264"/>
    <w:bookmarkEnd w:id="263"/>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0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For the Period</w:t>
            </w: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from April 30, 2020</w:t>
            </w: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11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(inception) through</w:t>
            </w:r>
          </w:p>
        </w:tc>
        <w:tc>
          <w:tcPr>
            <w:tcW w:w="0" w:type="dxa"/>
            <w:vAlign w:val="bottom"/>
          </w:tcPr>
          <w:p>
            <w:pPr>
              <w:spacing w:after="0"/>
              <w:rPr>
                <w:sz w:val="1"/>
                <w:szCs w:val="1"/>
                <w:color w:val="auto"/>
              </w:rPr>
            </w:pPr>
          </w:p>
        </w:tc>
      </w:tr>
      <w:tr>
        <w:trPr>
          <w:trHeight w:val="186"/>
        </w:trPr>
        <w:tc>
          <w:tcPr>
            <w:tcW w:w="7020" w:type="dxa"/>
            <w:vAlign w:val="bottom"/>
          </w:tcPr>
          <w:p>
            <w:pPr>
              <w:spacing w:after="0"/>
              <w:rPr>
                <w:sz w:val="16"/>
                <w:szCs w:val="16"/>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December 31, 2020</w:t>
            </w:r>
          </w:p>
        </w:tc>
        <w:tc>
          <w:tcPr>
            <w:tcW w:w="0" w:type="dxa"/>
            <w:vAlign w:val="bottom"/>
          </w:tcPr>
          <w:p>
            <w:pPr>
              <w:spacing w:after="0"/>
              <w:rPr>
                <w:sz w:val="1"/>
                <w:szCs w:val="1"/>
                <w:color w:val="auto"/>
              </w:rPr>
            </w:pPr>
          </w:p>
        </w:tc>
      </w:tr>
      <w:tr>
        <w:trPr>
          <w:trHeight w:val="26"/>
        </w:trPr>
        <w:tc>
          <w:tcPr>
            <w:tcW w:w="7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020" w:type="dxa"/>
            <w:vAlign w:val="bottom"/>
          </w:tcPr>
          <w:p>
            <w:pPr>
              <w:spacing w:after="0"/>
              <w:rPr>
                <w:sz w:val="20"/>
                <w:szCs w:val="20"/>
                <w:color w:val="auto"/>
              </w:rPr>
            </w:pPr>
            <w:r>
              <w:rPr>
                <w:rFonts w:ascii="Arial" w:cs="Arial" w:eastAsia="Arial" w:hAnsi="Arial"/>
                <w:sz w:val="18"/>
                <w:szCs w:val="18"/>
                <w:color w:val="auto"/>
              </w:rPr>
              <w:t>Numerator: Earnings allocable to Class A common stock subject to possible redemption</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475,781</w:t>
            </w:r>
          </w:p>
        </w:tc>
        <w:tc>
          <w:tcPr>
            <w:tcW w:w="0" w:type="dxa"/>
            <w:vAlign w:val="bottom"/>
          </w:tcPr>
          <w:p>
            <w:pPr>
              <w:spacing w:after="0"/>
              <w:rPr>
                <w:sz w:val="1"/>
                <w:szCs w:val="1"/>
                <w:color w:val="auto"/>
              </w:rPr>
            </w:pPr>
          </w:p>
        </w:tc>
      </w:tr>
      <w:tr>
        <w:trPr>
          <w:trHeight w:val="257"/>
        </w:trPr>
        <w:tc>
          <w:tcPr>
            <w:tcW w:w="7020" w:type="dxa"/>
            <w:vAlign w:val="bottom"/>
          </w:tcPr>
          <w:p>
            <w:pPr>
              <w:ind w:left="180"/>
              <w:spacing w:after="0"/>
              <w:rPr>
                <w:sz w:val="20"/>
                <w:szCs w:val="20"/>
                <w:color w:val="auto"/>
              </w:rPr>
            </w:pPr>
            <w:r>
              <w:rPr>
                <w:rFonts w:ascii="Arial" w:cs="Arial" w:eastAsia="Arial" w:hAnsi="Arial"/>
                <w:sz w:val="18"/>
                <w:szCs w:val="18"/>
                <w:color w:val="auto"/>
              </w:rPr>
              <w:t>Unrealized gain on investments held in Trust Account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57"/>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Company’s portion available to be withdrawn to pay taxes</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(193,315)</w:t>
            </w:r>
          </w:p>
        </w:tc>
        <w:tc>
          <w:tcPr>
            <w:tcW w:w="0" w:type="dxa"/>
            <w:vAlign w:val="bottom"/>
          </w:tcPr>
          <w:p>
            <w:pPr>
              <w:spacing w:after="0"/>
              <w:rPr>
                <w:sz w:val="1"/>
                <w:szCs w:val="1"/>
                <w:color w:val="auto"/>
              </w:rPr>
            </w:pPr>
          </w:p>
        </w:tc>
      </w:tr>
      <w:tr>
        <w:trPr>
          <w:trHeight w:val="263"/>
        </w:trPr>
        <w:tc>
          <w:tcPr>
            <w:tcW w:w="7020" w:type="dxa"/>
            <w:vAlign w:val="bottom"/>
          </w:tcPr>
          <w:p>
            <w:pPr>
              <w:ind w:left="180"/>
              <w:spacing w:after="0"/>
              <w:rPr>
                <w:sz w:val="20"/>
                <w:szCs w:val="20"/>
                <w:color w:val="auto"/>
              </w:rPr>
            </w:pPr>
            <w:r>
              <w:rPr>
                <w:rFonts w:ascii="Arial" w:cs="Arial" w:eastAsia="Arial" w:hAnsi="Arial"/>
                <w:sz w:val="18"/>
                <w:szCs w:val="18"/>
                <w:color w:val="auto"/>
              </w:rPr>
              <w:t>Less: Company’s portion available to be withdrawn for working capital purposes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(286,625)</w:t>
            </w:r>
          </w:p>
        </w:tc>
        <w:tc>
          <w:tcPr>
            <w:tcW w:w="0" w:type="dxa"/>
            <w:vAlign w:val="bottom"/>
          </w:tcPr>
          <w:p>
            <w:pPr>
              <w:spacing w:after="0"/>
              <w:rPr>
                <w:sz w:val="1"/>
                <w:szCs w:val="1"/>
                <w:color w:val="auto"/>
              </w:rPr>
            </w:pPr>
          </w:p>
        </w:tc>
      </w:tr>
      <w:tr>
        <w:trPr>
          <w:trHeight w:val="20"/>
        </w:trPr>
        <w:tc>
          <w:tcPr>
            <w:tcW w:w="7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allocable to Class A common stock subject to possible redemption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 Weighted average Class A common stock subject to possible redemption</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and diluted weighted average shares outstanding, Class A common stock subject to</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87"/>
              </w:rPr>
              <w:t>188,268,610</w:t>
            </w:r>
          </w:p>
        </w:tc>
        <w:tc>
          <w:tcPr>
            <w:tcW w:w="0" w:type="dxa"/>
            <w:vAlign w:val="bottom"/>
          </w:tcPr>
          <w:p>
            <w:pPr>
              <w:spacing w:after="0"/>
              <w:rPr>
                <w:sz w:val="1"/>
                <w:szCs w:val="1"/>
                <w:color w:val="auto"/>
              </w:rPr>
            </w:pPr>
          </w:p>
        </w:tc>
      </w:tr>
      <w:tr>
        <w:trPr>
          <w:trHeight w:val="257"/>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possible redemption</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and diluted net income per share, Class A common stock subject to possible</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020" w:type="dxa"/>
            <w:vAlign w:val="bottom"/>
            <w:vMerge w:val="continue"/>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7"/>
        </w:trPr>
        <w:tc>
          <w:tcPr>
            <w:tcW w:w="702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20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Non-Redeemable Common Stock</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Arial" w:cs="Arial" w:eastAsia="Arial" w:hAnsi="Arial"/>
                <w:sz w:val="18"/>
                <w:szCs w:val="18"/>
                <w:color w:val="auto"/>
              </w:rPr>
              <w:t>Numerator: Net loss minus net earnings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(63,467,875)</w:t>
            </w:r>
          </w:p>
        </w:tc>
        <w:tc>
          <w:tcPr>
            <w:tcW w:w="0" w:type="dxa"/>
            <w:vAlign w:val="bottom"/>
          </w:tcPr>
          <w:p>
            <w:pPr>
              <w:spacing w:after="0"/>
              <w:rPr>
                <w:sz w:val="1"/>
                <w:szCs w:val="1"/>
                <w:color w:val="auto"/>
              </w:rPr>
            </w:pPr>
          </w:p>
        </w:tc>
      </w:tr>
      <w:tr>
        <w:trPr>
          <w:trHeight w:val="277"/>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Net income allocable to Class A common stock subject to possible redemption</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Non-redeemable net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(63,467,875)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 Weighted average non-redeemable Class B common stock</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and diluted weighted average shares outstanding, Non-redeemable Class B common</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62,139,949</w:t>
            </w:r>
          </w:p>
        </w:tc>
        <w:tc>
          <w:tcPr>
            <w:tcW w:w="80" w:type="dxa"/>
            <w:vAlign w:val="bottom"/>
            <w:vMerge w:val="restart"/>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18"/>
                <w:szCs w:val="18"/>
                <w:color w:val="auto"/>
              </w:rPr>
              <w:t>Basic and diluted net loss per share, Non-redeemable Class B common stock</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-916940</wp:posOffset>
            </wp:positionV>
            <wp:extent cx="521208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-2605405</wp:posOffset>
            </wp:positionV>
            <wp:extent cx="521208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-3599815</wp:posOffset>
            </wp:positionV>
            <wp:extent cx="4457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4457700" cy="8890"/>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limit of $250,000. The Company has not experienced losses on this account.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4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balance sheet, primarily due to their short-term nature.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Standards</w:t>
      </w:r>
    </w:p>
    <w:p>
      <w:pPr>
        <w:spacing w:after="0" w:line="162"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Management does not believe that any recently issued, but not yet effective, accounting standards, if currently adopted, would have a material effect on the Company’s financial statements.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INITIAL PUBLIC OFFERING</w:t>
      </w:r>
    </w:p>
    <w:p>
      <w:pPr>
        <w:spacing w:after="0" w:line="162" w:lineRule="exact"/>
        <w:rPr>
          <w:sz w:val="20"/>
          <w:szCs w:val="20"/>
          <w:color w:val="auto"/>
        </w:rPr>
      </w:pPr>
    </w:p>
    <w:p>
      <w:pPr>
        <w:ind w:left="1260" w:right="539" w:firstLine="360"/>
        <w:spacing w:after="0" w:line="270" w:lineRule="auto"/>
        <w:rPr>
          <w:sz w:val="20"/>
          <w:szCs w:val="20"/>
          <w:color w:val="auto"/>
        </w:rPr>
      </w:pPr>
      <w:r>
        <w:rPr>
          <w:rFonts w:ascii="Arial" w:cs="Arial" w:eastAsia="Arial" w:hAnsi="Arial"/>
          <w:sz w:val="17"/>
          <w:szCs w:val="17"/>
          <w:color w:val="auto"/>
        </w:rPr>
        <w:t>Pursuant to the Initial Public Offering, the Company sold 207,000,000 Units, which includes the full exercise by the underwriters of their option to purchase an additional 27,000,000 Units, at $10.00 per Unit. Each Unit consists of one share of Class A common stock and one-fifth of one redeemable warrant</w:t>
      </w:r>
    </w:p>
    <w:p>
      <w:pPr>
        <w:sectPr>
          <w:pgSz w:w="11900" w:h="16838" w:orient="portrait"/>
          <w:cols w:equalWidth="0" w:num="1">
            <w:col w:w="9879"/>
          </w:cols>
          <w:pgMar w:left="580" w:top="132" w:right="1440" w:bottom="1440" w:gutter="0" w:footer="0" w:header="0"/>
        </w:sectPr>
      </w:pPr>
    </w:p>
    <w:p>
      <w:pPr>
        <w:spacing w:after="0" w:line="33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64" w:name="page265"/>
    <w:bookmarkEnd w:id="264"/>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color w:val="auto"/>
        </w:rPr>
        <w:t>(“Public Warrant”). Each whole Public Warrant entitles the holder to purchase one share of Class A common stock at a price of $11.50 per share, subject to adjustment (see Note 8). The Units sold in the Initial Public Offering comprise an aggregate of 207,000,000 shares of Class A common stock and 41,400,000 Public Warrants.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PRIVATE PLACEMENT</w:t>
      </w:r>
    </w:p>
    <w:p>
      <w:pPr>
        <w:spacing w:after="0" w:line="148"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Simultaneously with the closing of the Initial Public Offering, the Sponsor purchased an aggregate of 42,850,000 Private Placement Warrants at a price of $1.00 per Private Placement Warrant, for an aggregate purchase price of $42,850,000. Each Private Placement Warrant is exercisable to purchase one share of Class A common stock at a price of $11.50 per share. The proceeds from the Private Placement Warrants were added to the proceeds from the Initial Public Offering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RELATED PARTY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On May 22, 2020, the Sponsor purchased 21,562,500 shares of the Company’s Class B common stock for an aggregate price of $25,000 (the “Founder Shares”). On July 14, 2020, the Company effected a stock dividend of one-third of a share of Class B common stock for each outstanding share of Class B common stock, on July 27, 2020, the Company effected a stock dividend of 0.50 to 1 share of Class B common stock for each outstanding share of Class B common stock and on July 30, 2020, the Company effected a stock dividend of 0.20 to 1 share of Class B common stock for each outstanding share of Class B common stock, resulting in 51,750,000 shares of Class B common stock being issued and outstanding. All share and per-share amounts have been retroactively restated to reflect the stock dividends. The Founder Shares included an aggregate of up to 6,750,000 shares subject to forfeiture to the extent that the underwriters’ over-allotment option was not exercised in full or in part, so that the Sponsor would own, on an as-converted basis, 20% of the Company’s issued and outstanding shares after the Initial Public Offering. As a result of the underwriters’ election to fully exercise their over-allotment option, 6,750,000 Founder Shares are no longer subject to forfeiture.</w:t>
      </w:r>
    </w:p>
    <w:p>
      <w:pPr>
        <w:spacing w:after="0" w:line="124"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to occur of: (A) one year after the completion of a Business Combination or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$ 12.00 per share (as adjusted for stock splits, stock dividends, reorganizations, recapitalizations and the like) for any 20 trading days within any 30- trading day period commencing at least 150 days after a Business Combination, the Founder Shares will be released from the lock-up.</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Administrative Support Agreement</w:t>
      </w:r>
    </w:p>
    <w:p>
      <w:pPr>
        <w:spacing w:after="0" w:line="14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The Company entered into an agreement whereby, commencing on July 30, 2020 through the earlier of the Company’s consummation of a Business Combination and its liquidation, the Company will pay an affiliate of the Sponsor a total of $50,000 per month for office space, administrative and support services. For the period from April 30, 2020 (inception) through December 31, 2020, the Company incurred and paid $250,000 in fees for these services.</w:t>
      </w:r>
    </w:p>
    <w:p>
      <w:pPr>
        <w:spacing w:after="0" w:line="37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5" w:name="page266"/>
    <w:bookmarkEnd w:id="265"/>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Advisory Fee</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Promissory Note — Related Party</w:t>
      </w:r>
    </w:p>
    <w:p>
      <w:pPr>
        <w:spacing w:after="0" w:line="162"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7"/>
          <w:szCs w:val="17"/>
          <w:color w:val="auto"/>
        </w:rPr>
        <w:t>On May 13, 2020, the Sponsor agreed to loan the Company an aggregate of up to $600,000 to cover expenses related to the Initial Public Offering pursuant to a promissory note (the “Promissory Note”). The Promissory Note was non-interest bearing and payable on the earlier of December 31, 2021 or the completion of the Initial Public Offering. The borrowings outstanding under the note in the amount of $550,000 were repaid upon the consummation of the Initial Public Offering on August 3, 2020.</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Loans</w:t>
      </w:r>
    </w:p>
    <w:p>
      <w:pPr>
        <w:spacing w:after="0" w:line="162"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7"/>
          <w:szCs w:val="17"/>
          <w:color w:val="auto"/>
        </w:rPr>
        <w:t>In order to finance transaction costs in connection with a Business Combination, the Sponsor, an affiliate of the Sponsor, or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$ 1,500,000 of such Working Capital Loans may be convertible into warrants at a price of $1.00 per warrant. The warrants would be identical to the Private Placement Warrants.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Pursuant to a registration rights agreement entered into on July 29, 2020, 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Underwriting Agreement</w:t>
      </w:r>
    </w:p>
    <w:p>
      <w:pPr>
        <w:spacing w:after="0" w:line="162"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The underwriters are entitled to a deferred fee of $0.35 per Unit, or $72,450,000 in the aggregate. The deferred fee will be waived by the underwriters in the event that the Company does not complete a Business Combination, subject to the terms of the underwriting agreement. The underwriters waived the upfront underwriting discount on 19,982,000 Units, resulting in a reduction of the upfront underwriting discount of</w:t>
      </w: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6" w:name="page267"/>
    <w:bookmarkEnd w:id="266"/>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779"/>
        <w:spacing w:after="0" w:line="277" w:lineRule="auto"/>
        <w:rPr>
          <w:sz w:val="20"/>
          <w:szCs w:val="20"/>
          <w:color w:val="auto"/>
        </w:rPr>
      </w:pPr>
      <w:r>
        <w:rPr>
          <w:rFonts w:ascii="Arial" w:cs="Arial" w:eastAsia="Arial" w:hAnsi="Arial"/>
          <w:sz w:val="18"/>
          <w:szCs w:val="18"/>
          <w:color w:val="auto"/>
        </w:rPr>
        <w:t>$3,996,400. In addition, the underwriters reimbursed the Company an aggregate of $1,000,000 for costs incurred in connection with the Initial Public Offering.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Fees</w:t>
      </w:r>
    </w:p>
    <w:p>
      <w:pPr>
        <w:spacing w:after="0" w:line="148"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As of December 31, 2020, the Company incurred legal fees of $2,152,960. These fees will only become due and payable upon the consummation of an initial Business Combination (see Note 12).</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STOCKHOLDERS’ EQUITY</w:t>
      </w:r>
    </w:p>
    <w:p>
      <w:pPr>
        <w:spacing w:after="0" w:line="162"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Preferred Stock — The Company is authorized to issue 1,000,000 shares of preferred stock with a par value of $0.0001 per share with such designations, voting and other rights and preferences as may be determined from time to time by the Company’s board of directors. At December 31, 2020, there were no shares of preferred stock issued or outstanding.</w:t>
      </w:r>
    </w:p>
    <w:p>
      <w:pPr>
        <w:spacing w:after="0" w:line="119" w:lineRule="exact"/>
        <w:rPr>
          <w:sz w:val="20"/>
          <w:szCs w:val="20"/>
          <w:color w:val="auto"/>
        </w:rPr>
      </w:pPr>
    </w:p>
    <w:p>
      <w:pPr>
        <w:ind w:left="1260" w:right="579" w:firstLine="360"/>
        <w:spacing w:after="0" w:line="296" w:lineRule="auto"/>
        <w:rPr>
          <w:sz w:val="20"/>
          <w:szCs w:val="20"/>
          <w:color w:val="auto"/>
        </w:rPr>
      </w:pPr>
      <w:r>
        <w:rPr>
          <w:rFonts w:ascii="Arial" w:cs="Arial" w:eastAsia="Arial" w:hAnsi="Arial"/>
          <w:sz w:val="16"/>
          <w:szCs w:val="16"/>
          <w:color w:val="auto"/>
        </w:rPr>
        <w:t>Class A Common Stock — On July 30, 2020, the Company amended its Amended and Restated Certificate of Incorporation such that the Company is authorized to issue 400,000,000 shares of Class A common stock with a par value of $0.0001 per share. Holders of Class A common stock are entitled to one vote for each share. At December 31, 2020, there were 21,656,223 shares of Class A common stock issued or outstanding, excluding 185,343,777 shares of Class A common stock subject to possible redemption</w:t>
      </w:r>
    </w:p>
    <w:p>
      <w:pPr>
        <w:spacing w:after="0" w:line="80"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Class B Common Stock — On July 30, 2020, the Company amended its Amended and Restated Certificate of Incorporation such that the Company is authorized to issue 100,000,000 shares of Class B common stock with a par value of $0.0001 per share. Holders of Class B common stock are entitled to one vote for each share. At December 31, 2020, there were 51,750,000 shares of Class B common stock issued and outstanding</w:t>
      </w:r>
    </w:p>
    <w:p>
      <w:pPr>
        <w:spacing w:after="0" w:line="120"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9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WARRANT LIABILITY</w:t>
      </w:r>
    </w:p>
    <w:p>
      <w:pPr>
        <w:spacing w:after="0" w:line="14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Public Warrants may only be exercised for a whole number of shares. No fractional warrants will be issued upon separation of the Units and only whole warrants will trade.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67" w:name="page268"/>
    <w:bookmarkEnd w:id="267"/>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110"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117" w:lineRule="exact"/>
        <w:rPr>
          <w:sz w:val="20"/>
          <w:szCs w:val="20"/>
          <w:color w:val="auto"/>
        </w:rPr>
      </w:pPr>
    </w:p>
    <w:p>
      <w:pPr>
        <w:ind w:left="1800" w:hanging="180"/>
        <w:spacing w:after="0"/>
        <w:tabs>
          <w:tab w:leader="none" w:pos="1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48"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warrant holders.</w:t>
      </w:r>
    </w:p>
    <w:p>
      <w:pPr>
        <w:spacing w:after="0" w:line="116" w:lineRule="exact"/>
        <w:rPr>
          <w:sz w:val="20"/>
          <w:szCs w:val="20"/>
          <w:color w:val="auto"/>
        </w:rPr>
      </w:pPr>
    </w:p>
    <w:p>
      <w:pPr>
        <w:ind w:left="1260" w:right="1079" w:firstLine="360"/>
        <w:spacing w:after="0" w:line="263"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16"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Window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01"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Placement Warrants will not be transferable, assignable or salable until 30 days after</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68" w:name="page269"/>
    <w:bookmarkEnd w:id="268"/>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479"/>
        <w:spacing w:after="0" w:line="275" w:lineRule="auto"/>
        <w:rPr>
          <w:sz w:val="20"/>
          <w:szCs w:val="20"/>
          <w:color w:val="auto"/>
        </w:rPr>
      </w:pPr>
      <w:r>
        <w:rPr>
          <w:rFonts w:ascii="Arial" w:cs="Arial" w:eastAsia="Arial" w:hAnsi="Arial"/>
          <w:sz w:val="17"/>
          <w:szCs w:val="17"/>
          <w:color w:val="auto"/>
        </w:rPr>
        <w:t>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INCOME TAX</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Company’s net deferred tax asset is as follows:</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86"/>
        </w:trPr>
        <w:tc>
          <w:tcPr>
            <w:tcW w:w="6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20" w:type="dxa"/>
            <w:vAlign w:val="bottom"/>
          </w:tcPr>
          <w:p>
            <w:pPr>
              <w:ind w:left="180"/>
              <w:spacing w:after="0"/>
              <w:rPr>
                <w:sz w:val="20"/>
                <w:szCs w:val="20"/>
                <w:color w:val="auto"/>
              </w:rPr>
            </w:pPr>
            <w:r>
              <w:rPr>
                <w:rFonts w:ascii="Arial" w:cs="Arial" w:eastAsia="Arial" w:hAnsi="Arial"/>
                <w:sz w:val="18"/>
                <w:szCs w:val="18"/>
                <w:color w:val="auto"/>
              </w:rPr>
              <w:t>Startup/organizational expenses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$ 596,809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57"/>
        </w:trPr>
        <w:tc>
          <w:tcPr>
            <w:tcW w:w="6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deferred tax asset</w:t>
            </w:r>
          </w:p>
        </w:tc>
        <w:tc>
          <w:tcPr>
            <w:tcW w:w="2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593,909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(593,909)</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Pr>
          <w:p>
            <w:pPr>
              <w:spacing w:after="0"/>
              <w:rPr>
                <w:sz w:val="20"/>
                <w:szCs w:val="20"/>
                <w:color w:val="auto"/>
              </w:rPr>
            </w:pPr>
            <w:r>
              <w:rPr>
                <w:rFonts w:ascii="Arial" w:cs="Arial" w:eastAsia="Arial" w:hAnsi="Arial"/>
                <w:sz w:val="18"/>
                <w:szCs w:val="18"/>
                <w:color w:val="auto"/>
              </w:rPr>
              <w:t>Deferred tax asset, net of allowance</w:t>
            </w:r>
          </w:p>
        </w:tc>
        <w:tc>
          <w:tcPr>
            <w:tcW w:w="2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6420" w:type="dxa"/>
            <w:vAlign w:val="bottom"/>
            <w:vMerge w:val="restart"/>
          </w:tcPr>
          <w:p>
            <w:pPr>
              <w:spacing w:after="0"/>
              <w:rPr>
                <w:sz w:val="20"/>
                <w:szCs w:val="20"/>
                <w:color w:val="auto"/>
              </w:rPr>
            </w:pPr>
            <w:r>
              <w:rPr>
                <w:rFonts w:ascii="Arial" w:cs="Arial" w:eastAsia="Arial" w:hAnsi="Arial"/>
                <w:sz w:val="18"/>
                <w:szCs w:val="18"/>
                <w:color w:val="auto"/>
              </w:rPr>
              <w:t>The income tax provision consists of the following:</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86"/>
        </w:trPr>
        <w:tc>
          <w:tcPr>
            <w:tcW w:w="6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20" w:type="dxa"/>
            <w:vAlign w:val="bottom"/>
          </w:tcPr>
          <w:p>
            <w:pPr>
              <w:ind w:left="180"/>
              <w:spacing w:after="0"/>
              <w:rPr>
                <w:sz w:val="20"/>
                <w:szCs w:val="20"/>
                <w:color w:val="auto"/>
              </w:rPr>
            </w:pPr>
            <w:r>
              <w:rPr>
                <w:rFonts w:ascii="Arial" w:cs="Arial" w:eastAsia="Arial" w:hAnsi="Arial"/>
                <w:sz w:val="18"/>
                <w:szCs w:val="18"/>
                <w:color w:val="auto"/>
              </w:rPr>
              <w:t>Current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81,422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(593,909)</w:t>
            </w:r>
          </w:p>
        </w:tc>
        <w:tc>
          <w:tcPr>
            <w:tcW w:w="0" w:type="dxa"/>
            <w:vAlign w:val="bottom"/>
          </w:tcPr>
          <w:p>
            <w:pPr>
              <w:spacing w:after="0"/>
              <w:rPr>
                <w:sz w:val="1"/>
                <w:szCs w:val="1"/>
                <w:color w:val="auto"/>
              </w:rPr>
            </w:pPr>
          </w:p>
        </w:tc>
      </w:tr>
      <w:tr>
        <w:trPr>
          <w:trHeight w:val="256"/>
        </w:trPr>
        <w:tc>
          <w:tcPr>
            <w:tcW w:w="6420" w:type="dxa"/>
            <w:vAlign w:val="bottom"/>
          </w:tcPr>
          <w:p>
            <w:pPr>
              <w:spacing w:after="0"/>
              <w:rPr>
                <w:sz w:val="20"/>
                <w:szCs w:val="20"/>
                <w:color w:val="auto"/>
              </w:rPr>
            </w:pPr>
            <w:r>
              <w:rPr>
                <w:rFonts w:ascii="Arial" w:cs="Arial" w:eastAsia="Arial" w:hAnsi="Arial"/>
                <w:sz w:val="18"/>
                <w:szCs w:val="18"/>
                <w:color w:val="auto"/>
              </w:rPr>
              <w:t>State and Local</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2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42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593,909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420" w:type="dxa"/>
            <w:vAlign w:val="bottom"/>
          </w:tcPr>
          <w:p>
            <w:pPr>
              <w:spacing w:after="0"/>
              <w:rPr>
                <w:sz w:val="20"/>
                <w:szCs w:val="20"/>
                <w:color w:val="auto"/>
              </w:rPr>
            </w:pPr>
            <w:r>
              <w:rPr>
                <w:rFonts w:ascii="Arial" w:cs="Arial" w:eastAsia="Arial" w:hAnsi="Arial"/>
                <w:sz w:val="18"/>
                <w:szCs w:val="18"/>
                <w:color w:val="auto"/>
              </w:rPr>
              <w:t>Income tax provision</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81,422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-2322195</wp:posOffset>
            </wp:positionV>
            <wp:extent cx="342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-2665095</wp:posOffset>
            </wp:positionV>
            <wp:extent cx="342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-3171190</wp:posOffset>
            </wp:positionV>
            <wp:extent cx="420878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4208780" cy="825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-213995</wp:posOffset>
            </wp:positionV>
            <wp:extent cx="3429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-1370965</wp:posOffset>
            </wp:positionV>
            <wp:extent cx="420878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22"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As of December 31, 2020, the Company did not have any U.S. federal and state net operating loss carryovers available to offset future taxable income.</w:t>
      </w:r>
    </w:p>
    <w:p>
      <w:pPr>
        <w:spacing w:after="0" w:line="89"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April 30, 2020 (inception) through December 31, 2020, the change in the valuation allowance was $593,909.</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69" w:name="page270"/>
    <w:bookmarkEnd w:id="269"/>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0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r>
      <w:tr>
        <w:trPr>
          <w:trHeight w:val="186"/>
        </w:trPr>
        <w:tc>
          <w:tcPr>
            <w:tcW w:w="642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r>
      <w:tr>
        <w:trPr>
          <w:trHeight w:val="26"/>
        </w:trPr>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0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57"/>
        </w:trPr>
        <w:tc>
          <w:tcPr>
            <w:tcW w:w="642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0.0%</w:t>
            </w:r>
          </w:p>
        </w:tc>
      </w:tr>
      <w:tr>
        <w:trPr>
          <w:trHeight w:val="25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Loss on warrant liability</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r>
      <w:tr>
        <w:trPr>
          <w:trHeight w:val="257"/>
        </w:trPr>
        <w:tc>
          <w:tcPr>
            <w:tcW w:w="6420" w:type="dxa"/>
            <w:vAlign w:val="bottom"/>
          </w:tcPr>
          <w:p>
            <w:pPr>
              <w:spacing w:after="0"/>
              <w:rPr>
                <w:sz w:val="20"/>
                <w:szCs w:val="20"/>
                <w:color w:val="auto"/>
              </w:rPr>
            </w:pPr>
            <w:r>
              <w:rPr>
                <w:rFonts w:ascii="Arial" w:cs="Arial" w:eastAsia="Arial" w:hAnsi="Arial"/>
                <w:sz w:val="18"/>
                <w:szCs w:val="18"/>
                <w:color w:val="auto"/>
              </w:rPr>
              <w:t>Transaction costs incurred in connection with IPO</w:t>
            </w: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(0.7)%</w:t>
            </w:r>
          </w:p>
        </w:tc>
      </w:tr>
      <w:tr>
        <w:trPr>
          <w:trHeight w:val="263"/>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40" w:type="dxa"/>
            <w:vAlign w:val="bottom"/>
            <w:gridSpan w:val="2"/>
            <w:shd w:val="clear" w:color="auto" w:fill="CCEEFF"/>
          </w:tcPr>
          <w:p>
            <w:pPr>
              <w:spacing w:after="0"/>
              <w:rPr>
                <w:sz w:val="22"/>
                <w:szCs w:val="2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r>
      <w:tr>
        <w:trPr>
          <w:trHeight w:val="20"/>
        </w:trPr>
        <w:tc>
          <w:tcPr>
            <w:tcW w:w="6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70"/>
        </w:trPr>
        <w:tc>
          <w:tcPr>
            <w:tcW w:w="6420" w:type="dxa"/>
            <w:vAlign w:val="bottom"/>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gridSpan w:val="2"/>
          </w:tcPr>
          <w:p>
            <w:pPr>
              <w:spacing w:after="0"/>
              <w:rPr>
                <w:sz w:val="23"/>
                <w:szCs w:val="2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
        </w:trPr>
        <w:tc>
          <w:tcPr>
            <w:tcW w:w="6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-1045210</wp:posOffset>
            </wp:positionV>
            <wp:extent cx="420878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195"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Company files income tax returns in the U.S. federal jurisdiction and is subject to examination by the various taxing authorities. The Company’s tax returns for the year ended December 31, 2020 remain open and subject to examination. The Company considers New York to be a significant state tax jurisdiction.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FAIR VALUE MEASUREMENTS</w:t>
      </w:r>
    </w:p>
    <w:p>
      <w:pPr>
        <w:spacing w:after="0" w:line="162"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16" w:lineRule="exact"/>
        <w:rPr>
          <w:sz w:val="20"/>
          <w:szCs w:val="20"/>
          <w:color w:val="auto"/>
        </w:rPr>
      </w:pPr>
    </w:p>
    <w:p>
      <w:pPr>
        <w:ind w:left="1260" w:right="619" w:firstLine="360"/>
        <w:spacing w:after="0" w:line="271"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11" w:lineRule="exact"/>
        <w:rPr>
          <w:sz w:val="20"/>
          <w:szCs w:val="20"/>
          <w:color w:val="auto"/>
        </w:rPr>
      </w:pPr>
    </w:p>
    <w:p>
      <w:pPr>
        <w:ind w:left="2360" w:right="819" w:hanging="737"/>
        <w:spacing w:after="0" w:line="286" w:lineRule="auto"/>
        <w:rPr>
          <w:sz w:val="20"/>
          <w:szCs w:val="20"/>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98" w:lineRule="exact"/>
        <w:rPr>
          <w:sz w:val="20"/>
          <w:szCs w:val="20"/>
          <w:color w:val="auto"/>
        </w:rPr>
      </w:pPr>
    </w:p>
    <w:p>
      <w:pPr>
        <w:ind w:left="2360" w:right="599" w:hanging="737"/>
        <w:spacing w:after="0" w:line="263"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16" w:lineRule="exact"/>
        <w:rPr>
          <w:sz w:val="20"/>
          <w:szCs w:val="20"/>
          <w:color w:val="auto"/>
        </w:rPr>
      </w:pPr>
    </w:p>
    <w:p>
      <w:pPr>
        <w:ind w:left="2360" w:right="779" w:hanging="737"/>
        <w:spacing w:after="0" w:line="277" w:lineRule="auto"/>
        <w:rPr>
          <w:sz w:val="20"/>
          <w:szCs w:val="20"/>
          <w:color w:val="auto"/>
        </w:rPr>
      </w:pPr>
      <w:r>
        <w:rPr>
          <w:rFonts w:ascii="Arial" w:cs="Arial" w:eastAsia="Arial" w:hAnsi="Arial"/>
          <w:sz w:val="18"/>
          <w:szCs w:val="18"/>
          <w:color w:val="auto"/>
        </w:rPr>
        <w:t>Level 3: Unobservable inputs based on our assessment of the assumptions that market participants would use in pricing the asset or liability.</w:t>
      </w:r>
    </w:p>
    <w:p>
      <w:pPr>
        <w:spacing w:after="0" w:line="103"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December 31, 2020, and indicates the fair value hierarchy of the valuation inputs the Company utilized to determine such fair value:</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Pr>
          <w:p>
            <w:pPr>
              <w:spacing w:after="0"/>
              <w:rPr>
                <w:sz w:val="16"/>
                <w:szCs w:val="16"/>
                <w:color w:val="auto"/>
              </w:rPr>
            </w:pPr>
          </w:p>
        </w:tc>
        <w:tc>
          <w:tcPr>
            <w:tcW w:w="104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r>
      <w:tr>
        <w:trPr>
          <w:trHeight w:val="25"/>
        </w:trPr>
        <w:tc>
          <w:tcPr>
            <w:tcW w:w="5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56"/>
        </w:trPr>
        <w:tc>
          <w:tcPr>
            <w:tcW w:w="57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2,070,086,006</w:t>
            </w:r>
          </w:p>
        </w:tc>
      </w:tr>
      <w:tr>
        <w:trPr>
          <w:trHeight w:val="25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6"/>
        </w:trPr>
        <w:tc>
          <w:tcPr>
            <w:tcW w:w="5780" w:type="dxa"/>
            <w:vAlign w:val="bottom"/>
            <w:gridSpan w:val="2"/>
          </w:tcPr>
          <w:p>
            <w:pPr>
              <w:spacing w:after="0"/>
              <w:rPr>
                <w:sz w:val="20"/>
                <w:szCs w:val="20"/>
                <w:color w:val="auto"/>
              </w:rPr>
            </w:pPr>
            <w:r>
              <w:rPr>
                <w:rFonts w:ascii="Arial" w:cs="Arial" w:eastAsia="Arial" w:hAnsi="Arial"/>
                <w:sz w:val="18"/>
                <w:szCs w:val="18"/>
                <w:color w:val="auto"/>
              </w:rPr>
              <w:t>Warrant Liability – Public Warrants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62,928,000</w:t>
            </w:r>
          </w:p>
        </w:tc>
      </w:tr>
      <w:tr>
        <w:trPr>
          <w:trHeight w:val="25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-822325</wp:posOffset>
            </wp:positionV>
            <wp:extent cx="13716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-822325</wp:posOffset>
            </wp:positionV>
            <wp:extent cx="13716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70" w:name="page271"/>
    <w:bookmarkEnd w:id="270"/>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The Warrants were accounted for as liabilities in accordance with ASC 815-40 and are measured at fair value at inception and on a recurring basis, with changes in fair value recorded in the statement of operations.</w:t>
      </w:r>
    </w:p>
    <w:p>
      <w:pPr>
        <w:spacing w:after="0" w:line="103"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At issuance, the Warrant Liability for Public Warrants and Private Placement Warrants were valued as of July 30, 2020 using a Monte Carlo simulation and a modified Black Scholes model, respectively, which are considered to be a Level 3 fair value measurements. Subsequent to the Public Warrants detachment from the Units, the Public Warrants are valued based on quoted market price, under ticker CCIV.WS, which is a Level 1 fair value.</w:t>
      </w:r>
    </w:p>
    <w:p>
      <w:pPr>
        <w:spacing w:after="0" w:line="120"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The Monte Carlo simulation’s primary unobservable input utilized in determining the fair value of the Warrants is the probability of consummation of the Business Combination. The probability assigned to the consummation of the Business Combination was 80% which was estimated based on the observed success rates of business combinations for special purpose acquisition companies. The expected volatility as of the Initial Public Offering date was derived from observable public warrant pricing on comparable ‘blank-check’ companies without an identified target.</w:t>
      </w:r>
    </w:p>
    <w:p>
      <w:pPr>
        <w:spacing w:after="0" w:line="125" w:lineRule="exact"/>
        <w:rPr>
          <w:sz w:val="20"/>
          <w:szCs w:val="20"/>
          <w:color w:val="auto"/>
        </w:rPr>
      </w:pPr>
    </w:p>
    <w:p>
      <w:pPr>
        <w:ind w:left="1260" w:right="1099" w:firstLine="360"/>
        <w:spacing w:after="0" w:line="263" w:lineRule="auto"/>
        <w:rPr>
          <w:sz w:val="20"/>
          <w:szCs w:val="20"/>
          <w:color w:val="auto"/>
        </w:rPr>
      </w:pPr>
      <w:r>
        <w:rPr>
          <w:rFonts w:ascii="Arial" w:cs="Arial" w:eastAsia="Arial" w:hAnsi="Arial"/>
          <w:sz w:val="18"/>
          <w:szCs w:val="18"/>
          <w:color w:val="auto"/>
        </w:rPr>
        <w:t>As of issuance and December 31, 2020, the estimated fair value of Warrant Liability — Private Placement Warrants were determined using a Black-Scholes valuation and based on the following significant inputs: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As of</w:t>
            </w:r>
          </w:p>
        </w:tc>
      </w:tr>
      <w:tr>
        <w:trPr>
          <w:trHeight w:val="186"/>
        </w:trPr>
        <w:tc>
          <w:tcPr>
            <w:tcW w:w="5460" w:type="dxa"/>
            <w:vAlign w:val="bottom"/>
          </w:tcPr>
          <w:p>
            <w:pPr>
              <w:spacing w:after="0"/>
              <w:rPr>
                <w:sz w:val="16"/>
                <w:szCs w:val="16"/>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3"/>
              </w:rPr>
              <w:t>At issuance</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December 31,2020</w:t>
            </w:r>
          </w:p>
        </w:tc>
      </w:tr>
      <w:tr>
        <w:trPr>
          <w:trHeight w:val="25"/>
        </w:trPr>
        <w:tc>
          <w:tcPr>
            <w:tcW w:w="5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4"/>
              </w:rPr>
              <w:t>11.50</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$11.50</w:t>
            </w:r>
          </w:p>
        </w:tc>
      </w:tr>
      <w:tr>
        <w:trPr>
          <w:trHeight w:val="256"/>
        </w:trPr>
        <w:tc>
          <w:tcPr>
            <w:tcW w:w="5460" w:type="dxa"/>
            <w:vAlign w:val="bottom"/>
          </w:tcPr>
          <w:p>
            <w:pPr>
              <w:spacing w:after="0"/>
              <w:rPr>
                <w:sz w:val="20"/>
                <w:szCs w:val="20"/>
                <w:color w:val="auto"/>
              </w:rPr>
            </w:pPr>
            <w:r>
              <w:rPr>
                <w:rFonts w:ascii="Arial" w:cs="Arial" w:eastAsia="Arial" w:hAnsi="Arial"/>
                <w:sz w:val="18"/>
                <w:szCs w:val="18"/>
                <w:color w:val="auto"/>
              </w:rPr>
              <w:t>Stock price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22"/>
                <w:szCs w:val="22"/>
                <w:color w:val="auto"/>
              </w:rPr>
            </w:pP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$10.01</w:t>
            </w:r>
          </w:p>
        </w:tc>
      </w:tr>
      <w:tr>
        <w:trPr>
          <w:trHeight w:val="257"/>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w:t>
            </w:r>
          </w:p>
        </w:tc>
      </w:tr>
      <w:tr>
        <w:trPr>
          <w:trHeight w:val="257"/>
        </w:trPr>
        <w:tc>
          <w:tcPr>
            <w:tcW w:w="5460" w:type="dxa"/>
            <w:vAlign w:val="bottom"/>
          </w:tcPr>
          <w:p>
            <w:pPr>
              <w:spacing w:after="0"/>
              <w:rPr>
                <w:sz w:val="20"/>
                <w:szCs w:val="20"/>
                <w:color w:val="auto"/>
              </w:rPr>
            </w:pPr>
            <w:r>
              <w:rPr>
                <w:rFonts w:ascii="Arial" w:cs="Arial" w:eastAsia="Arial" w:hAnsi="Arial"/>
                <w:sz w:val="18"/>
                <w:szCs w:val="18"/>
                <w:color w:val="auto"/>
              </w:rPr>
              <w:t>Probability of completing a Business Combination</w:t>
            </w:r>
          </w:p>
        </w:tc>
        <w:tc>
          <w:tcPr>
            <w:tcW w:w="18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80%</w:t>
            </w:r>
          </w:p>
        </w:tc>
      </w:tr>
      <w:tr>
        <w:trPr>
          <w:trHeight w:val="27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5.33</w:t>
            </w: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Risk-free rate</w:t>
            </w:r>
          </w:p>
        </w:tc>
        <w:tc>
          <w:tcPr>
            <w:tcW w:w="18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0.50%</w:t>
            </w:r>
          </w:p>
        </w:tc>
      </w:tr>
      <w:tr>
        <w:trPr>
          <w:trHeight w:val="27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-1173480</wp:posOffset>
            </wp:positionV>
            <wp:extent cx="403733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Private</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76"/>
              <w:spacing w:after="0"/>
              <w:rPr>
                <w:sz w:val="20"/>
                <w:szCs w:val="20"/>
                <w:color w:val="auto"/>
              </w:rPr>
            </w:pPr>
            <w:r>
              <w:rPr>
                <w:rFonts w:ascii="Arial" w:cs="Arial" w:eastAsia="Arial" w:hAnsi="Arial"/>
                <w:sz w:val="14"/>
                <w:szCs w:val="14"/>
                <w:b w:val="1"/>
                <w:bCs w:val="1"/>
                <w:color w:val="auto"/>
              </w:rPr>
              <w:t>Warrant</w:t>
            </w:r>
          </w:p>
        </w:tc>
      </w:tr>
      <w:tr>
        <w:trPr>
          <w:trHeight w:val="186"/>
        </w:trPr>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Placement</w:t>
            </w:r>
          </w:p>
        </w:tc>
        <w:tc>
          <w:tcPr>
            <w:tcW w:w="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Public</w:t>
            </w:r>
          </w:p>
        </w:tc>
        <w:tc>
          <w:tcPr>
            <w:tcW w:w="100" w:type="dxa"/>
            <w:vAlign w:val="bottom"/>
          </w:tcPr>
          <w:p>
            <w:pPr>
              <w:spacing w:after="0"/>
              <w:rPr>
                <w:sz w:val="16"/>
                <w:szCs w:val="16"/>
                <w:color w:val="auto"/>
              </w:rPr>
            </w:pPr>
          </w:p>
        </w:tc>
        <w:tc>
          <w:tcPr>
            <w:tcW w:w="900" w:type="dxa"/>
            <w:vAlign w:val="bottom"/>
          </w:tcPr>
          <w:p>
            <w:pPr>
              <w:jc w:val="right"/>
              <w:ind w:right="136"/>
              <w:spacing w:after="0"/>
              <w:rPr>
                <w:sz w:val="20"/>
                <w:szCs w:val="20"/>
                <w:color w:val="auto"/>
              </w:rPr>
            </w:pPr>
            <w:r>
              <w:rPr>
                <w:rFonts w:ascii="Arial" w:cs="Arial" w:eastAsia="Arial" w:hAnsi="Arial"/>
                <w:sz w:val="14"/>
                <w:szCs w:val="14"/>
                <w:b w:val="1"/>
                <w:bCs w:val="1"/>
                <w:color w:val="auto"/>
              </w:rPr>
              <w:t>Liabilities</w:t>
            </w:r>
          </w:p>
        </w:tc>
      </w:tr>
      <w:tr>
        <w:trPr>
          <w:trHeight w:val="25"/>
        </w:trPr>
        <w:tc>
          <w:tcPr>
            <w:tcW w:w="4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as of April 30, 2020 (inception)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220" w:type="dxa"/>
            <w:vAlign w:val="bottom"/>
            <w:gridSpan w:val="2"/>
          </w:tcPr>
          <w:p>
            <w:pPr>
              <w:spacing w:after="0"/>
              <w:rPr>
                <w:sz w:val="20"/>
                <w:szCs w:val="20"/>
                <w:color w:val="auto"/>
              </w:rPr>
            </w:pPr>
            <w:r>
              <w:rPr>
                <w:rFonts w:ascii="Arial" w:cs="Arial" w:eastAsia="Arial" w:hAnsi="Arial"/>
                <w:sz w:val="18"/>
                <w:szCs w:val="18"/>
                <w:color w:val="auto"/>
              </w:rPr>
              <w:t>Initial measurement on July 30, 2020</w:t>
            </w: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42,850,000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40,572,000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83,422,000</w:t>
            </w:r>
          </w:p>
        </w:tc>
      </w:tr>
      <w:tr>
        <w:trPr>
          <w:trHeight w:val="263"/>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36,422,500</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22,356,000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58,778,500</w:t>
            </w: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Fair value as of December 31, 2020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79,272,500</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62,928,000</w:t>
            </w:r>
          </w:p>
        </w:tc>
        <w:tc>
          <w:tcPr>
            <w:tcW w:w="22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142,200,500</w:t>
            </w:r>
          </w:p>
        </w:tc>
      </w:tr>
      <w:tr>
        <w:trPr>
          <w:trHeight w:val="21"/>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-719455</wp:posOffset>
            </wp:positionV>
            <wp:extent cx="13716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-719455</wp:posOffset>
            </wp:positionV>
            <wp:extent cx="338582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SUBSEQUENT EVENTS</w:t>
      </w:r>
    </w:p>
    <w:p>
      <w:pPr>
        <w:spacing w:after="0" w:line="148"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and in Note 2, the Company did not identify any subsequent events that would have required adjustment or disclosure in the financial statements.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Merger Agreement</w:t>
      </w:r>
    </w:p>
    <w:p>
      <w:pPr>
        <w:spacing w:after="0" w:line="162"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color w:val="auto"/>
        </w:rPr>
        <w:t>On February 22, 2021, the Company entered into an Agreement and Plan of Merger (the “Merger Agreement”) by and among the Company, Merger Sub and Atieva, relating to a proposed business combination transaction between the Company and Atieva.</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71" w:name="page272"/>
    <w:bookmarkEnd w:id="271"/>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jc w:val="both"/>
        <w:ind w:left="1260" w:right="539" w:firstLine="360"/>
        <w:spacing w:after="0" w:line="248" w:lineRule="auto"/>
        <w:rPr>
          <w:sz w:val="20"/>
          <w:szCs w:val="20"/>
          <w:color w:val="auto"/>
        </w:rPr>
      </w:pPr>
      <w:r>
        <w:rPr>
          <w:rFonts w:ascii="Arial" w:cs="Arial" w:eastAsia="Arial" w:hAnsi="Arial"/>
          <w:sz w:val="18"/>
          <w:szCs w:val="18"/>
          <w:color w:val="auto"/>
        </w:rPr>
        <w:t>Pursuant to the Merger Agreement, Merger Sub will merge with and into Atieva with Atieva being the surviving entity in the merger (the “Merger” and, together with the other transactions contemplated by the Merger Agreement, the “Transactions”).</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aggregate consideration to be paid to the shareholders of Atieva will be equal to</w:t>
      </w:r>
    </w:p>
    <w:p>
      <w:pPr>
        <w:spacing w:after="0" w:line="12" w:lineRule="exact"/>
        <w:rPr>
          <w:sz w:val="20"/>
          <w:szCs w:val="20"/>
          <w:color w:val="auto"/>
        </w:rPr>
      </w:pPr>
    </w:p>
    <w:p>
      <w:pPr>
        <w:ind w:left="1260" w:right="559"/>
        <w:spacing w:after="0" w:line="237" w:lineRule="auto"/>
        <w:tabs>
          <w:tab w:leader="none" w:pos="151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$11,750,000,000 plus (b) (i) all cash and cash equivalents of Atieva and its subsidiaries less (ii) all indebtedness for borrowed money of Atieva and its subsidiaries, in each case as of two business days prior to the closing date (the “Equity Value”) and will be paid entirely in shares of Class A common stock, par value $0.0001 per share, of the Company (the “Class A Common Stock”) in an amount equal to $10.00 per share (the “Merger Consideration”).</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the effective time of the Merger:</w:t>
      </w:r>
    </w:p>
    <w:p>
      <w:pPr>
        <w:spacing w:after="0" w:line="144" w:lineRule="exact"/>
        <w:rPr>
          <w:sz w:val="20"/>
          <w:szCs w:val="20"/>
          <w:color w:val="auto"/>
        </w:rPr>
      </w:pPr>
    </w:p>
    <w:p>
      <w:pPr>
        <w:ind w:left="1980" w:right="439" w:hanging="360"/>
        <w:spacing w:after="0" w:line="254" w:lineRule="auto"/>
        <w:tabs>
          <w:tab w:leader="none" w:pos="19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each share of capital stock of Atieva (the “Atieva Shares”) will be cancelled and automatically deemed for all purposes to represent the right to receive, in the aggregate, the Merger Consideration. All share incentive plan or similar equity-based compensation plans maintained for employees of Atieva will be assumed by the Company and all outstanding options to purchase Atieva Shares (each, a “Atieva Option”) and each restricted stock unit award (“RSU”) with respect to Atieva Shares (each, a “Atieva RSU”) will be assumed by the Company as described below. For purposes of the following paragraph, the “Exchange Ratio” means the Equity Value per share </w:t>
      </w:r>
      <w:r>
        <w:rPr>
          <w:rFonts w:ascii="Arial" w:cs="Arial" w:eastAsia="Arial" w:hAnsi="Arial"/>
          <w:sz w:val="18"/>
          <w:szCs w:val="18"/>
          <w:i w:val="1"/>
          <w:iCs w:val="1"/>
          <w:color w:val="auto"/>
        </w:rPr>
        <w:t xml:space="preserve">divided by </w:t>
      </w:r>
      <w:r>
        <w:rPr>
          <w:rFonts w:ascii="Arial" w:cs="Arial" w:eastAsia="Arial" w:hAnsi="Arial"/>
          <w:sz w:val="18"/>
          <w:szCs w:val="18"/>
          <w:color w:val="auto"/>
        </w:rPr>
        <w:t>$10.00.</w:t>
      </w:r>
    </w:p>
    <w:p>
      <w:pPr>
        <w:spacing w:after="0" w:line="124" w:lineRule="exact"/>
        <w:rPr>
          <w:rFonts w:ascii="Arial" w:cs="Arial" w:eastAsia="Arial" w:hAnsi="Arial"/>
          <w:sz w:val="18"/>
          <w:szCs w:val="18"/>
          <w:color w:val="auto"/>
        </w:rPr>
      </w:pPr>
    </w:p>
    <w:p>
      <w:pPr>
        <w:ind w:left="1980" w:right="499" w:hanging="360"/>
        <w:spacing w:after="0" w:line="253" w:lineRule="auto"/>
        <w:tabs>
          <w:tab w:leader="none" w:pos="19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Atieva Option will become an option to purchase shares of Class A Common Stock (each, an “Assumed Option”), on the same terms and conditions (including applicable vesting, exercise and expiration provisions) as applied to the Atieva Option immediately prior to the effective time of the Merger, except that (i) the number of shares of Class A Common Stock subject to such Assumed Option shall equal the product of (x) the number of Atieva Shares that were subject to the option immediately prior to the effective time of the Merger, multiplied by (y) the Exchange Ratio, rounded down to the nearest whole share, and (B) the per-share exercise price shall equal the quotient of (1) the exercise price per Atieva Share at which such option was exercisable immediately prior to the effective time of the Merger, divided by (2) the Exchange Ratio, rounded up to the nearest whole cent.</w:t>
      </w:r>
    </w:p>
    <w:p>
      <w:pPr>
        <w:spacing w:after="0" w:line="113" w:lineRule="exact"/>
        <w:rPr>
          <w:rFonts w:ascii="Arial" w:cs="Arial" w:eastAsia="Arial" w:hAnsi="Arial"/>
          <w:sz w:val="18"/>
          <w:szCs w:val="18"/>
          <w:color w:val="auto"/>
        </w:rPr>
      </w:pPr>
    </w:p>
    <w:p>
      <w:pPr>
        <w:ind w:left="1980" w:right="539" w:hanging="360"/>
        <w:spacing w:after="0" w:line="272" w:lineRule="auto"/>
        <w:tabs>
          <w:tab w:leader="none" w:pos="19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each Atieva RSU, will be assumed by the Company and become an RSU with respect to shares of Class A Common Stock (each, an “Assumed RSU”) on the same terms and conditions (including applicable vesting provisions) as applied to each Atieva RSU immediately prior to the effective time of the Merger, except that the number of shares of Class A Common Stock subject to such Assumed RSU Award will be equal the product of (x) the number of Atieva Shares that were subject to such RSU immediately prior to the effective time of the Merger, multiplied by (y) the Exchange Ratio, rounded down to the nearest whole share.</w:t>
      </w:r>
    </w:p>
    <w:p>
      <w:pPr>
        <w:spacing w:after="0" w:line="110" w:lineRule="exact"/>
        <w:rPr>
          <w:sz w:val="20"/>
          <w:szCs w:val="20"/>
          <w:color w:val="auto"/>
        </w:rPr>
      </w:pPr>
    </w:p>
    <w:p>
      <w:pPr>
        <w:ind w:left="1260" w:right="719" w:firstLine="360"/>
        <w:spacing w:after="0" w:line="324" w:lineRule="auto"/>
        <w:rPr>
          <w:sz w:val="20"/>
          <w:szCs w:val="20"/>
          <w:color w:val="auto"/>
        </w:rPr>
      </w:pPr>
      <w:r>
        <w:rPr>
          <w:rFonts w:ascii="Arial" w:cs="Arial" w:eastAsia="Arial" w:hAnsi="Arial"/>
          <w:sz w:val="16"/>
          <w:szCs w:val="16"/>
          <w:color w:val="auto"/>
        </w:rPr>
        <w:t>The Merger Agreement contains customary representations, warranties and covenants by the parties thereto and the closing is subject to certain conditions as further described in the Merger Agreement.</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Subscription Agreement</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7"/>
          <w:szCs w:val="17"/>
          <w:color w:val="auto"/>
        </w:rPr>
        <w:t>In connection with the execution of the Merger Agreement, the Company entered into certain common stock subscription agreements (the “Subscription Agreements”) with certain investment funds (the “PIPE Investors”) pursuant to which, the Company has agreed to issue and sell to the PIPE Investors $2.5 billion of Class A common stock (the “PIPE Shares”) in reliance on an exemption from registration under Section 4(a)(2) under the Securities Act at a purchase price of $15 per share (the “PIPE Investment”). Pursuant to the Subscription Agreements, the PIPE Investors have agreed to not transfer any PIPE Shares until the later of (i) the effectiveness of the registration statement to be filed following the closing of the Transactions to register the PIPE Shares and (ii) September 1, 2021. The closing of the PIPE Investment</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72" w:name="page273"/>
    <w:bookmarkEnd w:id="272"/>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419"/>
        <w:spacing w:after="0" w:line="262" w:lineRule="auto"/>
        <w:rPr>
          <w:sz w:val="20"/>
          <w:szCs w:val="20"/>
          <w:color w:val="auto"/>
        </w:rPr>
      </w:pPr>
      <w:r>
        <w:rPr>
          <w:rFonts w:ascii="Arial" w:cs="Arial" w:eastAsia="Arial" w:hAnsi="Arial"/>
          <w:sz w:val="17"/>
          <w:szCs w:val="17"/>
          <w:color w:val="auto"/>
        </w:rPr>
        <w:t>is conditioned on all conditions set forth in the Merger Agreement having been satisfied or waived and other customary closing conditions, and the Transactions will be consummated immediately following the closing of the PIPE Investment. The Subscription Agreements will terminate upon the earlier to occur of (i) the termination of the Merger Agreement and (ii) the mutual written agreement of the parties thereto.</w:t>
      </w:r>
    </w:p>
    <w:p>
      <w:pPr>
        <w:spacing w:after="0" w:line="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Subscription Agreements provide that the Company is required to file with the SEC, within</w:t>
      </w:r>
    </w:p>
    <w:p>
      <w:pPr>
        <w:spacing w:after="0" w:line="12" w:lineRule="exact"/>
        <w:rPr>
          <w:sz w:val="20"/>
          <w:szCs w:val="20"/>
          <w:color w:val="auto"/>
        </w:rPr>
      </w:pPr>
    </w:p>
    <w:p>
      <w:pPr>
        <w:ind w:left="1260" w:right="479"/>
        <w:spacing w:after="0" w:line="236" w:lineRule="auto"/>
        <w:rPr>
          <w:sz w:val="20"/>
          <w:szCs w:val="20"/>
          <w:color w:val="auto"/>
        </w:rPr>
      </w:pPr>
      <w:r>
        <w:rPr>
          <w:rFonts w:ascii="Arial" w:cs="Arial" w:eastAsia="Arial" w:hAnsi="Arial"/>
          <w:sz w:val="18"/>
          <w:szCs w:val="18"/>
          <w:color w:val="auto"/>
        </w:rPr>
        <w:t>30 days after the consummation of the Transactions, a shelf registration statement covering the resale of the PIPE Shares and to use its commercially reasonable efforts to have such registration statement declared effective as soon as practicable after the filing thereof but no later than the earlier of (i) the 90th day (or 150th day if the SEC notifies the Company that it will “review” such registration statement) following the closing of the PIPE Investment and (ii) the 10th business day after the date the Company is notified (orally or in writing, whichever is earlier) by the SEC that such registration statement will not be “reviewed” or will not be subject to further review.</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Consulting Agreements</w:t>
      </w:r>
    </w:p>
    <w:p>
      <w:pPr>
        <w:spacing w:after="0" w:line="162"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On February 20, 2021, the Company entered into a transactional support agreement with a service provider, pursuant to which the service provider agreed to render certain financial advisory and capital markets advisory services for a potential Business Combination. The Company agreed to pay the service provider a fee of (i) $6,000,000 is payable upon the consummation of a Business Combination (ii) $ 500,000 is payable upon consummation of the financing (iii) out-of-pocket expenses not to exceed $125,000 without prior approval.</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Promissory Note</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February 22, 2021, the Company entered into a convertible promissory note with the Sponsor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pursuant to which the Sponsor agreed to loan the Company up to an aggregate principal amount of</w:t>
      </w:r>
    </w:p>
    <w:p>
      <w:pPr>
        <w:ind w:left="1260"/>
        <w:spacing w:after="0"/>
        <w:rPr>
          <w:sz w:val="20"/>
          <w:szCs w:val="20"/>
          <w:color w:val="auto"/>
        </w:rPr>
      </w:pPr>
      <w:r>
        <w:rPr>
          <w:rFonts w:ascii="Arial" w:cs="Arial" w:eastAsia="Arial" w:hAnsi="Arial"/>
          <w:sz w:val="17"/>
          <w:szCs w:val="17"/>
          <w:color w:val="auto"/>
        </w:rPr>
        <w:t>$1,500,000 (the “Note”). The Note is non-interest bearing and payable on the earlier of (i) the date of which</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Company consummates a Business Combination or (ii) the date that the winding up of the Company. If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Company does not consummate a Business Combination, the Company may use a portion of any funds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held outside the Trust Account to repay the Promissory Note; however, no proceeds from the Trust Account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may be used for such repayment. Up to $1,500,000 of the Note may be converted into warrants at a price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$1.00 per warrant at the option of the Sponsor. The warrants would be identical to the Private Placement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Warrants. The Company borrowed an aggregate of $1,500,000 on February 22, 2021.</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On March 3, 2021, Richard Hofman, a purported stockholder of the Company, filed a complaint, individually and on behalf of other of the Company stockholders, in the Superior Court of the State of California against the Company, Lucid, and other unnamed defendants. The complaint alleged claims for fraud, negligent misrepresentation, and false advertising and unfair business practices in connection with allegedly false and misleading statements and omissions in the Company’s public filings, concerning the proposed merger between the Company and Lucid. The complaint sought injunctive relief, as well as compensatory and punitive damages. On March 8, 2021, plaintiff filed an ex parte application for a temporary restraining order and preliminary injunction, which the Company opposed and the court denied on March 10, 2021. Plaintiff filed an amended complaint on March 22, 2021, solely in a personal capacity and not on behalf of any other Company stockholders. The amended complaint alleges claims for fraud against defendants Lucid and Peter Rawlinson, and negligent misrepresentation against the Company, Lucid, and Mr. Rawlinson. The amended complaint seeks compensatory and punitive damages. Plaintiff filed an amended complaint on March 22, 2021, solely in a personal capacity and not on behalf of any other Churchill stockholders. The amended complaint alleges claims for fraud against defendants Lucid and Peter Rawlinson, and negligent misrepresentation against Churchill, Lucid, and Mr. Rawlinson. The amended complaint seeks compensatory and punitive damages.</w:t>
      </w:r>
    </w:p>
    <w:p>
      <w:pPr>
        <w:spacing w:after="0" w:line="37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3" w:name="page274"/>
    <w:bookmarkEnd w:id="273"/>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CHURCHILL CAPITAL CORP IV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DECEMBER 31, 2020</w:t>
      </w:r>
    </w:p>
    <w:p>
      <w:pPr>
        <w:spacing w:after="0" w:line="211"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On April 18, 2021, Randy Phillips, a purported stockholder of the Company, filed a complaint, individually and on behalf of other Company stockholders, in the United States District Court for the Northern District of Alabama against the Company, Atieva, Inc. (doing business as Lucid), Michael Klein, Jay Taragin, and Peter Rawlinson. The complaint alleges claims for violations of the federal securities laws under Section 10(b) and Section 20(a) of the Exchange Act in connection with allegedly false and misleading statements and omissions concerning Lucid’s business plans and prospects, as well as the proposed merger between the Company and Lucid. The complaint seeks compensatory and punitive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4" w:name="page275"/>
    <w:bookmarkEnd w:id="274"/>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1,000,159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3,592,857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675,344</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937,786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1,675,503</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4,530,643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4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2,070,290,785</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2,070,086,006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2,071,966,288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2,074,616,649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827,213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1,446,951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23,578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40" w:type="dxa"/>
            <w:vAlign w:val="bottom"/>
          </w:tcPr>
          <w:p>
            <w:pPr>
              <w:ind w:left="180"/>
              <w:spacing w:after="0"/>
              <w:rPr>
                <w:sz w:val="20"/>
                <w:szCs w:val="20"/>
                <w:color w:val="auto"/>
              </w:rPr>
            </w:pPr>
            <w:r>
              <w:rPr>
                <w:rFonts w:ascii="Arial" w:cs="Arial" w:eastAsia="Arial" w:hAnsi="Arial"/>
                <w:sz w:val="18"/>
                <w:szCs w:val="18"/>
                <w:color w:val="auto"/>
              </w:rPr>
              <w:t>Convertible promissory note – related party, net of discount</w:t>
            </w:r>
          </w:p>
        </w:tc>
        <w:tc>
          <w:tcPr>
            <w:tcW w:w="1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2,050,791</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1,528,373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1,599,645,794</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142,200,500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72,450,000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72,450,000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1,674,146,585</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216,178,873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Class A common stock subject to possible redemption, 207,000,000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w w:val="97"/>
              </w:rPr>
              <w:t>and 185,343,777 shares at redemption value as of June 30, 2021 and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80"/>
              <w:spacing w:after="0"/>
              <w:rPr>
                <w:sz w:val="20"/>
                <w:szCs w:val="20"/>
                <w:color w:val="auto"/>
              </w:rPr>
            </w:pPr>
            <w:r>
              <w:rPr>
                <w:rFonts w:ascii="Arial" w:cs="Arial" w:eastAsia="Arial" w:hAnsi="Arial"/>
                <w:sz w:val="18"/>
                <w:szCs w:val="18"/>
                <w:color w:val="auto"/>
              </w:rPr>
              <w:t>December 31, 2020, respectively</w:t>
            </w: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2,070,000,000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1,853,437,770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w w:val="99"/>
              </w:rPr>
              <w:t>Preferred stock, $0.0001 par value; 1,000,000 shares authorized; none</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180"/>
              <w:spacing w:after="0"/>
              <w:rPr>
                <w:sz w:val="20"/>
                <w:szCs w:val="20"/>
                <w:color w:val="auto"/>
              </w:rPr>
            </w:pPr>
            <w:r>
              <w:rPr>
                <w:rFonts w:ascii="Arial" w:cs="Arial" w:eastAsia="Arial" w:hAnsi="Arial"/>
                <w:sz w:val="18"/>
                <w:szCs w:val="18"/>
                <w:color w:val="auto"/>
              </w:rPr>
              <w:t>issued or outstanding</w:t>
            </w: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stock, $0.0001 par value; 400,000,000 shares</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authorized; 0 and 21,656,223 shares issued and outstanding</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(excluding 207,000,000 and 185,343,777 shares subject to possible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as of June 30, 2021 and December 31, 2020,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Class B common stock, $0.0001 par value; 100,000,000 shares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w w:val="98"/>
              </w:rPr>
              <w:t>authorized; 51,750,000 shares issued and outstanding as of June 30,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180"/>
              <w:spacing w:after="0"/>
              <w:rPr>
                <w:sz w:val="20"/>
                <w:szCs w:val="20"/>
                <w:color w:val="auto"/>
              </w:rPr>
            </w:pPr>
            <w:r>
              <w:rPr>
                <w:rFonts w:ascii="Arial" w:cs="Arial" w:eastAsia="Arial" w:hAnsi="Arial"/>
                <w:sz w:val="18"/>
                <w:szCs w:val="18"/>
                <w:color w:val="auto"/>
              </w:rPr>
              <w:t>2021 and December 31, 2020</w:t>
            </w: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68,460,540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4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(1,672,185,472)</w:t>
            </w:r>
          </w:p>
        </w:tc>
        <w:tc>
          <w:tcPr>
            <w:tcW w:w="1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(63,467,875)</w:t>
            </w:r>
          </w:p>
        </w:tc>
        <w:tc>
          <w:tcPr>
            <w:tcW w:w="0" w:type="dxa"/>
            <w:vAlign w:val="bottom"/>
          </w:tcPr>
          <w:p>
            <w:pPr>
              <w:spacing w:after="0"/>
              <w:rPr>
                <w:sz w:val="1"/>
                <w:szCs w:val="1"/>
                <w:color w:val="auto"/>
              </w:rPr>
            </w:pPr>
          </w:p>
        </w:tc>
      </w:tr>
      <w:tr>
        <w:trPr>
          <w:trHeight w:val="20"/>
        </w:trPr>
        <w:tc>
          <w:tcPr>
            <w:tcW w:w="5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(1,672,180,297)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2,071,966,288</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86"/>
              </w:rPr>
              <w:t>2,074,616,649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-393700</wp:posOffset>
            </wp:positionV>
            <wp:extent cx="449199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44919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-2348230</wp:posOffset>
            </wp:positionV>
            <wp:extent cx="44919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-2965450</wp:posOffset>
            </wp:positionV>
            <wp:extent cx="449199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44919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-3651250</wp:posOffset>
            </wp:positionV>
            <wp:extent cx="44919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-4662805</wp:posOffset>
            </wp:positionV>
            <wp:extent cx="44919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-5005705</wp:posOffset>
            </wp:positionV>
            <wp:extent cx="44919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left="1740" w:right="140"/>
        <w:spacing w:after="0" w:line="387"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 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155575</wp:posOffset>
            </wp:positionV>
            <wp:extent cx="6831965"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5" w:name="page276"/>
    <w:bookmarkEnd w:id="275"/>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For the Period from</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Six Months</w:t>
            </w:r>
          </w:p>
        </w:tc>
        <w:tc>
          <w:tcPr>
            <w:tcW w:w="12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April 30, 2020</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Ended</w:t>
            </w: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(Inception) through</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June 30, 2021</w:t>
            </w:r>
          </w:p>
        </w:tc>
        <w:tc>
          <w:tcPr>
            <w:tcW w:w="1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June 30, 2021</w:t>
            </w:r>
          </w:p>
        </w:tc>
        <w:tc>
          <w:tcPr>
            <w:tcW w:w="120" w:type="dxa"/>
            <w:vAlign w:val="bottom"/>
          </w:tcPr>
          <w:p>
            <w:pPr>
              <w:spacing w:after="0"/>
              <w:rPr>
                <w:sz w:val="16"/>
                <w:szCs w:val="16"/>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June 30, 2020</w:t>
            </w:r>
          </w:p>
        </w:tc>
        <w:tc>
          <w:tcPr>
            <w:tcW w:w="0" w:type="dxa"/>
            <w:vAlign w:val="bottom"/>
          </w:tcPr>
          <w:p>
            <w:pPr>
              <w:spacing w:after="0"/>
              <w:rPr>
                <w:sz w:val="1"/>
                <w:szCs w:val="1"/>
                <w:color w:val="auto"/>
              </w:rPr>
            </w:pPr>
          </w:p>
        </w:tc>
      </w:tr>
      <w:tr>
        <w:trPr>
          <w:trHeight w:val="26"/>
        </w:trPr>
        <w:tc>
          <w:tcPr>
            <w:tcW w:w="43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562,194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3,652,018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2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(562,194)</w:t>
            </w:r>
          </w:p>
        </w:tc>
        <w:tc>
          <w:tcPr>
            <w:tcW w:w="12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(3,652,018)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4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2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10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(587,379,256)</w:t>
            </w:r>
          </w:p>
        </w:tc>
        <w:tc>
          <w:tcPr>
            <w:tcW w:w="12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(1,399,753,658)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 excess fair value of conversion</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liability</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(56,191,636)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320" w:type="dxa"/>
            <w:vAlign w:val="bottom"/>
          </w:tcPr>
          <w:p>
            <w:pPr>
              <w:ind w:left="180"/>
              <w:spacing w:after="0"/>
              <w:rPr>
                <w:sz w:val="20"/>
                <w:szCs w:val="20"/>
                <w:color w:val="auto"/>
              </w:rPr>
            </w:pPr>
            <w:r>
              <w:rPr>
                <w:rFonts w:ascii="Arial" w:cs="Arial" w:eastAsia="Arial" w:hAnsi="Arial"/>
                <w:sz w:val="18"/>
                <w:szCs w:val="18"/>
                <w:color w:val="auto"/>
              </w:rPr>
              <w:t>Interest expense – amortization of debt discount</w:t>
            </w:r>
          </w:p>
        </w:tc>
        <w:tc>
          <w:tcPr>
            <w:tcW w:w="10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Trust Account</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27,453</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204,779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ind w:left="180"/>
              <w:spacing w:after="0"/>
              <w:rPr>
                <w:sz w:val="20"/>
                <w:szCs w:val="20"/>
                <w:color w:val="auto"/>
              </w:rPr>
            </w:pPr>
            <w:r>
              <w:rPr>
                <w:rFonts w:ascii="Arial" w:cs="Arial" w:eastAsia="Arial" w:hAnsi="Arial"/>
                <w:sz w:val="18"/>
                <w:szCs w:val="18"/>
                <w:color w:val="auto"/>
              </w:rPr>
              <w:t>Unrealized loss on marketable securities held in</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Trust Account</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(3,956)</w:t>
            </w: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(588,255,759)</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(1,456,940,515)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(588,817,953)</w:t>
            </w:r>
          </w:p>
        </w:tc>
        <w:tc>
          <w:tcPr>
            <w:tcW w:w="12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(1,460,592,533)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7"/>
        </w:trPr>
        <w:tc>
          <w:tcPr>
            <w:tcW w:w="4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(1,962)</w:t>
            </w:r>
          </w:p>
        </w:tc>
        <w:tc>
          <w:tcPr>
            <w:tcW w:w="1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3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(588,819,915)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(1,460,618,073)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Basic and diluted weighted average shares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Class A common stock subject to</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207,000,000</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201,682,674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320" w:type="dxa"/>
            <w:vAlign w:val="bottom"/>
          </w:tcPr>
          <w:p>
            <w:pPr>
              <w:spacing w:after="0"/>
              <w:rPr>
                <w:sz w:val="20"/>
                <w:szCs w:val="20"/>
                <w:color w:val="auto"/>
              </w:rPr>
            </w:pPr>
            <w:r>
              <w:rPr>
                <w:rFonts w:ascii="Arial" w:cs="Arial" w:eastAsia="Arial" w:hAnsi="Arial"/>
                <w:sz w:val="18"/>
                <w:szCs w:val="18"/>
                <w:color w:val="auto"/>
              </w:rPr>
              <w:t>Basic and diluted net income per share, Class A</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0.00</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0.00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7"/>
        </w:trPr>
        <w:tc>
          <w:tcPr>
            <w:tcW w:w="4320" w:type="dxa"/>
            <w:vAlign w:val="bottom"/>
          </w:tcPr>
          <w:p>
            <w:pPr>
              <w:ind w:left="180"/>
              <w:spacing w:after="0"/>
              <w:rPr>
                <w:sz w:val="20"/>
                <w:szCs w:val="20"/>
                <w:color w:val="auto"/>
              </w:rPr>
            </w:pPr>
            <w:r>
              <w:rPr>
                <w:rFonts w:ascii="Arial" w:cs="Arial" w:eastAsia="Arial" w:hAnsi="Arial"/>
                <w:sz w:val="18"/>
                <w:szCs w:val="18"/>
                <w:color w:val="auto"/>
              </w:rPr>
              <w:t>common stock subject to redemption</w:t>
            </w:r>
          </w:p>
        </w:tc>
        <w:tc>
          <w:tcPr>
            <w:tcW w:w="10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3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Basic and diluted weighted average shares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Non-redeemable common stock</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51,750,000</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58,496,884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45,000,000</w:t>
            </w:r>
          </w:p>
        </w:tc>
        <w:tc>
          <w:tcPr>
            <w:tcW w:w="0" w:type="dxa"/>
            <w:vAlign w:val="bottom"/>
          </w:tcPr>
          <w:p>
            <w:pPr>
              <w:spacing w:after="0"/>
              <w:rPr>
                <w:sz w:val="1"/>
                <w:szCs w:val="1"/>
                <w:color w:val="auto"/>
              </w:rPr>
            </w:pPr>
          </w:p>
        </w:tc>
      </w:tr>
      <w:tr>
        <w:trPr>
          <w:trHeight w:val="242"/>
        </w:trPr>
        <w:tc>
          <w:tcPr>
            <w:tcW w:w="4320" w:type="dxa"/>
            <w:vAlign w:val="bottom"/>
          </w:tcPr>
          <w:p>
            <w:pPr>
              <w:spacing w:after="0"/>
              <w:rPr>
                <w:sz w:val="20"/>
                <w:szCs w:val="20"/>
                <w:color w:val="auto"/>
              </w:rPr>
            </w:pPr>
            <w:r>
              <w:rPr>
                <w:rFonts w:ascii="Arial" w:cs="Arial" w:eastAsia="Arial" w:hAnsi="Arial"/>
                <w:sz w:val="18"/>
                <w:szCs w:val="18"/>
                <w:color w:val="auto"/>
                <w:w w:val="99"/>
              </w:rPr>
              <w:t>Basic and diluted net loss per share, Non-redeemable</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(11.38)</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(24.97)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7"/>
        </w:trPr>
        <w:tc>
          <w:tcPr>
            <w:tcW w:w="43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0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5917565</wp:posOffset>
            </wp:positionH>
            <wp:positionV relativeFrom="paragraph">
              <wp:posOffset>-2125345</wp:posOffset>
            </wp:positionV>
            <wp:extent cx="9398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-2125345</wp:posOffset>
            </wp:positionV>
            <wp:extent cx="21463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-2125345</wp:posOffset>
            </wp:positionV>
            <wp:extent cx="3549015"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54901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-3874135</wp:posOffset>
            </wp:positionV>
            <wp:extent cx="12890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-3874135</wp:posOffset>
            </wp:positionV>
            <wp:extent cx="354012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1800" w:right="80"/>
        <w:spacing w:after="0" w:line="3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 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164465</wp:posOffset>
            </wp:positionV>
            <wp:extent cx="6831965"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6" w:name="page277"/>
    <w:bookmarkEnd w:id="276"/>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CONDENSED CONSOLIDATED STATEMENTS OF CHANGES IN STOCKHOLDERS’ EQUITY THREE</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AND SIX MONTHS ENDED JUNE 30, 2021</w:t>
      </w:r>
    </w:p>
    <w:p>
      <w:pPr>
        <w:spacing w:after="0" w:line="9"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Class A</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3"/>
          </w:tcPr>
          <w:p>
            <w:pPr>
              <w:jc w:val="right"/>
              <w:ind w:right="536"/>
              <w:spacing w:after="0"/>
              <w:rPr>
                <w:sz w:val="20"/>
                <w:szCs w:val="20"/>
                <w:color w:val="auto"/>
              </w:rPr>
            </w:pPr>
            <w:r>
              <w:rPr>
                <w:rFonts w:ascii="Arial" w:cs="Arial" w:eastAsia="Arial" w:hAnsi="Arial"/>
                <w:sz w:val="14"/>
                <w:szCs w:val="14"/>
                <w:b w:val="1"/>
                <w:bCs w:val="1"/>
                <w:color w:val="auto"/>
                <w:w w:val="81"/>
              </w:rPr>
              <w:t>Class B</w:t>
            </w:r>
          </w:p>
        </w:tc>
        <w:tc>
          <w:tcPr>
            <w:tcW w:w="160" w:type="dxa"/>
            <w:vAlign w:val="bottom"/>
          </w:tcPr>
          <w:p>
            <w:pPr>
              <w:spacing w:after="0"/>
              <w:rPr>
                <w:sz w:val="14"/>
                <w:szCs w:val="14"/>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5"/>
            <w:vMerge w:val="restart"/>
          </w:tcPr>
          <w:p>
            <w:pPr>
              <w:jc w:val="center"/>
              <w:ind w:right="4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1"/>
        </w:trPr>
        <w:tc>
          <w:tcPr>
            <w:tcW w:w="2280" w:type="dxa"/>
            <w:vAlign w:val="bottom"/>
          </w:tcPr>
          <w:p>
            <w:pPr>
              <w:spacing w:after="0"/>
              <w:rPr>
                <w:sz w:val="7"/>
                <w:szCs w:val="7"/>
                <w:color w:val="auto"/>
              </w:rPr>
            </w:pPr>
          </w:p>
        </w:tc>
        <w:tc>
          <w:tcPr>
            <w:tcW w:w="1640" w:type="dxa"/>
            <w:vAlign w:val="bottom"/>
            <w:gridSpan w:val="6"/>
            <w:vMerge w:val="restart"/>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7"/>
                <w:szCs w:val="7"/>
                <w:color w:val="auto"/>
              </w:rPr>
            </w:pPr>
          </w:p>
        </w:tc>
        <w:tc>
          <w:tcPr>
            <w:tcW w:w="1380" w:type="dxa"/>
            <w:vAlign w:val="bottom"/>
            <w:gridSpan w:val="4"/>
            <w:vMerge w:val="restart"/>
          </w:tcPr>
          <w:p>
            <w:pPr>
              <w:jc w:val="right"/>
              <w:ind w:right="296"/>
              <w:spacing w:after="0"/>
              <w:rPr>
                <w:sz w:val="20"/>
                <w:szCs w:val="20"/>
                <w:color w:val="auto"/>
              </w:rPr>
            </w:pPr>
            <w:r>
              <w:rPr>
                <w:rFonts w:ascii="Arial" w:cs="Arial" w:eastAsia="Arial" w:hAnsi="Arial"/>
                <w:sz w:val="14"/>
                <w:szCs w:val="14"/>
                <w:b w:val="1"/>
                <w:bCs w:val="1"/>
                <w:color w:val="auto"/>
                <w:w w:val="95"/>
              </w:rPr>
              <w:t>Common Stock</w:t>
            </w:r>
          </w:p>
        </w:tc>
        <w:tc>
          <w:tcPr>
            <w:tcW w:w="1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280" w:type="dxa"/>
            <w:vAlign w:val="bottom"/>
          </w:tcPr>
          <w:p>
            <w:pPr>
              <w:spacing w:after="0"/>
              <w:rPr>
                <w:sz w:val="9"/>
                <w:szCs w:val="9"/>
                <w:color w:val="auto"/>
              </w:rPr>
            </w:pPr>
          </w:p>
        </w:tc>
        <w:tc>
          <w:tcPr>
            <w:tcW w:w="164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vMerge w:val="restart"/>
          </w:tcPr>
          <w:p>
            <w:pPr>
              <w:jc w:val="center"/>
              <w:ind w:right="20"/>
              <w:spacing w:after="0" w:line="125"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6"/>
            <w:vMerge w:val="restart"/>
          </w:tcPr>
          <w:p>
            <w:pPr>
              <w:jc w:val="right"/>
              <w:ind w:right="360"/>
              <w:spacing w:after="0" w:line="12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6"/>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6"/>
        </w:trPr>
        <w:tc>
          <w:tcPr>
            <w:tcW w:w="2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6"/>
            <w:vMerge w:val="continue"/>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7"/>
                <w:szCs w:val="17"/>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tcPr>
          <w:p>
            <w:pPr>
              <w:jc w:val="right"/>
              <w:ind w:right="36"/>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7"/>
                <w:szCs w:val="17"/>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79"/>
              </w:rPr>
              <w:t>Deficit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2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2021</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21,656,223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2,166</w:t>
            </w:r>
          </w:p>
        </w:tc>
        <w:tc>
          <w:tcPr>
            <w:tcW w:w="92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51,750,000</w:t>
            </w:r>
          </w:p>
        </w:tc>
        <w:tc>
          <w:tcPr>
            <w:tcW w:w="6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87"/>
              </w:rPr>
              <w:t>$5,175</w:t>
            </w:r>
          </w:p>
        </w:tc>
        <w:tc>
          <w:tcPr>
            <w:tcW w:w="1100" w:type="dxa"/>
            <w:vAlign w:val="bottom"/>
            <w:tcBorders>
              <w:right w:val="single" w:sz="8" w:color="CCEEFF"/>
            </w:tcBorders>
            <w:gridSpan w:val="6"/>
            <w:shd w:val="clear" w:color="auto" w:fill="CCEEFF"/>
          </w:tcPr>
          <w:p>
            <w:pPr>
              <w:jc w:val="right"/>
              <w:ind w:right="120"/>
              <w:spacing w:after="0"/>
              <w:rPr>
                <w:sz w:val="20"/>
                <w:szCs w:val="20"/>
                <w:color w:val="auto"/>
              </w:rPr>
            </w:pPr>
            <w:r>
              <w:rPr>
                <w:rFonts w:ascii="Arial" w:cs="Arial" w:eastAsia="Arial" w:hAnsi="Arial"/>
                <w:sz w:val="18"/>
                <w:szCs w:val="18"/>
                <w:color w:val="auto"/>
                <w:w w:val="91"/>
              </w:rPr>
              <w:t>$ 68,460,540</w:t>
            </w:r>
          </w:p>
        </w:tc>
        <w:tc>
          <w:tcPr>
            <w:tcW w:w="32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0"/>
              </w:rPr>
              <w:t>(63,467,875)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Change in value of common</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stock subject to</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(21,656,223)</w:t>
            </w:r>
          </w:p>
        </w:tc>
        <w:tc>
          <w:tcPr>
            <w:tcW w:w="60" w:type="dxa"/>
            <w:vAlign w:val="bottom"/>
          </w:tcPr>
          <w:p>
            <w:pPr>
              <w:spacing w:after="0"/>
              <w:rPr>
                <w:sz w:val="20"/>
                <w:szCs w:val="20"/>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(2,166)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100" w:type="dxa"/>
            <w:vAlign w:val="bottom"/>
            <w:gridSpan w:val="6"/>
          </w:tcPr>
          <w:p>
            <w:pPr>
              <w:jc w:val="right"/>
              <w:ind w:right="60"/>
              <w:spacing w:after="0"/>
              <w:rPr>
                <w:sz w:val="20"/>
                <w:szCs w:val="20"/>
                <w:color w:val="auto"/>
              </w:rPr>
            </w:pPr>
            <w:r>
              <w:rPr>
                <w:rFonts w:ascii="Arial" w:cs="Arial" w:eastAsia="Arial" w:hAnsi="Arial"/>
                <w:sz w:val="18"/>
                <w:szCs w:val="18"/>
                <w:color w:val="auto"/>
                <w:w w:val="99"/>
              </w:rPr>
              <w:t>(68,460,540)</w:t>
            </w:r>
          </w:p>
        </w:tc>
        <w:tc>
          <w:tcPr>
            <w:tcW w:w="1320" w:type="dxa"/>
            <w:vAlign w:val="bottom"/>
            <w:gridSpan w:val="6"/>
          </w:tcPr>
          <w:p>
            <w:pPr>
              <w:jc w:val="right"/>
              <w:ind w:right="60"/>
              <w:spacing w:after="0"/>
              <w:rPr>
                <w:sz w:val="20"/>
                <w:szCs w:val="20"/>
                <w:color w:val="auto"/>
              </w:rPr>
            </w:pPr>
            <w:r>
              <w:rPr>
                <w:rFonts w:ascii="Arial" w:cs="Arial" w:eastAsia="Arial" w:hAnsi="Arial"/>
                <w:sz w:val="18"/>
                <w:szCs w:val="18"/>
                <w:color w:val="auto"/>
              </w:rPr>
              <w:t>(148,099,524)</w:t>
            </w:r>
          </w:p>
        </w:tc>
        <w:tc>
          <w:tcPr>
            <w:tcW w:w="100" w:type="dxa"/>
            <w:vAlign w:val="bottom"/>
          </w:tcPr>
          <w:p>
            <w:pPr>
              <w:spacing w:after="0"/>
              <w:rPr>
                <w:sz w:val="20"/>
                <w:szCs w:val="20"/>
                <w:color w:val="auto"/>
              </w:rPr>
            </w:pPr>
          </w:p>
        </w:tc>
        <w:tc>
          <w:tcPr>
            <w:tcW w:w="1160" w:type="dxa"/>
            <w:vAlign w:val="bottom"/>
            <w:gridSpan w:val="7"/>
          </w:tcPr>
          <w:p>
            <w:pPr>
              <w:jc w:val="right"/>
              <w:spacing w:after="0"/>
              <w:rPr>
                <w:sz w:val="20"/>
                <w:szCs w:val="20"/>
                <w:color w:val="auto"/>
              </w:rPr>
            </w:pPr>
            <w:r>
              <w:rPr>
                <w:rFonts w:ascii="Arial" w:cs="Arial" w:eastAsia="Arial" w:hAnsi="Arial"/>
                <w:sz w:val="18"/>
                <w:szCs w:val="18"/>
                <w:color w:val="auto"/>
              </w:rPr>
              <w:t>(216,562,230)</w:t>
            </w:r>
          </w:p>
        </w:tc>
        <w:tc>
          <w:tcPr>
            <w:tcW w:w="0" w:type="dxa"/>
            <w:vAlign w:val="bottom"/>
          </w:tcPr>
          <w:p>
            <w:pPr>
              <w:spacing w:after="0"/>
              <w:rPr>
                <w:sz w:val="1"/>
                <w:szCs w:val="1"/>
                <w:color w:val="auto"/>
              </w:rPr>
            </w:pPr>
          </w:p>
        </w:tc>
      </w:tr>
      <w:tr>
        <w:trPr>
          <w:trHeight w:val="263"/>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70"/>
              </w:rPr>
              <w:t>—</w:t>
            </w:r>
          </w:p>
        </w:tc>
        <w:tc>
          <w:tcPr>
            <w:tcW w:w="16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(871,798,158)</w:t>
            </w:r>
          </w:p>
        </w:tc>
        <w:tc>
          <w:tcPr>
            <w:tcW w:w="100" w:type="dxa"/>
            <w:vAlign w:val="bottom"/>
            <w:shd w:val="clear" w:color="auto" w:fill="CCEEFF"/>
          </w:tcPr>
          <w:p>
            <w:pPr>
              <w:spacing w:after="0"/>
              <w:rPr>
                <w:sz w:val="22"/>
                <w:szCs w:val="22"/>
                <w:color w:val="auto"/>
              </w:rPr>
            </w:pPr>
          </w:p>
        </w:tc>
        <w:tc>
          <w:tcPr>
            <w:tcW w:w="11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6"/>
              </w:rPr>
              <w:t>(871,798,158)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Balance – March 31, 2021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w w:val="70"/>
              </w:rPr>
              <w:t>—</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w w:val="88"/>
              </w:rPr>
              <w:t>51,750,000</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5,175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320" w:type="dxa"/>
            <w:vAlign w:val="bottom"/>
            <w:gridSpan w:val="6"/>
          </w:tcPr>
          <w:p>
            <w:pPr>
              <w:jc w:val="right"/>
              <w:ind w:right="60"/>
              <w:spacing w:after="0"/>
              <w:rPr>
                <w:sz w:val="20"/>
                <w:szCs w:val="20"/>
                <w:color w:val="auto"/>
              </w:rPr>
            </w:pPr>
            <w:r>
              <w:rPr>
                <w:rFonts w:ascii="Arial" w:cs="Arial" w:eastAsia="Arial" w:hAnsi="Arial"/>
                <w:sz w:val="18"/>
                <w:szCs w:val="18"/>
                <w:color w:val="auto"/>
                <w:w w:val="97"/>
              </w:rPr>
              <w:t>(1,083,365,557)</w:t>
            </w:r>
          </w:p>
        </w:tc>
        <w:tc>
          <w:tcPr>
            <w:tcW w:w="100" w:type="dxa"/>
            <w:vAlign w:val="bottom"/>
          </w:tcPr>
          <w:p>
            <w:pPr>
              <w:spacing w:after="0"/>
              <w:rPr>
                <w:sz w:val="19"/>
                <w:szCs w:val="19"/>
                <w:color w:val="auto"/>
              </w:rPr>
            </w:pPr>
          </w:p>
        </w:tc>
        <w:tc>
          <w:tcPr>
            <w:tcW w:w="1160" w:type="dxa"/>
            <w:vAlign w:val="bottom"/>
            <w:gridSpan w:val="7"/>
          </w:tcPr>
          <w:p>
            <w:pPr>
              <w:jc w:val="right"/>
              <w:spacing w:after="0"/>
              <w:rPr>
                <w:sz w:val="20"/>
                <w:szCs w:val="20"/>
                <w:color w:val="auto"/>
              </w:rPr>
            </w:pPr>
            <w:r>
              <w:rPr>
                <w:rFonts w:ascii="Arial" w:cs="Arial" w:eastAsia="Arial" w:hAnsi="Arial"/>
                <w:sz w:val="18"/>
                <w:szCs w:val="18"/>
                <w:color w:val="auto"/>
                <w:w w:val="89"/>
              </w:rPr>
              <w:t>(1,083,360,382)</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w:t>
            </w:r>
          </w:p>
        </w:tc>
        <w:tc>
          <w:tcPr>
            <w:tcW w:w="8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subject to</w:t>
            </w:r>
          </w:p>
        </w:tc>
        <w:tc>
          <w:tcPr>
            <w:tcW w:w="8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70"/>
              </w:rPr>
              <w:t>—</w:t>
            </w:r>
          </w:p>
        </w:tc>
        <w:tc>
          <w:tcPr>
            <w:tcW w:w="16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28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w w:val="70"/>
              </w:rPr>
              <w:t>—</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1320" w:type="dxa"/>
            <w:vAlign w:val="bottom"/>
            <w:gridSpan w:val="6"/>
          </w:tcPr>
          <w:p>
            <w:pPr>
              <w:jc w:val="right"/>
              <w:ind w:right="60"/>
              <w:spacing w:after="0"/>
              <w:rPr>
                <w:sz w:val="20"/>
                <w:szCs w:val="20"/>
                <w:color w:val="auto"/>
              </w:rPr>
            </w:pPr>
            <w:r>
              <w:rPr>
                <w:rFonts w:ascii="Arial" w:cs="Arial" w:eastAsia="Arial" w:hAnsi="Arial"/>
                <w:sz w:val="18"/>
                <w:szCs w:val="18"/>
                <w:color w:val="auto"/>
              </w:rPr>
              <w:t>(588,819,915)</w:t>
            </w:r>
          </w:p>
        </w:tc>
        <w:tc>
          <w:tcPr>
            <w:tcW w:w="100" w:type="dxa"/>
            <w:vAlign w:val="bottom"/>
          </w:tcPr>
          <w:p>
            <w:pPr>
              <w:spacing w:after="0"/>
              <w:rPr>
                <w:sz w:val="22"/>
                <w:szCs w:val="22"/>
                <w:color w:val="auto"/>
              </w:rPr>
            </w:pPr>
          </w:p>
        </w:tc>
        <w:tc>
          <w:tcPr>
            <w:tcW w:w="1160" w:type="dxa"/>
            <w:vAlign w:val="bottom"/>
            <w:gridSpan w:val="7"/>
          </w:tcPr>
          <w:p>
            <w:pPr>
              <w:jc w:val="right"/>
              <w:spacing w:after="0"/>
              <w:rPr>
                <w:sz w:val="20"/>
                <w:szCs w:val="20"/>
                <w:color w:val="auto"/>
              </w:rPr>
            </w:pPr>
            <w:r>
              <w:rPr>
                <w:rFonts w:ascii="Arial" w:cs="Arial" w:eastAsia="Arial" w:hAnsi="Arial"/>
                <w:sz w:val="18"/>
                <w:szCs w:val="18"/>
                <w:color w:val="auto"/>
              </w:rPr>
              <w:t>(588,819,915)</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2021</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20" w:type="dxa"/>
            <w:vAlign w:val="bottom"/>
            <w:tcBorders>
              <w:right w:val="single" w:sz="8" w:color="CCEEFF"/>
            </w:tcBorders>
            <w:shd w:val="clear" w:color="auto" w:fill="CCEEFF"/>
          </w:tcPr>
          <w:p>
            <w:pPr>
              <w:spacing w:after="0"/>
              <w:rPr>
                <w:sz w:val="24"/>
                <w:szCs w:val="24"/>
                <w:color w:val="auto"/>
              </w:rPr>
            </w:pPr>
          </w:p>
        </w:tc>
        <w:tc>
          <w:tcPr>
            <w:tcW w:w="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70"/>
              </w:rPr>
              <w:t>—</w:t>
            </w:r>
          </w:p>
        </w:tc>
        <w:tc>
          <w:tcPr>
            <w:tcW w:w="92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51,750,000</w:t>
            </w:r>
          </w:p>
        </w:tc>
        <w:tc>
          <w:tcPr>
            <w:tcW w:w="6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87"/>
              </w:rPr>
              <w:t>$5,175</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w w:val="90"/>
              </w:rPr>
              <w:t>$(1,672,185,472)</w:t>
            </w:r>
          </w:p>
        </w:tc>
        <w:tc>
          <w:tcPr>
            <w:tcW w:w="12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w w:val="86"/>
              </w:rPr>
              <w:t>$(1,672,180,297)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440" w:type="dxa"/>
            <w:vAlign w:val="bottom"/>
            <w:gridSpan w:val="29"/>
          </w:tcPr>
          <w:p>
            <w:pPr>
              <w:ind w:left="820"/>
              <w:spacing w:after="0"/>
              <w:rPr>
                <w:sz w:val="20"/>
                <w:szCs w:val="20"/>
                <w:color w:val="auto"/>
              </w:rPr>
            </w:pPr>
            <w:r>
              <w:rPr>
                <w:rFonts w:ascii="Arial" w:cs="Arial" w:eastAsia="Arial" w:hAnsi="Arial"/>
                <w:sz w:val="18"/>
                <w:szCs w:val="18"/>
                <w:b w:val="1"/>
                <w:bCs w:val="1"/>
                <w:color w:val="auto"/>
                <w:w w:val="96"/>
              </w:rPr>
              <w:t>FOR THE PERIOD FROM APRIL 30, 2020 (INCEPTION) THROUGH JUNE 30, 2020 (unaudited)</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4"/>
          </w:tcPr>
          <w:p>
            <w:pPr>
              <w:ind w:left="240"/>
              <w:spacing w:after="0"/>
              <w:rPr>
                <w:sz w:val="20"/>
                <w:szCs w:val="20"/>
                <w:color w:val="auto"/>
              </w:rPr>
            </w:pPr>
            <w:r>
              <w:rPr>
                <w:rFonts w:ascii="Arial" w:cs="Arial" w:eastAsia="Arial" w:hAnsi="Arial"/>
                <w:sz w:val="14"/>
                <w:szCs w:val="14"/>
                <w:b w:val="1"/>
                <w:bCs w:val="1"/>
                <w:color w:val="auto"/>
                <w:w w:val="89"/>
              </w:rPr>
              <w:t>Class A</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24"/>
                <w:szCs w:val="24"/>
                <w:color w:val="auto"/>
              </w:rPr>
            </w:pPr>
          </w:p>
        </w:tc>
        <w:tc>
          <w:tcPr>
            <w:tcW w:w="6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7"/>
            <w:vMerge w:val="restart"/>
          </w:tcPr>
          <w:p>
            <w:pPr>
              <w:jc w:val="right"/>
              <w:ind w:right="540"/>
              <w:spacing w:after="0"/>
              <w:rPr>
                <w:sz w:val="20"/>
                <w:szCs w:val="20"/>
                <w:color w:val="auto"/>
              </w:rPr>
            </w:pPr>
            <w:r>
              <w:rPr>
                <w:rFonts w:ascii="Arial" w:cs="Arial" w:eastAsia="Arial" w:hAnsi="Arial"/>
                <w:sz w:val="14"/>
                <w:szCs w:val="14"/>
                <w:b w:val="1"/>
                <w:bCs w:val="1"/>
                <w:color w:val="auto"/>
                <w:w w:val="89"/>
              </w:rPr>
              <w:t>Common Stock</w:t>
            </w:r>
          </w:p>
        </w:tc>
        <w:tc>
          <w:tcPr>
            <w:tcW w:w="14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7"/>
                <w:szCs w:val="7"/>
                <w:color w:val="auto"/>
              </w:rPr>
            </w:pPr>
          </w:p>
        </w:tc>
        <w:tc>
          <w:tcPr>
            <w:tcW w:w="66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80" w:type="dxa"/>
            <w:vAlign w:val="bottom"/>
            <w:gridSpan w:val="7"/>
            <w:vMerge w:val="continue"/>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3"/>
            <w:vMerge w:val="restart"/>
          </w:tcPr>
          <w:p>
            <w:pPr>
              <w:jc w:val="center"/>
              <w:spacing w:after="0" w:line="125"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4"/>
            <w:vMerge w:val="restart"/>
          </w:tcPr>
          <w:p>
            <w:pPr>
              <w:jc w:val="right"/>
              <w:spacing w:after="0" w:line="125" w:lineRule="exact"/>
              <w:rPr>
                <w:sz w:val="20"/>
                <w:szCs w:val="20"/>
                <w:color w:val="auto"/>
              </w:rPr>
            </w:pPr>
            <w:r>
              <w:rPr>
                <w:rFonts w:ascii="Arial" w:cs="Arial" w:eastAsia="Arial" w:hAnsi="Arial"/>
                <w:sz w:val="14"/>
                <w:szCs w:val="14"/>
                <w:b w:val="1"/>
                <w:bCs w:val="1"/>
                <w:color w:val="auto"/>
                <w:w w:val="88"/>
              </w:rPr>
              <w:t>Accumulated</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5"/>
            <w:vMerge w:val="restart"/>
          </w:tcPr>
          <w:p>
            <w:pPr>
              <w:jc w:val="center"/>
              <w:ind w:right="80"/>
              <w:spacing w:after="0" w:line="125"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w w:val="72"/>
              </w:rPr>
              <w:t>Shares</w:t>
            </w:r>
          </w:p>
        </w:tc>
        <w:tc>
          <w:tcPr>
            <w:tcW w:w="1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7"/>
                <w:szCs w:val="17"/>
                <w:color w:val="auto"/>
              </w:rPr>
            </w:pPr>
          </w:p>
        </w:tc>
        <w:tc>
          <w:tcPr>
            <w:tcW w:w="56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
        </w:trPr>
        <w:tc>
          <w:tcPr>
            <w:tcW w:w="22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 April 30, 2020 (Inception)</w:t>
            </w:r>
          </w:p>
        </w:tc>
        <w:tc>
          <w:tcPr>
            <w:tcW w:w="6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gridSpan w:val="3"/>
          </w:tcPr>
          <w:p>
            <w:pPr>
              <w:spacing w:after="0"/>
              <w:rPr>
                <w:sz w:val="20"/>
                <w:szCs w:val="20"/>
                <w:color w:val="auto"/>
              </w:rPr>
            </w:pPr>
            <w:r>
              <w:rPr>
                <w:rFonts w:ascii="Arial" w:cs="Arial" w:eastAsia="Arial" w:hAnsi="Arial"/>
                <w:sz w:val="18"/>
                <w:szCs w:val="18"/>
                <w:color w:val="auto"/>
              </w:rPr>
              <w:t>Issuance of Class B common stock to</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Sponsor</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51,750,000</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5,175</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19,825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gridSpan w:val="2"/>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gridSpan w:val="4"/>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Pr>
          <w:p>
            <w:pPr>
              <w:spacing w:after="0"/>
              <w:rPr>
                <w:sz w:val="20"/>
                <w:szCs w:val="20"/>
                <w:color w:val="auto"/>
              </w:rPr>
            </w:pPr>
            <w:r>
              <w:rPr>
                <w:rFonts w:ascii="Arial" w:cs="Arial" w:eastAsia="Arial" w:hAnsi="Arial"/>
                <w:sz w:val="18"/>
                <w:szCs w:val="18"/>
                <w:color w:val="auto"/>
              </w:rPr>
              <w:t>Balance – June 30, 2020</w:t>
            </w: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   51,750,000</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$5,175</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w w:val="96"/>
              </w:rPr>
              <w:t>$ 19,825</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$(1,000)</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24,000</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-1928495</wp:posOffset>
            </wp:positionV>
            <wp:extent cx="7747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-1928495</wp:posOffset>
            </wp:positionV>
            <wp:extent cx="7747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-1928495</wp:posOffset>
            </wp:positionV>
            <wp:extent cx="7747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-1928495</wp:posOffset>
            </wp:positionV>
            <wp:extent cx="6858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2951480</wp:posOffset>
            </wp:positionH>
            <wp:positionV relativeFrom="paragraph">
              <wp:posOffset>-1928495</wp:posOffset>
            </wp:positionV>
            <wp:extent cx="6032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-1928495</wp:posOffset>
            </wp:positionV>
            <wp:extent cx="60325"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-1928495</wp:posOffset>
            </wp:positionV>
            <wp:extent cx="1448435"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448435" cy="8890"/>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-3436620</wp:posOffset>
            </wp:positionV>
            <wp:extent cx="6032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2951480</wp:posOffset>
            </wp:positionH>
            <wp:positionV relativeFrom="paragraph">
              <wp:posOffset>-3436620</wp:posOffset>
            </wp:positionV>
            <wp:extent cx="5143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-3436620</wp:posOffset>
            </wp:positionV>
            <wp:extent cx="5143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-3436620</wp:posOffset>
            </wp:positionV>
            <wp:extent cx="144018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440180"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-3436620</wp:posOffset>
            </wp:positionV>
            <wp:extent cx="6858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-3436620</wp:posOffset>
            </wp:positionV>
            <wp:extent cx="6858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-3436620</wp:posOffset>
            </wp:positionV>
            <wp:extent cx="6858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-830580</wp:posOffset>
            </wp:positionV>
            <wp:extent cx="12001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-830580</wp:posOffset>
            </wp:positionV>
            <wp:extent cx="522033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1300" w:right="580"/>
        <w:spacing w:after="0" w:line="3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 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164465</wp:posOffset>
            </wp:positionV>
            <wp:extent cx="6831965" cy="425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132" w:right="1359" w:bottom="1440" w:gutter="0" w:footer="0" w:header="0"/>
        </w:sectPr>
      </w:pPr>
    </w:p>
    <w:bookmarkStart w:id="277" w:name="page278"/>
    <w:bookmarkEnd w:id="277"/>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(successor to Churchill Capital Corp IV)</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For the Period from</w:t>
            </w:r>
          </w:p>
        </w:tc>
      </w:tr>
      <w:tr>
        <w:trPr>
          <w:trHeight w:val="162"/>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Six Months</w:t>
            </w: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April 30, 2020</w:t>
            </w:r>
          </w:p>
        </w:tc>
      </w:tr>
      <w:tr>
        <w:trPr>
          <w:trHeight w:val="162"/>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Ended</w:t>
            </w: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(Inception) through</w:t>
            </w:r>
          </w:p>
        </w:tc>
      </w:tr>
      <w:tr>
        <w:trPr>
          <w:trHeight w:val="186"/>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June 30, 2021</w:t>
            </w: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June 30, 2020</w:t>
            </w:r>
          </w:p>
        </w:tc>
      </w:tr>
      <w:tr>
        <w:trPr>
          <w:trHeight w:val="26"/>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(1,460,618,073)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r>
      <w:tr>
        <w:trPr>
          <w:trHeight w:val="229"/>
        </w:trPr>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44"/>
        </w:trPr>
        <w:tc>
          <w:tcPr>
            <w:tcW w:w="5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56"/>
        </w:trPr>
        <w:tc>
          <w:tcPr>
            <w:tcW w:w="558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10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1,399,753,658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57"/>
        </w:trPr>
        <w:tc>
          <w:tcPr>
            <w:tcW w:w="5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 excess fair value of conversion liability</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56,191,636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10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1,200,000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57"/>
        </w:trPr>
        <w:tc>
          <w:tcPr>
            <w:tcW w:w="5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(204,779)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6"/>
        </w:trPr>
        <w:tc>
          <w:tcPr>
            <w:tcW w:w="55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262,442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(619,738)</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r>
      <w:tr>
        <w:trPr>
          <w:trHeight w:val="277"/>
        </w:trPr>
        <w:tc>
          <w:tcPr>
            <w:tcW w:w="55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(57,844)</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0"/>
        </w:trPr>
        <w:tc>
          <w:tcPr>
            <w:tcW w:w="5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77"/>
        </w:trPr>
        <w:tc>
          <w:tcPr>
            <w:tcW w:w="5580" w:type="dxa"/>
            <w:vAlign w:val="bottom"/>
          </w:tcPr>
          <w:p>
            <w:pPr>
              <w:ind w:left="5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(4,092,698)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8"/>
                <w:szCs w:val="18"/>
                <w:color w:val="auto"/>
              </w:rPr>
              <w:t>Proceeds from issuance of Class B common stock to Sponsor</w:t>
            </w:r>
          </w:p>
        </w:tc>
        <w:tc>
          <w:tcPr>
            <w:tcW w:w="1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25,000</w:t>
            </w:r>
          </w:p>
        </w:tc>
      </w:tr>
      <w:tr>
        <w:trPr>
          <w:trHeight w:val="270"/>
        </w:trPr>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1,500,000</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300,000</w:t>
            </w:r>
          </w:p>
        </w:tc>
      </w:tr>
      <w:tr>
        <w:trPr>
          <w:trHeight w:val="277"/>
        </w:trPr>
        <w:tc>
          <w:tcPr>
            <w:tcW w:w="5580" w:type="dxa"/>
            <w:vAlign w:val="bottom"/>
          </w:tcPr>
          <w:p>
            <w:pPr>
              <w:spacing w:after="0"/>
              <w:rPr>
                <w:sz w:val="20"/>
                <w:szCs w:val="20"/>
                <w:color w:val="auto"/>
              </w:rPr>
            </w:pPr>
            <w:r>
              <w:rPr>
                <w:rFonts w:ascii="Arial" w:cs="Arial" w:eastAsia="Arial" w:hAnsi="Arial"/>
                <w:sz w:val="18"/>
                <w:szCs w:val="18"/>
                <w:color w:val="auto"/>
              </w:rPr>
              <w:t>Payment of convertible promissory note – related party</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(152,900)</w:t>
            </w:r>
          </w:p>
        </w:tc>
      </w:tr>
      <w:tr>
        <w:trPr>
          <w:trHeight w:val="20"/>
        </w:trPr>
        <w:tc>
          <w:tcPr>
            <w:tcW w:w="5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77"/>
        </w:trPr>
        <w:tc>
          <w:tcPr>
            <w:tcW w:w="558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172,100</w:t>
            </w:r>
          </w:p>
        </w:tc>
      </w:tr>
      <w:tr>
        <w:trPr>
          <w:trHeight w:val="20"/>
        </w:trPr>
        <w:tc>
          <w:tcPr>
            <w:tcW w:w="5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8"/>
                <w:szCs w:val="18"/>
                <w:color w:val="auto"/>
              </w:rPr>
              <w:t>Net Change in Cash</w:t>
            </w:r>
          </w:p>
        </w:tc>
        <w:tc>
          <w:tcPr>
            <w:tcW w:w="10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(2,592,698)</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172,100</w:t>
            </w:r>
          </w:p>
        </w:tc>
      </w:tr>
      <w:tr>
        <w:trPr>
          <w:trHeight w:val="277"/>
        </w:trPr>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3,592,857</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0"/>
        </w:trPr>
        <w:tc>
          <w:tcPr>
            <w:tcW w:w="5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83"/>
        </w:trPr>
        <w:tc>
          <w:tcPr>
            <w:tcW w:w="5580" w:type="dxa"/>
            <w:vAlign w:val="bottom"/>
          </w:tcPr>
          <w:p>
            <w:pPr>
              <w:spacing w:after="0"/>
              <w:rPr>
                <w:sz w:val="20"/>
                <w:szCs w:val="20"/>
                <w:color w:val="auto"/>
              </w:rPr>
            </w:pPr>
            <w:r>
              <w:rPr>
                <w:rFonts w:ascii="Arial" w:cs="Arial" w:eastAsia="Arial" w:hAnsi="Arial"/>
                <w:sz w:val="18"/>
                <w:szCs w:val="18"/>
                <w:color w:val="auto"/>
              </w:rPr>
              <w:t>Cash – Ending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1,000,159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172,100</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r>
      <w:tr>
        <w:trPr>
          <w:trHeight w:val="224"/>
        </w:trPr>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8"/>
                <w:szCs w:val="18"/>
                <w:color w:val="auto"/>
              </w:rPr>
              <w:t>Offering costs included in accrued offering costs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58,000</w:t>
            </w:r>
          </w:p>
        </w:tc>
      </w:tr>
      <w:tr>
        <w:trPr>
          <w:trHeight w:val="242"/>
        </w:trPr>
        <w:tc>
          <w:tcPr>
            <w:tcW w:w="5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value of Class A common stock subject to possible</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44"/>
        </w:trPr>
        <w:tc>
          <w:tcPr>
            <w:tcW w:w="55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216,562,230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tcPr>
          <w:p>
            <w:pPr>
              <w:spacing w:after="0"/>
              <w:rPr>
                <w:sz w:val="20"/>
                <w:szCs w:val="20"/>
                <w:color w:val="auto"/>
              </w:rPr>
            </w:pPr>
            <w:r>
              <w:rPr>
                <w:rFonts w:ascii="Arial" w:cs="Arial" w:eastAsia="Arial" w:hAnsi="Arial"/>
                <w:sz w:val="18"/>
                <w:szCs w:val="18"/>
                <w:color w:val="auto"/>
              </w:rPr>
              <w:t>Initial classification of conversion option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57,691,636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5857875</wp:posOffset>
            </wp:positionH>
            <wp:positionV relativeFrom="paragraph">
              <wp:posOffset>-1567815</wp:posOffset>
            </wp:positionV>
            <wp:extent cx="154305"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-1567815</wp:posOffset>
            </wp:positionV>
            <wp:extent cx="458597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4585970" cy="889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-2270760</wp:posOffset>
            </wp:positionV>
            <wp:extent cx="15430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-2270760</wp:posOffset>
            </wp:positionV>
            <wp:extent cx="458597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45859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-4422775</wp:posOffset>
            </wp:positionV>
            <wp:extent cx="44405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800" w:right="80"/>
        <w:spacing w:after="0" w:line="3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 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164465</wp:posOffset>
            </wp:positionV>
            <wp:extent cx="6831965" cy="425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8" w:name="page279"/>
    <w:bookmarkEnd w:id="278"/>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LUCID GROUP, INC.</w:t>
      </w:r>
    </w:p>
    <w:p>
      <w:pPr>
        <w:spacing w:after="0" w:line="11"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(successor to Churchill Capital Corp IV)</w:t>
      </w:r>
    </w:p>
    <w:p>
      <w:pPr>
        <w:jc w:val="center"/>
        <w:ind w:right="-820"/>
        <w:spacing w:after="0" w:line="234" w:lineRule="auto"/>
        <w:rPr>
          <w:sz w:val="20"/>
          <w:szCs w:val="20"/>
          <w:color w:val="auto"/>
        </w:rPr>
      </w:pPr>
      <w:r>
        <w:rPr>
          <w:rFonts w:ascii="Arial" w:cs="Arial" w:eastAsia="Arial" w:hAnsi="Arial"/>
          <w:sz w:val="18"/>
          <w:szCs w:val="18"/>
          <w:b w:val="1"/>
          <w:bCs w:val="1"/>
          <w:color w:val="auto"/>
        </w:rPr>
        <w:t>NOTES TO CONDENSED CONSOLIDATED FINANCIAL STATEMENTS</w:t>
      </w:r>
    </w:p>
    <w:p>
      <w:pPr>
        <w:ind w:left="4800"/>
        <w:spacing w:after="0" w:line="235" w:lineRule="auto"/>
        <w:rPr>
          <w:sz w:val="20"/>
          <w:szCs w:val="20"/>
          <w:color w:val="auto"/>
        </w:rPr>
      </w:pPr>
      <w:r>
        <w:rPr>
          <w:rFonts w:ascii="Arial" w:cs="Arial" w:eastAsia="Arial" w:hAnsi="Arial"/>
          <w:sz w:val="18"/>
          <w:szCs w:val="18"/>
          <w:b w:val="1"/>
          <w:bCs w:val="1"/>
          <w:color w:val="auto"/>
        </w:rPr>
        <w:t>JUNE 30, 2021</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48" w:lineRule="exact"/>
        <w:rPr>
          <w:sz w:val="20"/>
          <w:szCs w:val="20"/>
          <w:color w:val="auto"/>
        </w:rPr>
      </w:pPr>
    </w:p>
    <w:p>
      <w:pPr>
        <w:ind w:left="1260" w:right="979" w:firstLine="360"/>
        <w:spacing w:after="0" w:line="243" w:lineRule="auto"/>
        <w:rPr>
          <w:sz w:val="20"/>
          <w:szCs w:val="20"/>
          <w:color w:val="auto"/>
        </w:rPr>
      </w:pPr>
      <w:r>
        <w:rPr>
          <w:rFonts w:ascii="Arial" w:cs="Arial" w:eastAsia="Arial" w:hAnsi="Arial"/>
          <w:sz w:val="18"/>
          <w:szCs w:val="18"/>
          <w:color w:val="auto"/>
        </w:rPr>
        <w:t>Churchill Capital Corp IV (formerly known as 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120"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The Company has one subsidiary, Air Merger Sub, Inc., a direct, wholly-owned subsidiary of the Company incorporated in Delaware on February 19, 2021 (“Merger Sub”) (see Note 6).</w:t>
      </w:r>
    </w:p>
    <w:p>
      <w:pPr>
        <w:spacing w:after="0" w:line="10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As of June 30, 2021, the Company had not commenced any operations. All activity for the period from April 30, 2020 (inception) through June 30, 2021 relates to the Company’s formation and the initial public offering (“Initial Public Offering”), identifying a target company for a Business Combination, and activities in connection with the proposed acquisition of Atieva, Inc., d/b/a Lucid Motors, an exempted company incorporated with limited liability under the laws of the Cayman Islands (“Lucid”) (see Note 6).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00" w:lineRule="exact"/>
        <w:rPr>
          <w:sz w:val="20"/>
          <w:szCs w:val="20"/>
          <w:color w:val="auto"/>
        </w:rPr>
      </w:pPr>
    </w:p>
    <w:p>
      <w:pPr>
        <w:ind w:left="1260" w:right="999" w:firstLine="360"/>
        <w:spacing w:after="0" w:line="258" w:lineRule="auto"/>
        <w:rPr>
          <w:sz w:val="20"/>
          <w:szCs w:val="20"/>
          <w:color w:val="auto"/>
        </w:rPr>
      </w:pPr>
      <w:r>
        <w:rPr>
          <w:rFonts w:ascii="Arial" w:cs="Arial" w:eastAsia="Arial" w:hAnsi="Arial"/>
          <w:sz w:val="17"/>
          <w:szCs w:val="17"/>
          <w:color w:val="auto"/>
        </w:rPr>
        <w:t>The registration statements for the Company’s Initial Public Offering were declared effective on July 29, 2020. On August 3, 2020, the Company consummated the Initial Public Offering of</w:t>
      </w:r>
    </w:p>
    <w:p>
      <w:pPr>
        <w:spacing w:after="0" w:line="1" w:lineRule="exact"/>
        <w:rPr>
          <w:sz w:val="20"/>
          <w:szCs w:val="20"/>
          <w:color w:val="auto"/>
        </w:rPr>
      </w:pPr>
    </w:p>
    <w:p>
      <w:pPr>
        <w:ind w:left="1260" w:right="559"/>
        <w:spacing w:after="0" w:line="238" w:lineRule="auto"/>
        <w:rPr>
          <w:sz w:val="20"/>
          <w:szCs w:val="20"/>
          <w:color w:val="auto"/>
        </w:rPr>
      </w:pPr>
      <w:r>
        <w:rPr>
          <w:rFonts w:ascii="Arial" w:cs="Arial" w:eastAsia="Arial" w:hAnsi="Arial"/>
          <w:sz w:val="18"/>
          <w:szCs w:val="18"/>
          <w:color w:val="auto"/>
        </w:rPr>
        <w:t>207,000,000 units (the “Units” and, with respect to the shares of Class A common stock included in the Units sold, the “Public Shares”), which includes the full exercise by the underwriters of the over- allotment option to purchase an additional 27,000,000 Units, at $10.00 per Unit, generating gross proceeds of $2,070,000,000, which is described in Note 3.</w:t>
      </w:r>
    </w:p>
    <w:p>
      <w:pPr>
        <w:spacing w:after="0" w:line="121"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42,850,000 warrants (the “Private Placement Warrants”) at a price of $1.00 per Private Placement Warrant in a private placement to Churchill Sponsor IV LLC, (the “Sponsor”), generating gross proceeds of $42,850,000 which is described in Note 4.</w:t>
      </w:r>
    </w:p>
    <w:p>
      <w:pPr>
        <w:spacing w:after="0" w:line="120" w:lineRule="exact"/>
        <w:rPr>
          <w:sz w:val="20"/>
          <w:szCs w:val="20"/>
          <w:color w:val="auto"/>
        </w:rPr>
      </w:pPr>
    </w:p>
    <w:p>
      <w:pPr>
        <w:ind w:left="1260" w:right="1199" w:firstLine="360"/>
        <w:spacing w:after="0" w:line="261" w:lineRule="auto"/>
        <w:rPr>
          <w:sz w:val="20"/>
          <w:szCs w:val="20"/>
          <w:color w:val="auto"/>
        </w:rPr>
      </w:pPr>
      <w:r>
        <w:rPr>
          <w:rFonts w:ascii="Arial" w:cs="Arial" w:eastAsia="Arial" w:hAnsi="Arial"/>
          <w:sz w:val="18"/>
          <w:szCs w:val="18"/>
          <w:color w:val="auto"/>
        </w:rPr>
        <w:t>Transaction costs amounted to $109,714,885, consisting of $ 36,403,600 of underwriting fees, $72,450,000 of deferred underwriting fees and $861,285 of other offering costs.</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Following the closing of the Initial Public Offering on August 3, 2020, an amount of $2,070,000,000</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($10.00 per Unit) from the net proceeds of the sale of the Units in the Initial Public Offering and the sale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Private Placement Warrants was placed in a trust account (the “Trust Account”) located in the United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States and invested only in U.S. government securities, within the meaning set forth in Section 2(a)(16) of</w:t>
      </w:r>
    </w:p>
    <w:p>
      <w:pPr>
        <w:spacing w:after="0" w:line="7" w:lineRule="exact"/>
        <w:rPr>
          <w:sz w:val="20"/>
          <w:szCs w:val="20"/>
          <w:color w:val="auto"/>
        </w:rPr>
      </w:pPr>
    </w:p>
    <w:p>
      <w:pPr>
        <w:ind w:left="1260" w:right="539"/>
        <w:spacing w:after="0" w:line="236" w:lineRule="auto"/>
        <w:rPr>
          <w:sz w:val="20"/>
          <w:szCs w:val="20"/>
          <w:color w:val="auto"/>
        </w:rPr>
      </w:pPr>
      <w:r>
        <w:rPr>
          <w:rFonts w:ascii="Arial" w:cs="Arial" w:eastAsia="Arial" w:hAnsi="Arial"/>
          <w:sz w:val="18"/>
          <w:szCs w:val="18"/>
          <w:color w:val="auto"/>
        </w:rPr>
        <w:t>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12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(excluding taxes payable on interest income earned from the Trust Account and the deferred underwriting commissions) at the time of</w:t>
      </w:r>
    </w:p>
    <w:p>
      <w:pPr>
        <w:spacing w:after="0" w:line="35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79" w:name="page280"/>
    <w:bookmarkEnd w:id="279"/>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62" w:lineRule="auto"/>
        <w:rPr>
          <w:sz w:val="20"/>
          <w:szCs w:val="20"/>
          <w:color w:val="auto"/>
        </w:rPr>
      </w:pPr>
      <w:r>
        <w:rPr>
          <w:rFonts w:ascii="Arial" w:cs="Arial" w:eastAsia="Arial" w:hAnsi="Arial"/>
          <w:sz w:val="17"/>
          <w:szCs w:val="17"/>
          <w:color w:val="auto"/>
        </w:rPr>
        <w:t>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91"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on deposit in the Trust Account (initially $10.00 per Public Share, plus any</w:t>
      </w:r>
    </w:p>
    <w:p>
      <w:pPr>
        <w:spacing w:after="0" w:line="2" w:lineRule="exact"/>
        <w:rPr>
          <w:sz w:val="20"/>
          <w:szCs w:val="20"/>
          <w:color w:val="auto"/>
        </w:rPr>
      </w:pPr>
    </w:p>
    <w:p>
      <w:pPr>
        <w:ind w:left="1260" w:right="519"/>
        <w:spacing w:after="0" w:line="254" w:lineRule="auto"/>
        <w:rPr>
          <w:sz w:val="20"/>
          <w:szCs w:val="20"/>
          <w:color w:val="auto"/>
        </w:rPr>
      </w:pPr>
      <w:r>
        <w:rPr>
          <w:rFonts w:ascii="Arial" w:cs="Arial" w:eastAsia="Arial" w:hAnsi="Arial"/>
          <w:sz w:val="17"/>
          <w:szCs w:val="17"/>
          <w:color w:val="auto"/>
        </w:rPr>
        <w:t>pro rata interest, net of amounts withdrawn for working capital requirements, subject to an annual limit of $1,000,000 and/or to pay its taxes (“permitted withdrawals”)). The per-share amount to be distributed to public stockholders who redeem their Public Shares will not be reduced by the deferred underwriting commissions the Company will pay to the underwriters (as discussed in Note 7) . There will be no redemption rights upon the completion of a Business Combination with respect to the Company’s warrants.</w:t>
      </w:r>
    </w:p>
    <w:p>
      <w:pPr>
        <w:spacing w:after="0" w:line="111"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 6) and any Public Shares acquired during or after the Initial Public Offering in favor of approving a Business Combination. Additionally, public stockholders may elect to redeem their Public Shares irrespective of whether they vote for or against the Business Combination.</w:t>
      </w:r>
    </w:p>
    <w:p>
      <w:pPr>
        <w:spacing w:after="0" w:line="11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10"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Sponsor has agreed (a) to waive its redemption rights with respect to its Founder Shares and the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w:t>
      </w:r>
    </w:p>
    <w:p>
      <w:pPr>
        <w:spacing w:after="0" w:line="2" w:lineRule="exact"/>
        <w:rPr>
          <w:sz w:val="20"/>
          <w:szCs w:val="20"/>
          <w:color w:val="auto"/>
        </w:rPr>
      </w:pPr>
    </w:p>
    <w:p>
      <w:pPr>
        <w:ind w:left="1260" w:right="439"/>
        <w:spacing w:after="0" w:line="256" w:lineRule="auto"/>
        <w:tabs>
          <w:tab w:leader="none" w:pos="151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10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If the Company is unable to complete a Business Combination by August 3, 2022 (or November 3, 2022 if the Company has an executed letter of intent, agreement in principle or definitive agreement for a Business Combination by August 3, 2022) (the “Combination Window”),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w:t>
      </w:r>
    </w:p>
    <w:p>
      <w:pPr>
        <w:spacing w:after="0" w:line="36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0" w:name="page281"/>
    <w:bookmarkEnd w:id="280"/>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38" w:lineRule="auto"/>
        <w:rPr>
          <w:sz w:val="20"/>
          <w:szCs w:val="20"/>
          <w:color w:val="auto"/>
        </w:rPr>
      </w:pPr>
      <w:r>
        <w:rPr>
          <w:rFonts w:ascii="Arial" w:cs="Arial" w:eastAsia="Arial" w:hAnsi="Arial"/>
          <w:sz w:val="18"/>
          <w:szCs w:val="18"/>
          <w:color w:val="auto"/>
        </w:rPr>
        <w:t>$100,000 to pay dissolution expenses), divided by the number of the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Public Warrants, which will expire worthless if the Company fails to complete a Business Combination within the Combination Window.</w:t>
      </w:r>
    </w:p>
    <w:p>
      <w:pPr>
        <w:spacing w:after="0" w:line="110"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Initial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7)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funds on deposit in the Trust Account remaining available for distribution will be less than the Initial Public Offering price per Unit of $10.00 in the Initial Public Offering.</w:t>
      </w:r>
    </w:p>
    <w:p>
      <w:pPr>
        <w:spacing w:after="0" w:line="11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on deposit in the Trust Account to below (i)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that executed a waiver of any and all rights to seek access to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w:t>
      </w:r>
    </w:p>
    <w:p>
      <w:pPr>
        <w:spacing w:after="0" w:line="113"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7"/>
          <w:szCs w:val="17"/>
          <w:color w:val="auto"/>
        </w:rPr>
        <w:t>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Liquidity</w:t>
      </w:r>
    </w:p>
    <w:p>
      <w:pPr>
        <w:spacing w:after="0" w:line="14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The Company has principally financed its operations from inception using proceeds from the sale of its equity securities to its shareholders prior to the Initial Public Offering and such amount of proceeds from the Initial Public Offering that were placed in an account outside of the Trust Account for working capital purposes. As of June 30, 2021, approximately $290,785 of the amount on deposit in the Trust Account represented interest income, which is available to pay the Company’s tax obligations and for permitted withdrawals. 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116"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The Company may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w:t>
      </w:r>
    </w:p>
    <w:p>
      <w:pPr>
        <w:sectPr>
          <w:pgSz w:w="11900" w:h="16838" w:orient="portrait"/>
          <w:cols w:equalWidth="0" w:num="1">
            <w:col w:w="9879"/>
          </w:cols>
          <w:pgMar w:left="580" w:top="132"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81" w:name="page282"/>
    <w:bookmarkEnd w:id="281"/>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necessarily be limited to, curtailing operations, suspending the pursuit of a potential transaction, and reducing overhead expenses. The Company cannot provide any assurance that new financing will be available to it on commercially acceptable terms, if at all. The Company believes it will have sufficient cash to meet its needs for a reasonable period of time, which is considered to be one year from the issuance date of the condensed consolidated financial statements.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 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accompanying unaudited condensed consolidated financial statements should be read in</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conjunction with the Company’s Annual Report on Form 10-K/A for the fiscal year ended December 31,</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2020, as filed with the SEC on May 14, 2021. The interim results for the three and six months ended</w:t>
      </w:r>
    </w:p>
    <w:p>
      <w:pPr>
        <w:ind w:left="1260"/>
        <w:spacing w:after="0"/>
        <w:rPr>
          <w:sz w:val="20"/>
          <w:szCs w:val="20"/>
          <w:color w:val="auto"/>
        </w:rPr>
      </w:pPr>
      <w:r>
        <w:rPr>
          <w:rFonts w:ascii="Arial" w:cs="Arial" w:eastAsia="Arial" w:hAnsi="Arial"/>
          <w:sz w:val="17"/>
          <w:szCs w:val="17"/>
          <w:color w:val="auto"/>
        </w:rPr>
        <w:t>June 30, 2021 are not necessarily indicative of the results to be expected for the year ending December 31,</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2021 or for any future periods.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subsidiary. All significant intercompany balances and transactions have been eliminated in consolidation.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44"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as amended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2" w:name="page283"/>
    <w:bookmarkEnd w:id="282"/>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The preparation of the condensed consolidated financial statements in conformity with GAAP requires the Company’s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w:t>
      </w:r>
    </w:p>
    <w:p>
      <w:pPr>
        <w:spacing w:after="0" w:line="105"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June 30, 2021 and December 31, 2020.</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144"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At June 30, 2021 and December 31, 2020, substantially all of the assets held in the Trust Account were held in U.S. Treasury Bills. From inception to June 30, 2021, the Company withdrew $450,000 of interest earned on the Trust Account for working capital purposes, of which no amounts were withdrawn during the three and six months ended June 30, 2021.</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Company accounts for conversion options embedded in convertible notes in accordance with ASC</w:t>
      </w:r>
    </w:p>
    <w:p>
      <w:pPr>
        <w:spacing w:after="0" w:line="23" w:lineRule="exact"/>
        <w:rPr>
          <w:sz w:val="20"/>
          <w:szCs w:val="20"/>
          <w:color w:val="auto"/>
        </w:rPr>
      </w:pPr>
    </w:p>
    <w:p>
      <w:pPr>
        <w:ind w:left="1260" w:right="539"/>
        <w:spacing w:after="0" w:line="271" w:lineRule="auto"/>
        <w:tabs>
          <w:tab w:leader="none" w:pos="163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ASC 815 generally requires companies to bifurcate conversion options embedded in convertible notes from their host instruments and to account for them as free standing derivative financial instruments.</w:t>
      </w:r>
    </w:p>
    <w:p>
      <w:pPr>
        <w:spacing w:after="0" w:line="96"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The Company reviews the terms of convertible debt issued to determine whether there are embedded derivative instruments, including embedded conversion options, which are required to be bifurcated and accounted for separately as derivative financial instruments. In circumstances where the host instrument contains more than one embedded derivative instrument, including the conversion option, that is required to be bifurcated, the bifurcated derivative instruments are accounted for as a single, compound derivative instrument.</w:t>
      </w:r>
    </w:p>
    <w:p>
      <w:pPr>
        <w:spacing w:after="0" w:line="108"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Bifurcated embedded derivatives are initially recorded at fair value and are then revalued at each reporting date with changes in the fair value reported as non- operating income or expense. When the equity or convertible debt instruments contain embedded derivative instruments that are to be bifurcated and accounted for as liabilities, the total proceeds received are first allocated to the fair value of all the bifurcated derivative instruments. The remaining proceeds, if any, are then allocated to the host instruments themselves, usually resulting in those instruments being recorded at a discount from their face value. The discount from the face value of the convertible debt, together with the stated interest on the instrument, is amortized over the life of the instrument through periodic charges to interest expense.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5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7"/>
          <w:szCs w:val="17"/>
          <w:color w:val="auto"/>
        </w:rPr>
        <w:t>The Company accounts for debt and equity issuances as either equity -classified or liability-classified instruments based on an assessment of the instruments specific terms and applicable authoritative guidance in Financial Accounting Standards Board (“FASB”) Accounting Standards Codification (“ASC”) 480, Distinguishing Liabilities from Equity (“ASC 480”) and ASC 815, Derivatives and Hedging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the Company’s own common stock and whether the holders could potentially require “net cash settlement”</w:t>
      </w:r>
    </w:p>
    <w:p>
      <w:pPr>
        <w:spacing w:after="0" w:line="35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3" w:name="page284"/>
    <w:bookmarkEnd w:id="283"/>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70" w:lineRule="auto"/>
        <w:rPr>
          <w:sz w:val="20"/>
          <w:szCs w:val="20"/>
          <w:color w:val="auto"/>
        </w:rPr>
      </w:pPr>
      <w:r>
        <w:rPr>
          <w:rFonts w:ascii="Arial" w:cs="Arial" w:eastAsia="Arial" w:hAnsi="Arial"/>
          <w:sz w:val="17"/>
          <w:szCs w:val="17"/>
          <w:color w:val="auto"/>
        </w:rPr>
        <w:t>in a circumstance outside of the Company’s control, among other conditions for equity classification. This assessment, which requires the use of professional judgment, is conducted at the time of issuance of the instruments and as of each subsequent quarterly period end date while the instruments are outstanding.</w:t>
      </w:r>
    </w:p>
    <w:p>
      <w:pPr>
        <w:spacing w:after="0" w:line="83"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For issued or modified instruments that meet all of the criteria for equity classification, the instruments are required to be recorded as a component of additional paid-in capital at the time of issuance. For issued or modified instruments that do not meet all the criteria for equity classification, the instruments are required to be recorded as a derivative liability at their initial fair value on the date of issuance, and each balance sheet date thereafter. Changes in the estimated fair value of the instruments are recognized as a non-cash gain or loss on the condensed consolidated statements of operations.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The Company accounts for its Class A common stock subject to possible redemption in accordance with the guidance in ASC 480. Shares of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issuer’s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Class A common stock subject to possible redemption is presented at redemption value as temporary equity, outside of the stockholders’ equity section of the Company’s condensed consolidated balance sheets.</w:t>
      </w:r>
    </w:p>
    <w:p>
      <w:pPr>
        <w:spacing w:after="0" w:line="113"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June 30, 2021 and December 31, 2020, the Company had a deferred tax asset of approximately $1,342,000 and $594,000 respectively, which had a full valuation allowance recorded against it.</w:t>
      </w:r>
    </w:p>
    <w:p>
      <w:pPr>
        <w:spacing w:after="0" w:line="113"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7"/>
          <w:szCs w:val="17"/>
          <w:color w:val="auto"/>
        </w:rPr>
        <w:t>ASC 740 prescribes a recognition threshold and a measurement attribute for the financial statements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13" w:lineRule="exact"/>
        <w:rPr>
          <w:sz w:val="20"/>
          <w:szCs w:val="20"/>
          <w:color w:val="auto"/>
        </w:rPr>
      </w:pPr>
    </w:p>
    <w:p>
      <w:pPr>
        <w:ind w:left="1260" w:right="559" w:firstLine="360"/>
        <w:spacing w:after="0" w:line="239" w:lineRule="auto"/>
        <w:rPr>
          <w:sz w:val="20"/>
          <w:szCs w:val="20"/>
          <w:color w:val="auto"/>
        </w:rPr>
      </w:pPr>
      <w:r>
        <w:rPr>
          <w:rFonts w:ascii="Arial" w:cs="Arial" w:eastAsia="Arial" w:hAnsi="Arial"/>
          <w:sz w:val="18"/>
          <w:szCs w:val="18"/>
          <w:color w:val="auto"/>
        </w:rPr>
        <w:t>The Company’s currently taxable income primarily consists of interest income on the Trust Account. The Company’s general and administrative costs are generally considered start- up costs and are not currently deductible. During the three and six months ended June 30, 2021, the Company recorded $1,962 of income tax expense. The Company’s effective tax rate for the three and six months ended June 30, 2021 was approximately 0%, which differs from the expected income tax rate primarily due to the permanent differences associated with the change in the fair value of the derivative liabilities and start-up costs (discussed above) which are not currently deductible.</w:t>
      </w:r>
    </w:p>
    <w:p>
      <w:pPr>
        <w:spacing w:after="0" w:line="36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4" w:name="page285"/>
    <w:bookmarkEnd w:id="284"/>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31" w:lineRule="exact"/>
        <w:rPr>
          <w:sz w:val="20"/>
          <w:szCs w:val="20"/>
          <w:color w:val="auto"/>
        </w:rPr>
      </w:pPr>
    </w:p>
    <w:p>
      <w:pPr>
        <w:ind w:left="1260" w:right="659" w:firstLine="360"/>
        <w:spacing w:after="0" w:line="241" w:lineRule="auto"/>
        <w:rPr>
          <w:sz w:val="20"/>
          <w:szCs w:val="20"/>
          <w:color w:val="auto"/>
        </w:rPr>
      </w:pPr>
      <w:r>
        <w:rPr>
          <w:rFonts w:ascii="Arial" w:cs="Arial" w:eastAsia="Arial" w:hAnsi="Arial"/>
          <w:sz w:val="18"/>
          <w:szCs w:val="18"/>
          <w:color w:val="auto"/>
        </w:rPr>
        <w:t>Net income (loss) per share is computed by dividing net income by the weighted-average number of shares of common stock outstanding during the period. The Company has not considered the effect of the warrants sold in the Initial Public Offering and private placement to purchase an aggregate of 84,250,000 shares of common stock in the calculation of diluted loss per share, since the inclusion of such warrants would be anti-dilutive.</w:t>
      </w:r>
    </w:p>
    <w:p>
      <w:pPr>
        <w:spacing w:after="0" w:line="122"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 Company’s statements of operations include a presentation of income (loss) per share for Class A common stock subject to possible redemption in a manner similar to the two-class method of income (loss) per share. Net income (loss) per share, basic and diluted, for Class A common stock subject to possible redemption is calculated by dividing the proportionate share of income or loss on marketable securities held by the Trust Account the weighted average number of Class A common stock subject to possible redemption outstanding since original issuance.</w:t>
      </w:r>
    </w:p>
    <w:p>
      <w:pPr>
        <w:spacing w:after="0" w:line="10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Net income (loss) per share, basic and diluted, for non-redeemable common stock is calculated by dividing the net income (loss), adjusted for income or loss on marketable securities attributable to Class A common stock subject to possible redemption, by the weighted average number of non-redeemable common stock outstanding for the period.</w:t>
      </w:r>
    </w:p>
    <w:p>
      <w:pPr>
        <w:spacing w:after="0" w:line="120"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Non-redeemable common stock includes Founder Shares and non -redeemable shares of common stock as these shares do not have any redemption features. Non-redeemable common stock participates in the income or loss on marketable securities based on non-redeemable shares’ proportionate interest.</w:t>
      </w:r>
    </w:p>
    <w:p>
      <w:pPr>
        <w:spacing w:after="0" w:line="96"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The following table reflects the calculation of basic and diluted net income (loss) per share (in dollars, except per share amounts):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For the Period</w:t>
            </w:r>
          </w:p>
        </w:tc>
      </w:tr>
      <w:tr>
        <w:trPr>
          <w:trHeight w:val="162"/>
        </w:trPr>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Six Months</w:t>
            </w:r>
          </w:p>
        </w:tc>
        <w:tc>
          <w:tcPr>
            <w:tcW w:w="1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From April 30, 2020</w:t>
            </w:r>
          </w:p>
        </w:tc>
      </w:tr>
      <w:tr>
        <w:trPr>
          <w:trHeight w:val="162"/>
        </w:trPr>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Ended</w:t>
            </w:r>
          </w:p>
        </w:tc>
        <w:tc>
          <w:tcPr>
            <w:tcW w:w="12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(inception) through</w:t>
            </w:r>
          </w:p>
        </w:tc>
      </w:tr>
      <w:tr>
        <w:trPr>
          <w:trHeight w:val="185"/>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June 30, 2021</w:t>
            </w:r>
          </w:p>
        </w:tc>
        <w:tc>
          <w:tcPr>
            <w:tcW w:w="10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June 30, 2021</w:t>
            </w:r>
          </w:p>
        </w:tc>
        <w:tc>
          <w:tcPr>
            <w:tcW w:w="160" w:type="dxa"/>
            <w:vAlign w:val="bottom"/>
          </w:tcPr>
          <w:p>
            <w:pPr>
              <w:spacing w:after="0"/>
              <w:rPr>
                <w:sz w:val="16"/>
                <w:szCs w:val="16"/>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June 30, 2020</w:t>
            </w:r>
          </w:p>
        </w:tc>
      </w:tr>
      <w:tr>
        <w:trPr>
          <w:trHeight w:val="169"/>
        </w:trPr>
        <w:tc>
          <w:tcPr>
            <w:tcW w:w="45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Class A common stock subject to possible redemption</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r>
      <w:tr>
        <w:trPr>
          <w:trHeight w:val="202"/>
        </w:trPr>
        <w:tc>
          <w:tcPr>
            <w:tcW w:w="4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Numerator: Earnings allocable to Class A common</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520" w:type="dxa"/>
            <w:vAlign w:val="bottom"/>
            <w:gridSpan w:val="2"/>
          </w:tcPr>
          <w:p>
            <w:pPr>
              <w:ind w:left="360"/>
              <w:spacing w:after="0"/>
              <w:rPr>
                <w:sz w:val="20"/>
                <w:szCs w:val="20"/>
                <w:color w:val="auto"/>
              </w:rPr>
            </w:pPr>
            <w:r>
              <w:rPr>
                <w:rFonts w:ascii="Arial" w:cs="Arial" w:eastAsia="Arial" w:hAnsi="Arial"/>
                <w:sz w:val="18"/>
                <w:szCs w:val="18"/>
                <w:color w:val="auto"/>
              </w:rPr>
              <w:t>stock subject to possible redemption</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75"/>
        </w:trPr>
        <w:tc>
          <w:tcPr>
            <w:tcW w:w="452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27,453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204,779</w:t>
            </w:r>
          </w:p>
        </w:tc>
        <w:tc>
          <w:tcPr>
            <w:tcW w:w="2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r>
      <w:tr>
        <w:trPr>
          <w:trHeight w:val="202"/>
        </w:trPr>
        <w:tc>
          <w:tcPr>
            <w:tcW w:w="452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Unrealized gain on investments held in Trust</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520" w:type="dxa"/>
            <w:vAlign w:val="bottom"/>
            <w:gridSpan w:val="2"/>
          </w:tcPr>
          <w:p>
            <w:pPr>
              <w:ind w:left="540"/>
              <w:spacing w:after="0"/>
              <w:rPr>
                <w:sz w:val="20"/>
                <w:szCs w:val="20"/>
                <w:color w:val="auto"/>
              </w:rPr>
            </w:pPr>
            <w:r>
              <w:rPr>
                <w:rFonts w:ascii="Arial" w:cs="Arial" w:eastAsia="Arial" w:hAnsi="Arial"/>
                <w:sz w:val="18"/>
                <w:szCs w:val="18"/>
                <w:color w:val="auto"/>
              </w:rPr>
              <w:t>Account</w:t>
            </w: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(3,956)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45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Less: Company’s portion available to be withdrawn</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 pay taxes</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(23,497)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(129,310)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452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Less: Company’s portion available to be withdrawn</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520" w:type="dxa"/>
            <w:vAlign w:val="bottom"/>
            <w:gridSpan w:val="2"/>
          </w:tcPr>
          <w:p>
            <w:pPr>
              <w:ind w:left="540"/>
              <w:spacing w:after="0"/>
              <w:rPr>
                <w:sz w:val="20"/>
                <w:szCs w:val="20"/>
                <w:color w:val="auto"/>
              </w:rPr>
            </w:pPr>
            <w:r>
              <w:rPr>
                <w:rFonts w:ascii="Arial" w:cs="Arial" w:eastAsia="Arial" w:hAnsi="Arial"/>
                <w:sz w:val="18"/>
                <w:szCs w:val="18"/>
                <w:color w:val="auto"/>
              </w:rPr>
              <w:t>for working capital purposes</w:t>
            </w:r>
          </w:p>
        </w:tc>
        <w:tc>
          <w:tcPr>
            <w:tcW w:w="8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(75,469)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95"/>
        </w:trPr>
        <w:tc>
          <w:tcPr>
            <w:tcW w:w="4520" w:type="dxa"/>
            <w:vAlign w:val="bottom"/>
            <w:tcBorders>
              <w:top w:val="single" w:sz="8" w:color="CCEEFF"/>
            </w:tcBorders>
            <w:gridSpan w:val="2"/>
            <w:shd w:val="clear" w:color="auto" w:fill="CCEEFF"/>
          </w:tcPr>
          <w:p>
            <w:pPr>
              <w:ind w:left="540"/>
              <w:spacing w:after="0" w:line="195" w:lineRule="exact"/>
              <w:rPr>
                <w:sz w:val="20"/>
                <w:szCs w:val="20"/>
                <w:color w:val="auto"/>
              </w:rPr>
            </w:pPr>
            <w:r>
              <w:rPr>
                <w:rFonts w:ascii="Arial" w:cs="Arial" w:eastAsia="Arial" w:hAnsi="Arial"/>
                <w:sz w:val="18"/>
                <w:szCs w:val="18"/>
                <w:color w:val="auto"/>
              </w:rPr>
              <w:t>Net income allocable to Class A common stock</w:t>
            </w: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4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subject to possible redemption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4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Denominator: Weighted Average Class A common</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520" w:type="dxa"/>
            <w:vAlign w:val="bottom"/>
            <w:gridSpan w:val="2"/>
          </w:tcPr>
          <w:p>
            <w:pPr>
              <w:ind w:left="360"/>
              <w:spacing w:after="0"/>
              <w:rPr>
                <w:sz w:val="20"/>
                <w:szCs w:val="20"/>
                <w:color w:val="auto"/>
              </w:rPr>
            </w:pPr>
            <w:r>
              <w:rPr>
                <w:rFonts w:ascii="Arial" w:cs="Arial" w:eastAsia="Arial" w:hAnsi="Arial"/>
                <w:sz w:val="18"/>
                <w:szCs w:val="18"/>
                <w:color w:val="auto"/>
              </w:rPr>
              <w:t>stock subject to possible redemption</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45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Basic and diluted weighted average shares outstanding,</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Class A common stock subject to possible</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4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redemption</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207,000,000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201,682,674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4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Basic and diluted net income per share, Class A</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520" w:type="dxa"/>
            <w:vAlign w:val="bottom"/>
            <w:gridSpan w:val="2"/>
          </w:tcPr>
          <w:p>
            <w:pPr>
              <w:ind w:left="360"/>
              <w:spacing w:after="0"/>
              <w:rPr>
                <w:sz w:val="20"/>
                <w:szCs w:val="20"/>
                <w:color w:val="auto"/>
              </w:rPr>
            </w:pPr>
            <w:r>
              <w:rPr>
                <w:rFonts w:ascii="Arial" w:cs="Arial" w:eastAsia="Arial" w:hAnsi="Arial"/>
                <w:sz w:val="18"/>
                <w:szCs w:val="18"/>
                <w:color w:val="auto"/>
              </w:rPr>
              <w:t>common stock subject to possible redemption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r>
      <w:tr>
        <w:trPr>
          <w:trHeight w:val="175"/>
        </w:trPr>
        <w:tc>
          <w:tcPr>
            <w:tcW w:w="4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Non-Redeemable Common Stock</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75"/>
        </w:trPr>
        <w:tc>
          <w:tcPr>
            <w:tcW w:w="452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Numerator: Net Loss minus Net Earnings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5"/>
        </w:trPr>
        <w:tc>
          <w:tcPr>
            <w:tcW w:w="452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w w:val="90"/>
              </w:rPr>
              <w:t>(588,819,915)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w w:val="89"/>
              </w:rPr>
              <w:t>(1,460,618,073)</w:t>
            </w:r>
          </w:p>
        </w:tc>
        <w:tc>
          <w:tcPr>
            <w:tcW w:w="2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(1,000)</w:t>
            </w:r>
          </w:p>
        </w:tc>
      </w:tr>
      <w:tr>
        <w:trPr>
          <w:trHeight w:val="202"/>
        </w:trPr>
        <w:tc>
          <w:tcPr>
            <w:tcW w:w="452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Less: Income allocable to Class A common stock</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520" w:type="dxa"/>
            <w:vAlign w:val="bottom"/>
            <w:gridSpan w:val="2"/>
          </w:tcPr>
          <w:p>
            <w:pPr>
              <w:ind w:left="540"/>
              <w:spacing w:after="0"/>
              <w:rPr>
                <w:sz w:val="20"/>
                <w:szCs w:val="20"/>
                <w:color w:val="auto"/>
              </w:rPr>
            </w:pPr>
            <w:r>
              <w:rPr>
                <w:rFonts w:ascii="Arial" w:cs="Arial" w:eastAsia="Arial" w:hAnsi="Arial"/>
                <w:sz w:val="18"/>
                <w:szCs w:val="18"/>
                <w:color w:val="auto"/>
              </w:rPr>
              <w:t>subject to possible redemption</w:t>
            </w:r>
          </w:p>
        </w:tc>
        <w:tc>
          <w:tcPr>
            <w:tcW w:w="8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69"/>
        </w:trPr>
        <w:tc>
          <w:tcPr>
            <w:tcW w:w="4520" w:type="dxa"/>
            <w:vAlign w:val="bottom"/>
            <w:tcBorders>
              <w:top w:val="single" w:sz="8" w:color="CCEEFF"/>
            </w:tcBorders>
            <w:gridSpan w:val="2"/>
            <w:shd w:val="clear" w:color="auto" w:fill="CCEEFF"/>
          </w:tcPr>
          <w:p>
            <w:pPr>
              <w:ind w:left="540"/>
              <w:spacing w:after="0" w:line="169" w:lineRule="exact"/>
              <w:rPr>
                <w:sz w:val="20"/>
                <w:szCs w:val="20"/>
                <w:color w:val="auto"/>
              </w:rPr>
            </w:pPr>
            <w:r>
              <w:rPr>
                <w:rFonts w:ascii="Arial" w:cs="Arial" w:eastAsia="Arial" w:hAnsi="Arial"/>
                <w:sz w:val="18"/>
                <w:szCs w:val="18"/>
                <w:color w:val="auto"/>
              </w:rPr>
              <w:t>Non-Redeemable Net Loss</w:t>
            </w: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85"/>
              </w:rPr>
              <w:t>(588,819,915)</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84"/>
              </w:rPr>
              <w:t>(1,460,618,073)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4"/>
                <w:szCs w:val="14"/>
                <w:color w:val="auto"/>
              </w:rPr>
            </w:pPr>
          </w:p>
        </w:tc>
      </w:tr>
      <w:tr>
        <w:trPr>
          <w:trHeight w:val="202"/>
        </w:trPr>
        <w:tc>
          <w:tcPr>
            <w:tcW w:w="4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Denominator: Weighted Average Non-redeemable</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520" w:type="dxa"/>
            <w:vAlign w:val="bottom"/>
            <w:gridSpan w:val="2"/>
          </w:tcPr>
          <w:p>
            <w:pPr>
              <w:ind w:left="36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45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Basic and diluted weighted average shares outstanding,</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Non-redeemable Common stock</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51,750,000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58,496,884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45,000,000</w:t>
            </w:r>
          </w:p>
        </w:tc>
      </w:tr>
      <w:tr>
        <w:trPr>
          <w:trHeight w:val="202"/>
        </w:trPr>
        <w:tc>
          <w:tcPr>
            <w:tcW w:w="4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Basic and diluted net loss per share, Non-redeemable</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520" w:type="dxa"/>
            <w:vAlign w:val="bottom"/>
            <w:gridSpan w:val="2"/>
          </w:tcPr>
          <w:p>
            <w:pPr>
              <w:ind w:left="360"/>
              <w:spacing w:after="0"/>
              <w:rPr>
                <w:sz w:val="20"/>
                <w:szCs w:val="20"/>
                <w:color w:val="auto"/>
              </w:rPr>
            </w:pPr>
            <w:r>
              <w:rPr>
                <w:rFonts w:ascii="Arial" w:cs="Arial" w:eastAsia="Arial" w:hAnsi="Arial"/>
                <w:sz w:val="18"/>
                <w:szCs w:val="18"/>
                <w:color w:val="auto"/>
              </w:rPr>
              <w:t>Common stock</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(11.38)</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(24.97)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-942340</wp:posOffset>
            </wp:positionV>
            <wp:extent cx="10287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-942340</wp:posOffset>
            </wp:positionV>
            <wp:extent cx="17145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-942340</wp:posOffset>
            </wp:positionV>
            <wp:extent cx="360045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3600450" cy="889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-2794000</wp:posOffset>
            </wp:positionV>
            <wp:extent cx="10287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-2794000</wp:posOffset>
            </wp:positionV>
            <wp:extent cx="17145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-2794000</wp:posOffset>
            </wp:positionV>
            <wp:extent cx="360045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360045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-4122420</wp:posOffset>
            </wp:positionV>
            <wp:extent cx="6858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-4122420</wp:posOffset>
            </wp:positionV>
            <wp:extent cx="359156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85" w:name="page286"/>
    <w:bookmarkEnd w:id="285"/>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Corporation coverage limit of $250,000. The Company has not experienced losses on this account.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58"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condensed consolidated balance sheets, primarily due to their short-term nature, except for the Company’s derivative instruments (see Note 9).</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5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adopted ASU 2020-06 on January 1, 2021. The adoption of ASU 2020-06 did not have an impact on the Company’s financial statements.</w:t>
      </w:r>
    </w:p>
    <w:p>
      <w:pPr>
        <w:spacing w:after="0" w:line="11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consolidated financial statements.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PUBLIC OFFERING</w:t>
      </w:r>
    </w:p>
    <w:p>
      <w:pPr>
        <w:spacing w:after="0" w:line="162"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Pursuant to the Initial Public Offering, the Company sold 207,000,000 Units, which includes the full exercise by the underwriters of their option to purchase an additional 27,000,000 Units, at $10.00 per Unit. Each Unit consists of one share of Class A common stock and one-fifth of one redeemable warrant (“Public Warrant”). Each whole Public Warrant entitles the holder to purchase one share of Class A common stock at a price of $11.50 per share, subject to adjustment (see Note 8). The Units sold in the Initial Public Offering comprise an aggregate of 207,000,000 shares of Class A common stock and 41,400,000 Public Warrants.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PRIVATE PLACEMENT</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Simultaneously with the closing of the Initial Public Offering, the Sponsor purchased an aggregate of 42,850,000 Private Placement Warrants at a price of $1.00 per Private Placement Warrant, for an aggregate purchase price of $42,850,000. Each Private Placement Warrant is exercisable to purchase one share of Class A common stock at a price of $11.50 per share. The proceeds from the Private Placement Warrants were added to the proceeds from the Initial Public Offering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3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6" w:name="page287"/>
    <w:bookmarkEnd w:id="286"/>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44"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On May 22, 2020, the Sponsor purchased 21,562,500 shares of the Company’s Class B common stock for an aggregate price of $25,000 (the “Founder Shares” or, individually, a “Founder Share”). On July 14, 2020, the Company effected a stock dividend of one-third of one Founder Shares for each outstanding Founder Share, on July 27, 2020, the Company effected a stock dividend of 0.50 to 1 Founder Share for each outstanding Founder Share and on July 30, 2020, the Company effected a stock dividend of 0.20 to 1 Founder Shares for each outstanding Founder Share, resulting in 51,750,000 Founder Shares being issued and outstanding. All share and per-share amounts have been retroactively restated to reflect the stock dividends. The Founder Shares included an aggregate of up to 6,750,000 shares subject to forfeiture to the extent that the underwriters’ over-allotment option was not exercised in full or in part, so that the Sponsor would own, on an as- converted basis, 20% of the Company’s issued and outstanding shares after the Initial Public Offering. As a result of the underwriters’ election to fully exercise their over-allotment option, 6,750,000 Founder Shares are no longer subject to forfeiture.</w:t>
      </w:r>
    </w:p>
    <w:p>
      <w:pPr>
        <w:spacing w:after="0" w:line="11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to occur of: (A) one year after the completion of a Business Combination and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$ 12.00 per share (as adjusted for stock splits, stock dividends, reorganizations, recapitalizations and the like) for any 20 trading days within any 30- trading day period commencing at least 150 days after a Business Combination, the Founder Shares will be released from the lock-up.</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5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The Company entered into an agreement whereby, commencing on July 30, 2020 through the earlier of the Company’s consummation of a Business Combination and its liquidation, the Company will pay an affiliate of the Sponsor a total of $50,000 per month for office space, administrative and support services. For the three and six months ended June 30, 2021, the Company incurred and paid $150,000 and $300,0000 in fees for these services, respectively.</w:t>
      </w:r>
    </w:p>
    <w:p>
      <w:pPr>
        <w:spacing w:after="0" w:line="108"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On May 28, 2021, the Company and the Sponsor amended the agreement relating to administrative and support services to provide that the Company will not be required to pay the $50,000 per month fee under the agreement from and after July 1, 2021.</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Advisory Fee</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58" w:lineRule="exact"/>
        <w:rPr>
          <w:sz w:val="20"/>
          <w:szCs w:val="20"/>
          <w:color w:val="auto"/>
        </w:rPr>
      </w:pPr>
    </w:p>
    <w:p>
      <w:pPr>
        <w:ind w:left="1260" w:right="599" w:firstLine="360"/>
        <w:spacing w:after="0" w:line="275" w:lineRule="auto"/>
        <w:rPr>
          <w:sz w:val="20"/>
          <w:szCs w:val="20"/>
          <w:color w:val="auto"/>
        </w:rPr>
      </w:pPr>
      <w:r>
        <w:rPr>
          <w:rFonts w:ascii="Arial" w:cs="Arial" w:eastAsia="Arial" w:hAnsi="Arial"/>
          <w:sz w:val="17"/>
          <w:szCs w:val="17"/>
          <w:color w:val="auto"/>
        </w:rPr>
        <w:t>On May 13, 2020, the Sponsor agreed to loan the Company an aggregate of up to $600,000 to cover expenses related to the Initial Public Offering pursuant to a promissory note (the “Promissory Note”). The Promissory Note was non-interest bearing and payable on the earlier of December 31, 2021 or the completion of the Initial Public Offering. The borrowings outstanding under the note in the amount of $550,000 were repaid upon the consummation of the Initial Public Offering on August 3, 2020.</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44" w:lineRule="exact"/>
        <w:rPr>
          <w:sz w:val="20"/>
          <w:szCs w:val="20"/>
          <w:color w:val="auto"/>
        </w:rPr>
      </w:pPr>
    </w:p>
    <w:p>
      <w:pPr>
        <w:ind w:left="1260" w:right="899" w:firstLine="360"/>
        <w:spacing w:after="0" w:line="308" w:lineRule="auto"/>
        <w:rPr>
          <w:sz w:val="20"/>
          <w:szCs w:val="20"/>
          <w:color w:val="auto"/>
        </w:rPr>
      </w:pPr>
      <w:r>
        <w:rPr>
          <w:rFonts w:ascii="Arial" w:cs="Arial" w:eastAsia="Arial" w:hAnsi="Arial"/>
          <w:sz w:val="17"/>
          <w:szCs w:val="17"/>
          <w:color w:val="auto"/>
        </w:rPr>
        <w:t>In order to finance transaction costs in connection with a Business Combination, the Sponsor, an affiliate of the Sponsor, or the Company’s officers and directors may, but are not obligated to, loan the</w:t>
      </w:r>
    </w:p>
    <w:p>
      <w:pPr>
        <w:spacing w:after="0" w:line="33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7" w:name="page288"/>
    <w:bookmarkEnd w:id="287"/>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69" w:lineRule="auto"/>
        <w:rPr>
          <w:sz w:val="20"/>
          <w:szCs w:val="20"/>
          <w:color w:val="auto"/>
        </w:rPr>
      </w:pPr>
      <w:r>
        <w:rPr>
          <w:rFonts w:ascii="Arial" w:cs="Arial" w:eastAsia="Arial" w:hAnsi="Arial"/>
          <w:sz w:val="17"/>
          <w:szCs w:val="17"/>
          <w:color w:val="auto"/>
        </w:rPr>
        <w:t>Company funds as may be required (the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the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at a price of $1.00 per warrant. The warrants would be identical to the Private Placement Warrants.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February 22, 2021, the Company entered into a convertible promissory note with the Sponsor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pursuant to which the Sponsor agreed to loan the Company up to an aggregate principal amount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$1,500,000 (the “Convertible Promissory Note”). The Convertible Promissory Note is non-interest bearing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payable on the earlier of the date on which the Company consummates a Business Combination or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date that the winding up of the Company is effective. If the Company does not consummate a Business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Combination, the Company may use a portion of any funds held outside the Trust Account to repay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Promissory Note; however, no proceeds from the Trust Account may be used for such repayment. Up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$1,500,000 of the Convertible Promissory Note may be converted into warrants at a price of $1.00 per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warrant at the option of the Sponsor. The warrants would be identical to the Private Placement Warrants. As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of June 30, 2021, the outstanding balance under the Convertible Promissory Note amounted to an aggregate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$1,500,000.</w:t>
      </w:r>
    </w:p>
    <w:p>
      <w:pPr>
        <w:spacing w:after="0" w:line="143"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The Company assessed the provisions of the Convertible Promissory Note under ASC 470-20. The derivative component of the obligation is initially valued and classified as a derivative liability. The excess of the fair value of the derivative liability over the principal in the amount of $56,191,636 was recorded as interest expense in the accompanying condensed statements of operations. The conversion option was valued using the Black-Scholes option pricing formula, which is considered to be a Level 3 fair value measurement and based on the following assumptions (see Note 9):</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040" w:type="dxa"/>
            <w:vAlign w:val="bottom"/>
            <w:gridSpan w:val="4"/>
          </w:tcPr>
          <w:p>
            <w:pPr>
              <w:ind w:left="1300"/>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March 31,</w:t>
            </w:r>
          </w:p>
        </w:tc>
        <w:tc>
          <w:tcPr>
            <w:tcW w:w="13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99"/>
              </w:rPr>
              <w:t>February 22, 2021</w:t>
            </w:r>
          </w:p>
        </w:tc>
      </w:tr>
      <w:tr>
        <w:trPr>
          <w:trHeight w:val="186"/>
        </w:trPr>
        <w:tc>
          <w:tcPr>
            <w:tcW w:w="3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ind w:right="113"/>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(Initial Measurement)</w:t>
            </w:r>
          </w:p>
        </w:tc>
      </w:tr>
      <w:tr>
        <w:trPr>
          <w:trHeight w:val="25"/>
        </w:trPr>
        <w:tc>
          <w:tcPr>
            <w:tcW w:w="32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Underlying warrant value</w:t>
            </w:r>
          </w:p>
        </w:tc>
        <w:tc>
          <w:tcPr>
            <w:tcW w:w="1400" w:type="dxa"/>
            <w:vAlign w:val="bottom"/>
            <w:gridSpan w:val="2"/>
            <w:shd w:val="clear" w:color="auto" w:fill="CCEEFF"/>
          </w:tcPr>
          <w:p>
            <w:pPr>
              <w:ind w:left="132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21.26</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4"/>
              </w:rPr>
              <w:t>12.45</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4"/>
              </w:rPr>
              <w:t>39.46</w:t>
            </w:r>
          </w:p>
        </w:tc>
      </w:tr>
      <w:tr>
        <w:trPr>
          <w:trHeight w:val="256"/>
        </w:trPr>
        <w:tc>
          <w:tcPr>
            <w:tcW w:w="3240" w:type="dxa"/>
            <w:vAlign w:val="bottom"/>
          </w:tcPr>
          <w:p>
            <w:pPr>
              <w:spacing w:after="0"/>
              <w:rPr>
                <w:sz w:val="20"/>
                <w:szCs w:val="20"/>
                <w:color w:val="auto"/>
              </w:rPr>
            </w:pPr>
            <w:r>
              <w:rPr>
                <w:rFonts w:ascii="Arial" w:cs="Arial" w:eastAsia="Arial" w:hAnsi="Arial"/>
                <w:sz w:val="18"/>
                <w:szCs w:val="18"/>
                <w:color w:val="auto"/>
              </w:rPr>
              <w:t>Exercise price</w:t>
            </w:r>
          </w:p>
        </w:tc>
        <w:tc>
          <w:tcPr>
            <w:tcW w:w="1400" w:type="dxa"/>
            <w:vAlign w:val="bottom"/>
            <w:gridSpan w:val="2"/>
          </w:tcPr>
          <w:p>
            <w:pPr>
              <w:ind w:left="13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1.00</w:t>
            </w:r>
          </w:p>
        </w:tc>
      </w:tr>
      <w:tr>
        <w:trPr>
          <w:trHeight w:val="257"/>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Holding period</w:t>
            </w: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0.34</w:t>
            </w:r>
          </w:p>
        </w:tc>
      </w:tr>
      <w:tr>
        <w:trPr>
          <w:trHeight w:val="256"/>
        </w:trPr>
        <w:tc>
          <w:tcPr>
            <w:tcW w:w="3240" w:type="dxa"/>
            <w:vAlign w:val="bottom"/>
          </w:tcPr>
          <w:p>
            <w:pPr>
              <w:spacing w:after="0"/>
              <w:rPr>
                <w:sz w:val="20"/>
                <w:szCs w:val="20"/>
                <w:color w:val="auto"/>
              </w:rPr>
            </w:pPr>
            <w:r>
              <w:rPr>
                <w:rFonts w:ascii="Arial" w:cs="Arial" w:eastAsia="Arial" w:hAnsi="Arial"/>
                <w:sz w:val="18"/>
                <w:szCs w:val="18"/>
                <w:color w:val="auto"/>
              </w:rPr>
              <w:t>Risk-free rate</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520" w:type="dxa"/>
            <w:vAlign w:val="bottom"/>
          </w:tcPr>
          <w:p>
            <w:pPr>
              <w:spacing w:after="0"/>
              <w:rPr>
                <w:sz w:val="22"/>
                <w:szCs w:val="22"/>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0.03%</w:t>
            </w:r>
          </w:p>
        </w:tc>
      </w:tr>
      <w:tr>
        <w:trPr>
          <w:trHeight w:val="27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125%</w:t>
            </w: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Dividend yield</w:t>
            </w: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3"/>
                <w:szCs w:val="2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520" w:type="dxa"/>
            <w:vAlign w:val="bottom"/>
          </w:tcPr>
          <w:p>
            <w:pPr>
              <w:spacing w:after="0"/>
              <w:rPr>
                <w:sz w:val="23"/>
                <w:szCs w:val="23"/>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-1002665</wp:posOffset>
            </wp:positionV>
            <wp:extent cx="390017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following table presents the change in the fair value of conversion option liability:</w:t>
      </w:r>
    </w:p>
    <w:p>
      <w:pPr>
        <w:spacing w:after="0" w:line="181"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7"/>
        </w:trPr>
        <w:tc>
          <w:tcPr>
            <w:tcW w:w="6520" w:type="dxa"/>
            <w:vAlign w:val="bottom"/>
          </w:tcPr>
          <w:p>
            <w:pPr>
              <w:spacing w:after="0"/>
              <w:rPr>
                <w:sz w:val="20"/>
                <w:szCs w:val="20"/>
                <w:color w:val="auto"/>
              </w:rPr>
            </w:pPr>
            <w:r>
              <w:rPr>
                <w:rFonts w:ascii="Arial" w:cs="Arial" w:eastAsia="Arial" w:hAnsi="Arial"/>
                <w:sz w:val="18"/>
                <w:szCs w:val="18"/>
                <w:color w:val="auto"/>
              </w:rPr>
              <w:t>Initial measurement on February 22, 2021</w:t>
            </w: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57,691,636</w:t>
            </w:r>
          </w:p>
        </w:tc>
        <w:tc>
          <w:tcPr>
            <w:tcW w:w="60" w:type="dxa"/>
            <w:vAlign w:val="bottom"/>
          </w:tcPr>
          <w:p>
            <w:pPr>
              <w:spacing w:after="0"/>
              <w:rPr>
                <w:sz w:val="22"/>
                <w:szCs w:val="22"/>
                <w:color w:val="auto"/>
              </w:rPr>
            </w:pPr>
          </w:p>
        </w:tc>
      </w:tr>
      <w:tr>
        <w:trPr>
          <w:trHeight w:val="263"/>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(40,517,598)</w:t>
            </w:r>
          </w:p>
        </w:tc>
        <w:tc>
          <w:tcPr>
            <w:tcW w:w="60" w:type="dxa"/>
            <w:vAlign w:val="bottom"/>
          </w:tcPr>
          <w:p>
            <w:pPr>
              <w:spacing w:after="0"/>
              <w:rPr>
                <w:sz w:val="22"/>
                <w:szCs w:val="22"/>
                <w:color w:val="auto"/>
              </w:rPr>
            </w:pPr>
          </w:p>
        </w:tc>
      </w:tr>
      <w:tr>
        <w:trPr>
          <w:trHeight w:val="257"/>
        </w:trPr>
        <w:tc>
          <w:tcPr>
            <w:tcW w:w="6520" w:type="dxa"/>
            <w:vAlign w:val="bottom"/>
          </w:tcPr>
          <w:p>
            <w:pPr>
              <w:spacing w:after="0"/>
              <w:rPr>
                <w:sz w:val="20"/>
                <w:szCs w:val="20"/>
                <w:color w:val="auto"/>
              </w:rPr>
            </w:pPr>
            <w:r>
              <w:rPr>
                <w:rFonts w:ascii="Arial" w:cs="Arial" w:eastAsia="Arial" w:hAnsi="Arial"/>
                <w:sz w:val="18"/>
                <w:szCs w:val="18"/>
                <w:color w:val="auto"/>
              </w:rPr>
              <w:t>Fair value as of March 31, 2021</w:t>
            </w: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17,174,038</w:t>
            </w:r>
          </w:p>
        </w:tc>
        <w:tc>
          <w:tcPr>
            <w:tcW w:w="60" w:type="dxa"/>
            <w:vAlign w:val="bottom"/>
          </w:tcPr>
          <w:p>
            <w:pPr>
              <w:spacing w:after="0"/>
              <w:rPr>
                <w:sz w:val="22"/>
                <w:szCs w:val="22"/>
                <w:color w:val="auto"/>
              </w:rPr>
            </w:pPr>
          </w:p>
        </w:tc>
      </w:tr>
      <w:tr>
        <w:trPr>
          <w:trHeight w:val="263"/>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13,220,756</w:t>
            </w:r>
          </w:p>
        </w:tc>
        <w:tc>
          <w:tcPr>
            <w:tcW w:w="60" w:type="dxa"/>
            <w:vAlign w:val="bottom"/>
          </w:tcPr>
          <w:p>
            <w:pPr>
              <w:spacing w:after="0"/>
              <w:rPr>
                <w:sz w:val="22"/>
                <w:szCs w:val="22"/>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8"/>
                <w:szCs w:val="18"/>
                <w:color w:val="auto"/>
              </w:rPr>
              <w:t>Fair value as of June 30, 2021</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30,394,794</w:t>
            </w:r>
          </w:p>
        </w:tc>
        <w:tc>
          <w:tcPr>
            <w:tcW w:w="60" w:type="dxa"/>
            <w:vAlign w:val="bottom"/>
          </w:tcPr>
          <w:p>
            <w:pPr>
              <w:spacing w:after="0"/>
              <w:rPr>
                <w:sz w:val="23"/>
                <w:szCs w:val="23"/>
                <w:color w:val="auto"/>
              </w:rPr>
            </w:pPr>
          </w:p>
        </w:tc>
      </w:tr>
      <w:tr>
        <w:trPr>
          <w:trHeight w:val="20"/>
        </w:trPr>
        <w:tc>
          <w:tcPr>
            <w:tcW w:w="6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60" w:right="599" w:firstLine="360"/>
        <w:spacing w:after="0" w:line="275" w:lineRule="auto"/>
        <w:rPr>
          <w:sz w:val="20"/>
          <w:szCs w:val="20"/>
          <w:color w:val="auto"/>
        </w:rPr>
      </w:pPr>
      <w:r>
        <w:rPr>
          <w:rFonts w:ascii="Arial" w:cs="Arial" w:eastAsia="Arial" w:hAnsi="Arial"/>
          <w:sz w:val="17"/>
          <w:szCs w:val="17"/>
          <w:color w:val="auto"/>
        </w:rPr>
        <w:t>The debt discount is being amortized to interest expense as a non-cash charge over the term of the Convertible Promissory Note, which is assumed to be July 2021, the Company’s expected Business Combination date. During the three and six months ended June 30, 2021, the Company recorded $900,000 and $1,200,000 of interest expense related to the amortization of the debt discount, respectively. The remaining balance of the debt discount at June 30, 2021 amounted to $300,000.</w:t>
      </w:r>
    </w:p>
    <w:p>
      <w:pPr>
        <w:spacing w:after="0" w:line="35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88" w:name="page289"/>
    <w:bookmarkEnd w:id="288"/>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Lucid Merger Agreement</w:t>
      </w:r>
    </w:p>
    <w:p>
      <w:pPr>
        <w:spacing w:after="0" w:line="144"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On February 22, 2021, we entered into a Merger Agreement with Merger Sub and Lucid (the “Merger Agreement”), relating to a proposed business combination transaction between us and Lucid.</w:t>
      </w:r>
    </w:p>
    <w:p>
      <w:pPr>
        <w:spacing w:after="0" w:line="79"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Pursuant to the Merger Agreement, Merger Sub will merge with and into Lucid with Lucid being the surviving entity in the merger.</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aggregate consideration to be paid to the shareholders of Lucid will be equal to</w:t>
      </w:r>
    </w:p>
    <w:p>
      <w:pPr>
        <w:spacing w:after="0" w:line="12" w:lineRule="exact"/>
        <w:rPr>
          <w:sz w:val="20"/>
          <w:szCs w:val="20"/>
          <w:color w:val="auto"/>
        </w:rPr>
      </w:pPr>
    </w:p>
    <w:p>
      <w:pPr>
        <w:ind w:left="1260" w:right="439"/>
        <w:spacing w:after="0" w:line="256" w:lineRule="auto"/>
        <w:tabs>
          <w:tab w:leader="none" w:pos="1519" w:val="left"/>
        </w:tabs>
        <w:numPr>
          <w:ilvl w:val="0"/>
          <w:numId w:val="134"/>
        </w:numPr>
        <w:rPr>
          <w:rFonts w:ascii="Arial" w:cs="Arial" w:eastAsia="Arial" w:hAnsi="Arial"/>
          <w:sz w:val="17"/>
          <w:szCs w:val="17"/>
          <w:color w:val="auto"/>
        </w:rPr>
      </w:pPr>
      <w:r>
        <w:rPr>
          <w:rFonts w:ascii="Arial" w:cs="Arial" w:eastAsia="Arial" w:hAnsi="Arial"/>
          <w:sz w:val="17"/>
          <w:szCs w:val="17"/>
          <w:color w:val="auto"/>
        </w:rPr>
        <w:t>$11,750,000,000 plus (b) (i) all cash and cash equivalents of Lucid and its subsidiaries less (ii) all indebtedness for borrowed money of Lucid and its subsidiaries, in each case as of two business days prior to the closing date. The consideration to the shareholders of Lucid will be paid entirely in shares of Class A common stock, par value $0.0001 per share, of the Company in an amount equal to $10.00 per share.</w:t>
      </w:r>
    </w:p>
    <w:p>
      <w:pPr>
        <w:spacing w:after="0" w:line="95"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color w:val="auto"/>
        </w:rPr>
        <w:t>In connection with the execution of the Merger Agreement and in order to raise additional proceeds to fund the transactions contemplated therein, the Company entered into the PIPE Subscription Agreements with certain investment funds (“PIPE Investors”). Pursuant to the terms of the PIPE Subscription Agreements, the Company has agreed to issue and sell to the PIPE Investors and the PIPE Investors have agreed to buy 166,666,667 shares of Churchill’s Class A common stock at a purchase price of $ 15.00 per share for an aggregate commitment of $2,500,000,005 (the “PIPE Investment”). The closing of the PIPE Investment is conditioned on all conditions set forth in the Merger Agreement having been satisfied or waived and other customary closing conditions, and the Transactions will be consummated immediately following the closing of the PIPE Investment. The PIPE Subscription Agreements will terminate upon the earlier to occur of (i) the termination of the Merger Agreement and (ii) the mutual written agreement of the parties thereto.</w:t>
      </w:r>
    </w:p>
    <w:p>
      <w:pPr>
        <w:spacing w:after="0" w:line="12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On February 22, 2021, the Company entered into a Voting and Support Agreement with certain of the PIPE Investors owning 204,148,825 shares of Lucid Series D preferred stock and 113,877,589 shares of Lucid Series E preferred stock as of the date of such agreement. Pursuant to the Voting and Support Agreement, such PIPE Investors agreed to vote all of such shares in favor of the adoption and approval of the Merger Agreement and related matters, agreements and transactions as specified in the Voting and Support Agreement, and in opposition to any Acquisition Transaction (as defined in the Merger Agreement) and any and all other proposals that could reasonably be expected to delay, impair, prevent, interfere with, postpone or impede the consummation of the transactions contemplated by the Merger Agreement as specified in the Voting and Support Agreement. The Voting and Support Agreement will automatically terminate upon the earliest of (i) the effective time, (ii) the date of termination of the Merger Agreement in accordance with its terms prior to the effective time of the transactions, (iii) the mutual written consent of the Company and the applicable PIPE Investors and (iv) the time of any modification, amendment or waiver of the Merger Agreement or any other transaction agreement without certain PIPE Investors’ consent.</w:t>
      </w:r>
    </w:p>
    <w:p>
      <w:pPr>
        <w:spacing w:after="0" w:line="119"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On February 20, 2021, the Company entered into a transactional support agreement with a service provider, pursuant to which the service provider agreed to render certain financial advisory and capital markets advisory services for a potential Business Combination. The Company agreed to pay the service provider a fee of (i) $6,000,000, which is payable upon the consummation of a Business Combination,</w:t>
      </w:r>
    </w:p>
    <w:p>
      <w:pPr>
        <w:spacing w:after="0" w:line="2" w:lineRule="exact"/>
        <w:rPr>
          <w:sz w:val="20"/>
          <w:szCs w:val="20"/>
          <w:color w:val="auto"/>
        </w:rPr>
      </w:pPr>
    </w:p>
    <w:p>
      <w:pPr>
        <w:ind w:left="1260" w:right="519"/>
        <w:spacing w:after="0" w:line="255" w:lineRule="auto"/>
        <w:tabs>
          <w:tab w:leader="none" w:pos="154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$500,000, which is payable upon consummation of the financing and (iii) out-of-pocket expenses not to exceed $125,000 without prior approval. The fee will not be payable in the event the Company does not consummate a Business Combination.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4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Pursuant to a registration rights agreement entered into on July 29, 2020, 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requiring the Company to register such securities for resale (in the case of the Founder Shares, only after conversion to Class A common stock). The holders of</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89" w:name="page290"/>
    <w:bookmarkEnd w:id="289"/>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44"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The underwriters are entitled to a deferred fee of $0.35 per Unit, or $72,450,000 in the aggregate. The deferred fee will be waived by the underwriters in the event that the Company does not complete a Business Combination, subject to the terms of the underwriting agreement. The underwriters waived the upfront underwriting discount on 19,982,000 Units, resulting in a reduction of the upfront underwriting discount of $3,996,400. In addition, the underwriters reimbursed the Company an aggregate of $1,000,000 for costs incurred in connection with the Initial Public Offering.</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Legal Fees</w:t>
      </w:r>
    </w:p>
    <w:p>
      <w:pPr>
        <w:spacing w:after="0" w:line="158"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As of June 30, 2021, the Company incurred legal fees of $6,487,154. These fees were paid on July 23, 2021 at consummation of Business Combination.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Due Diligence Fees</w:t>
      </w:r>
    </w:p>
    <w:p>
      <w:pPr>
        <w:spacing w:after="0" w:line="158"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As of June 30, 2021, the company incurred due diligence fees of $1,499,780. These fees were paid on July 23, 2021 at consummation of Business Combination.</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STOCKHOLDERS’ EQUITY</w:t>
      </w:r>
    </w:p>
    <w:p>
      <w:pPr>
        <w:spacing w:after="0" w:line="148" w:lineRule="exact"/>
        <w:rPr>
          <w:sz w:val="20"/>
          <w:szCs w:val="20"/>
          <w:color w:val="auto"/>
        </w:rPr>
      </w:pPr>
    </w:p>
    <w:p>
      <w:pPr>
        <w:ind w:left="1260" w:right="559" w:firstLine="360"/>
        <w:spacing w:after="0" w:line="262"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color w:val="auto"/>
        </w:rPr>
        <w:t>— The Company is authorized to issue 1,000,000 shares of preferred stock with a par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of $0.0001 per share with such designations, voting and other rights and preferences as may be determined from time to time by the Company’s board of directors. As of June 30, 2021 and December 31, 2020, there were no shares of preferred stock issued or outstanding.</w:t>
      </w:r>
    </w:p>
    <w:p>
      <w:pPr>
        <w:spacing w:after="0" w:line="105"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b w:val="1"/>
          <w:bCs w:val="1"/>
          <w:i w:val="1"/>
          <w:iCs w:val="1"/>
          <w:color w:val="auto"/>
        </w:rPr>
        <w:t xml:space="preserve">Class A Common Stock </w:t>
      </w:r>
      <w:r>
        <w:rPr>
          <w:rFonts w:ascii="Arial" w:cs="Arial" w:eastAsia="Arial" w:hAnsi="Arial"/>
          <w:sz w:val="17"/>
          <w:szCs w:val="17"/>
          <w:color w:val="auto"/>
        </w:rPr>
        <w:t>— The Company is authorized to issue 400,000,000 shares of Class A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with a par value of $ 0.0001 per share. Holders of Class A common stock are entitled to one vote for each share. As of June 30, 2021, there were no shares of Class A common stock issued and outstanding, excluding 207,000,000 shares of Class A common stock subject to possible redemption. As of December 31, 2020, there were 21,656,223 shares of Class A common stock issued and outstanding, excluding 185,343,777 shares of Class A common stock subject to possible redemption.</w:t>
      </w:r>
    </w:p>
    <w:p>
      <w:pPr>
        <w:spacing w:after="0" w:line="10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The Company determined the common stock subject to redemption to be equal to the redemption value of approximately $10.00 per share of common stock while also taking into consideration a redemption cannot result in net tangible assets being less than $5,000,001. Upon considering the impact of the PIPE Investment and associated PIPE Subscription Agreements, it was concluded that the redemption value should include all the Public Shares resulting in the common stock subject to possible redemption being equal to $2,070,000,000. This resulted in a measurement adjustment to the initial carrying value of the common stock subject to redemption with the offset recorded to additional paid-in capital and accumulated deficit.</w:t>
      </w:r>
    </w:p>
    <w:p>
      <w:pPr>
        <w:spacing w:after="0" w:line="113"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100,000,000 shares of Class B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with a par value of $ 0.0001 per share. Holders of Class B common stock are entitled to one vote for each share. As of June 30, 2021 and December 31, 2020, there were 51,750,000 shares of Class B common stock issued and outstanding.</w:t>
      </w:r>
    </w:p>
    <w:p>
      <w:pPr>
        <w:spacing w:after="0" w:line="120"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96" w:lineRule="exact"/>
        <w:rPr>
          <w:sz w:val="20"/>
          <w:szCs w:val="20"/>
          <w:color w:val="auto"/>
        </w:rPr>
      </w:pPr>
    </w:p>
    <w:p>
      <w:pPr>
        <w:ind w:left="1260" w:right="599" w:firstLine="360"/>
        <w:spacing w:after="0" w:line="291"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w:t>
      </w:r>
    </w:p>
    <w:p>
      <w:pPr>
        <w:spacing w:after="0" w:line="32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90" w:name="page291"/>
    <w:bookmarkEnd w:id="290"/>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WARRANT LIABILITY</w:t>
      </w:r>
    </w:p>
    <w:p>
      <w:pPr>
        <w:spacing w:after="0" w:line="148"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The Public Warrants may only be exercised for a whole number of shares. No fractional warrants will be issued upon separation of the Units and only whole warrants will trade.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2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124"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Once the Public Warrants become exercisable, the Company may redeem the Public Warrants:</w:t>
      </w:r>
    </w:p>
    <w:p>
      <w:pPr>
        <w:spacing w:after="0" w:line="117" w:lineRule="exact"/>
        <w:rPr>
          <w:sz w:val="20"/>
          <w:szCs w:val="20"/>
          <w:color w:val="auto"/>
        </w:rPr>
      </w:pPr>
    </w:p>
    <w:p>
      <w:pPr>
        <w:ind w:left="1800" w:hanging="180"/>
        <w:spacing w:after="0"/>
        <w:tabs>
          <w:tab w:leader="none" w:pos="18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03"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Public Warrant holder; and</w:t>
      </w:r>
    </w:p>
    <w:p>
      <w:pPr>
        <w:spacing w:after="0" w:line="62" w:lineRule="exact"/>
        <w:rPr>
          <w:rFonts w:ascii="Arial" w:cs="Arial" w:eastAsia="Arial" w:hAnsi="Arial"/>
          <w:sz w:val="18"/>
          <w:szCs w:val="18"/>
          <w:color w:val="auto"/>
        </w:rPr>
      </w:pPr>
    </w:p>
    <w:p>
      <w:pPr>
        <w:ind w:left="1800" w:right="459" w:hanging="180"/>
        <w:spacing w:after="0" w:line="286" w:lineRule="auto"/>
        <w:tabs>
          <w:tab w:leader="none" w:pos="18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Public Warrant holders.</w:t>
      </w:r>
    </w:p>
    <w:p>
      <w:pPr>
        <w:spacing w:after="0" w:line="98" w:lineRule="exact"/>
        <w:rPr>
          <w:sz w:val="20"/>
          <w:szCs w:val="20"/>
          <w:color w:val="auto"/>
        </w:rPr>
      </w:pPr>
    </w:p>
    <w:p>
      <w:pPr>
        <w:ind w:left="1260" w:right="1079" w:firstLine="360"/>
        <w:spacing w:after="0" w:line="248"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3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91" w:name="page292"/>
    <w:bookmarkEnd w:id="291"/>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1260" w:firstLine="360"/>
        <w:spacing w:after="0" w:line="236"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Public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 If the Company is unable to complete a Business Combination within the Combination Window and the Company liquidates the funds held in the Trust Account, holders of the Public Warrants will not receive any of such funds with respect to their Public Warrants, nor will they receive any distribution from the Company’s assets held outside of the Trust Account with the respect to such Public Warrants. Accordingly, the warrants may expire worthless.</w:t>
      </w:r>
    </w:p>
    <w:p>
      <w:pPr>
        <w:spacing w:after="0" w:line="100" w:lineRule="exact"/>
        <w:rPr>
          <w:sz w:val="20"/>
          <w:szCs w:val="20"/>
          <w:color w:val="auto"/>
        </w:rPr>
      </w:pPr>
    </w:p>
    <w:p>
      <w:pPr>
        <w:ind w:left="1260" w:right="1420" w:firstLine="360"/>
        <w:spacing w:after="0" w:line="224"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FAIR VALUE MEASUREMENTS</w:t>
      </w:r>
    </w:p>
    <w:p>
      <w:pPr>
        <w:spacing w:after="0" w:line="148" w:lineRule="exact"/>
        <w:rPr>
          <w:sz w:val="20"/>
          <w:szCs w:val="20"/>
          <w:color w:val="auto"/>
        </w:rPr>
      </w:pPr>
    </w:p>
    <w:p>
      <w:pPr>
        <w:ind w:left="1260" w:right="1340" w:firstLine="360"/>
        <w:spacing w:after="0" w:line="235"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07" w:lineRule="exact"/>
        <w:rPr>
          <w:sz w:val="20"/>
          <w:szCs w:val="20"/>
          <w:color w:val="auto"/>
        </w:rPr>
      </w:pPr>
    </w:p>
    <w:p>
      <w:pPr>
        <w:ind w:left="1260" w:right="1460" w:firstLine="360"/>
        <w:spacing w:after="0" w:line="238"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10" w:lineRule="exact"/>
        <w:rPr>
          <w:sz w:val="20"/>
          <w:szCs w:val="20"/>
          <w:color w:val="auto"/>
        </w:rPr>
      </w:pPr>
    </w:p>
    <w:p>
      <w:pPr>
        <w:ind w:left="2360" w:right="1660" w:hanging="737"/>
        <w:spacing w:after="0" w:line="286" w:lineRule="auto"/>
        <w:rPr>
          <w:sz w:val="20"/>
          <w:szCs w:val="20"/>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84" w:lineRule="exact"/>
        <w:rPr>
          <w:sz w:val="20"/>
          <w:szCs w:val="20"/>
          <w:color w:val="auto"/>
        </w:rPr>
      </w:pPr>
    </w:p>
    <w:p>
      <w:pPr>
        <w:ind w:left="2360" w:right="1440" w:hanging="737"/>
        <w:spacing w:after="0" w:line="263"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03" w:lineRule="exact"/>
        <w:rPr>
          <w:sz w:val="20"/>
          <w:szCs w:val="20"/>
          <w:color w:val="auto"/>
        </w:rPr>
      </w:pPr>
    </w:p>
    <w:p>
      <w:pPr>
        <w:ind w:left="2360" w:right="1620" w:hanging="737"/>
        <w:spacing w:after="0" w:line="277" w:lineRule="auto"/>
        <w:rPr>
          <w:sz w:val="20"/>
          <w:szCs w:val="20"/>
          <w:color w:val="auto"/>
        </w:rPr>
      </w:pPr>
      <w:r>
        <w:rPr>
          <w:rFonts w:ascii="Arial" w:cs="Arial" w:eastAsia="Arial" w:hAnsi="Arial"/>
          <w:sz w:val="18"/>
          <w:szCs w:val="18"/>
          <w:color w:val="auto"/>
        </w:rPr>
        <w:t>Level 3: Unobservable inputs based on our assessment of the assumptions that market participants would use in pricing the asset or liability.</w:t>
      </w:r>
    </w:p>
    <w:p>
      <w:pPr>
        <w:spacing w:after="0" w:line="89" w:lineRule="exact"/>
        <w:rPr>
          <w:sz w:val="20"/>
          <w:szCs w:val="20"/>
          <w:color w:val="auto"/>
        </w:rPr>
      </w:pPr>
    </w:p>
    <w:p>
      <w:pPr>
        <w:ind w:left="1260" w:right="1420" w:firstLine="360"/>
        <w:spacing w:after="0" w:line="248"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June 30, 2021 and December 31, 2020 and indicates the fair value hierarchy of the valuation inputs the Company utilized to determine such fair value: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gridSpan w:val="2"/>
          </w:tcPr>
          <w:p>
            <w:pPr>
              <w:ind w:left="1620"/>
              <w:spacing w:after="0"/>
              <w:rPr>
                <w:sz w:val="20"/>
                <w:szCs w:val="20"/>
                <w:color w:val="auto"/>
              </w:rPr>
            </w:pPr>
            <w:r>
              <w:rPr>
                <w:rFonts w:ascii="Arial" w:cs="Arial" w:eastAsia="Arial" w:hAnsi="Arial"/>
                <w:sz w:val="14"/>
                <w:szCs w:val="14"/>
                <w:b w:val="1"/>
                <w:bCs w:val="1"/>
                <w:color w:val="auto"/>
              </w:rPr>
              <w:t>Description</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w:t>
            </w: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88"/>
              </w:rPr>
              <w:t>December 31, 2020</w:t>
            </w:r>
          </w:p>
        </w:tc>
        <w:tc>
          <w:tcPr>
            <w:tcW w:w="1620" w:type="dxa"/>
            <w:vAlign w:val="bottom"/>
          </w:tcPr>
          <w:p>
            <w:pPr>
              <w:spacing w:after="0"/>
              <w:rPr>
                <w:sz w:val="16"/>
                <w:szCs w:val="16"/>
                <w:color w:val="auto"/>
              </w:rPr>
            </w:pPr>
          </w:p>
        </w:tc>
      </w:tr>
      <w:tr>
        <w:trPr>
          <w:trHeight w:val="25"/>
        </w:trPr>
        <w:tc>
          <w:tcPr>
            <w:tcW w:w="51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Pr>
          <w:p>
            <w:pPr>
              <w:spacing w:after="0"/>
              <w:rPr>
                <w:sz w:val="21"/>
                <w:szCs w:val="21"/>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6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620" w:type="dxa"/>
            <w:vAlign w:val="bottom"/>
          </w:tcPr>
          <w:p>
            <w:pPr>
              <w:spacing w:after="0"/>
              <w:rPr>
                <w:sz w:val="21"/>
                <w:szCs w:val="21"/>
                <w:color w:val="auto"/>
              </w:rPr>
            </w:pPr>
          </w:p>
        </w:tc>
      </w:tr>
      <w:tr>
        <w:trPr>
          <w:trHeight w:val="257"/>
        </w:trPr>
        <w:tc>
          <w:tcPr>
            <w:tcW w:w="5120" w:type="dxa"/>
            <w:vAlign w:val="bottom"/>
            <w:gridSpan w:val="2"/>
          </w:tcPr>
          <w:p>
            <w:pPr>
              <w:ind w:left="1620"/>
              <w:spacing w:after="0"/>
              <w:rPr>
                <w:sz w:val="20"/>
                <w:szCs w:val="20"/>
                <w:color w:val="auto"/>
              </w:rPr>
            </w:pPr>
            <w:r>
              <w:rPr>
                <w:rFonts w:ascii="Arial" w:cs="Arial" w:eastAsia="Arial" w:hAnsi="Arial"/>
                <w:sz w:val="18"/>
                <w:szCs w:val="18"/>
                <w:color w:val="auto"/>
              </w:rPr>
              <w:t>Marketable securities held in Trust Account</w:t>
            </w:r>
          </w:p>
        </w:tc>
        <w:tc>
          <w:tcPr>
            <w:tcW w:w="1240" w:type="dxa"/>
            <w:vAlign w:val="bottom"/>
            <w:gridSpan w:val="3"/>
          </w:tcPr>
          <w:p>
            <w:pPr>
              <w:jc w:val="center"/>
              <w:ind w:left="810"/>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89"/>
              </w:rPr>
              <w:t>$2,070,290,785</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89"/>
              </w:rPr>
              <w:t>$2,070,086,006</w:t>
            </w:r>
          </w:p>
        </w:tc>
        <w:tc>
          <w:tcPr>
            <w:tcW w:w="1620" w:type="dxa"/>
            <w:vAlign w:val="bottom"/>
          </w:tcPr>
          <w:p>
            <w:pPr>
              <w:spacing w:after="0"/>
              <w:rPr>
                <w:sz w:val="22"/>
                <w:szCs w:val="22"/>
                <w:color w:val="auto"/>
              </w:rPr>
            </w:pPr>
          </w:p>
        </w:tc>
      </w:tr>
      <w:tr>
        <w:trPr>
          <w:trHeight w:val="256"/>
        </w:trPr>
        <w:tc>
          <w:tcPr>
            <w:tcW w:w="1620" w:type="dxa"/>
            <w:vAlign w:val="bottom"/>
          </w:tcPr>
          <w:p>
            <w:pPr>
              <w:spacing w:after="0"/>
              <w:rPr>
                <w:sz w:val="22"/>
                <w:szCs w:val="2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620" w:type="dxa"/>
            <w:vAlign w:val="bottom"/>
          </w:tcPr>
          <w:p>
            <w:pPr>
              <w:spacing w:after="0"/>
              <w:rPr>
                <w:sz w:val="22"/>
                <w:szCs w:val="22"/>
                <w:color w:val="auto"/>
              </w:rPr>
            </w:pPr>
          </w:p>
        </w:tc>
      </w:tr>
      <w:tr>
        <w:trPr>
          <w:trHeight w:val="257"/>
        </w:trPr>
        <w:tc>
          <w:tcPr>
            <w:tcW w:w="5120" w:type="dxa"/>
            <w:vAlign w:val="bottom"/>
            <w:gridSpan w:val="2"/>
          </w:tcPr>
          <w:p>
            <w:pPr>
              <w:ind w:left="1620"/>
              <w:spacing w:after="0"/>
              <w:rPr>
                <w:sz w:val="20"/>
                <w:szCs w:val="20"/>
                <w:color w:val="auto"/>
              </w:rPr>
            </w:pPr>
            <w:r>
              <w:rPr>
                <w:rFonts w:ascii="Arial" w:cs="Arial" w:eastAsia="Arial" w:hAnsi="Arial"/>
                <w:sz w:val="18"/>
                <w:szCs w:val="18"/>
                <w:color w:val="auto"/>
              </w:rPr>
              <w:t>Warrant liability – Public Warrants</w:t>
            </w:r>
          </w:p>
        </w:tc>
        <w:tc>
          <w:tcPr>
            <w:tcW w:w="1240" w:type="dxa"/>
            <w:vAlign w:val="bottom"/>
            <w:gridSpan w:val="3"/>
          </w:tcPr>
          <w:p>
            <w:pPr>
              <w:jc w:val="center"/>
              <w:ind w:left="810"/>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658,260,000</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62,928,000</w:t>
            </w:r>
          </w:p>
        </w:tc>
        <w:tc>
          <w:tcPr>
            <w:tcW w:w="1620" w:type="dxa"/>
            <w:vAlign w:val="bottom"/>
          </w:tcPr>
          <w:p>
            <w:pPr>
              <w:spacing w:after="0"/>
              <w:rPr>
                <w:sz w:val="22"/>
                <w:szCs w:val="22"/>
                <w:color w:val="auto"/>
              </w:rPr>
            </w:pPr>
          </w:p>
        </w:tc>
      </w:tr>
      <w:tr>
        <w:trPr>
          <w:trHeight w:val="256"/>
        </w:trPr>
        <w:tc>
          <w:tcPr>
            <w:tcW w:w="1620" w:type="dxa"/>
            <w:vAlign w:val="bottom"/>
          </w:tcPr>
          <w:p>
            <w:pPr>
              <w:spacing w:after="0"/>
              <w:rPr>
                <w:sz w:val="22"/>
                <w:szCs w:val="2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4"/>
              </w:rPr>
              <w:t>Warrant liability – Private Placement Warrants</w:t>
            </w:r>
          </w:p>
        </w:tc>
        <w:tc>
          <w:tcPr>
            <w:tcW w:w="1240" w:type="dxa"/>
            <w:vAlign w:val="bottom"/>
            <w:gridSpan w:val="3"/>
            <w:shd w:val="clear" w:color="auto" w:fill="CCEEFF"/>
          </w:tcPr>
          <w:p>
            <w:pPr>
              <w:jc w:val="center"/>
              <w:ind w:left="810"/>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910,991,000</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79,272,500</w:t>
            </w:r>
          </w:p>
        </w:tc>
        <w:tc>
          <w:tcPr>
            <w:tcW w:w="1620" w:type="dxa"/>
            <w:vAlign w:val="bottom"/>
          </w:tcPr>
          <w:p>
            <w:pPr>
              <w:spacing w:after="0"/>
              <w:rPr>
                <w:sz w:val="22"/>
                <w:szCs w:val="22"/>
                <w:color w:val="auto"/>
              </w:rPr>
            </w:pPr>
          </w:p>
        </w:tc>
      </w:tr>
      <w:tr>
        <w:trPr>
          <w:trHeight w:val="297"/>
        </w:trPr>
        <w:tc>
          <w:tcPr>
            <w:tcW w:w="5120" w:type="dxa"/>
            <w:vAlign w:val="bottom"/>
            <w:gridSpan w:val="2"/>
          </w:tcPr>
          <w:p>
            <w:pPr>
              <w:ind w:left="1620"/>
              <w:spacing w:after="0"/>
              <w:rPr>
                <w:sz w:val="20"/>
                <w:szCs w:val="20"/>
                <w:color w:val="auto"/>
              </w:rPr>
            </w:pPr>
            <w:r>
              <w:rPr>
                <w:rFonts w:ascii="Arial" w:cs="Arial" w:eastAsia="Arial" w:hAnsi="Arial"/>
                <w:sz w:val="18"/>
                <w:szCs w:val="18"/>
                <w:color w:val="auto"/>
              </w:rPr>
              <w:t>Conversion option liability</w:t>
            </w:r>
          </w:p>
        </w:tc>
        <w:tc>
          <w:tcPr>
            <w:tcW w:w="1240" w:type="dxa"/>
            <w:vAlign w:val="bottom"/>
            <w:gridSpan w:val="3"/>
          </w:tcPr>
          <w:p>
            <w:pPr>
              <w:jc w:val="center"/>
              <w:ind w:left="81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30,394,794</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4"/>
                <w:szCs w:val="24"/>
                <w:color w:val="auto"/>
              </w:rPr>
            </w:pPr>
          </w:p>
        </w:tc>
      </w:tr>
      <w:tr>
        <w:trPr>
          <w:trHeight w:val="594"/>
        </w:trPr>
        <w:tc>
          <w:tcPr>
            <w:tcW w:w="16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rPr>
              <w:t>F-109</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-1653540</wp:posOffset>
            </wp:positionV>
            <wp:extent cx="13716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-1653540</wp:posOffset>
            </wp:positionV>
            <wp:extent cx="13716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-1653540</wp:posOffset>
            </wp:positionV>
            <wp:extent cx="13716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92" w:name="page293"/>
    <w:bookmarkEnd w:id="292"/>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The derivative instruments were accounted for as liabilities in accordance with ASC 815-40 and are measured at fair value at inception and on a recurring basis, with changes in fair value recorded in the condensed consolidated statements of operations.</w:t>
      </w:r>
    </w:p>
    <w:p>
      <w:pPr>
        <w:spacing w:after="0" w:line="103"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Private Placement Warrants were valued using a modified Black Scholes model, which is considered to be a Level 3 fair value measurement. Subsequent to the Public Warrants detachment from the Units, the Public Warrants are valued based on quoted market price, under ticker CCIV.WS, which is a Level 1 fair value.</w:t>
      </w:r>
    </w:p>
    <w:p>
      <w:pPr>
        <w:spacing w:after="0" w:line="11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As of June 30, 2021, March 31, 2021 and December 31, 2020, the estimated fair value of the Private Placement Warrants was determined using a Black-Scholes valuation and based on the following significant inputs: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March 31,</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31,</w:t>
            </w:r>
          </w:p>
        </w:tc>
      </w:tr>
      <w:tr>
        <w:trPr>
          <w:trHeight w:val="186"/>
        </w:trPr>
        <w:tc>
          <w:tcPr>
            <w:tcW w:w="44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r>
      <w:tr>
        <w:trPr>
          <w:trHeight w:val="26"/>
        </w:trPr>
        <w:tc>
          <w:tcPr>
            <w:tcW w:w="44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$ 11.50</w:t>
            </w:r>
          </w:p>
        </w:tc>
      </w:tr>
      <w:tr>
        <w:trPr>
          <w:trHeight w:val="257"/>
        </w:trPr>
        <w:tc>
          <w:tcPr>
            <w:tcW w:w="4420" w:type="dxa"/>
            <w:vAlign w:val="bottom"/>
          </w:tcPr>
          <w:p>
            <w:pPr>
              <w:spacing w:after="0"/>
              <w:rPr>
                <w:sz w:val="20"/>
                <w:szCs w:val="20"/>
                <w:color w:val="auto"/>
              </w:rPr>
            </w:pPr>
            <w:r>
              <w:rPr>
                <w:rFonts w:ascii="Arial" w:cs="Arial" w:eastAsia="Arial" w:hAnsi="Arial"/>
                <w:sz w:val="18"/>
                <w:szCs w:val="18"/>
                <w:color w:val="auto"/>
              </w:rPr>
              <w:t>Stock price</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$28.82</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$23.18</w:t>
            </w:r>
          </w:p>
        </w:tc>
        <w:tc>
          <w:tcPr>
            <w:tcW w:w="220" w:type="dxa"/>
            <w:vAlign w:val="bottom"/>
          </w:tcPr>
          <w:p>
            <w:pPr>
              <w:spacing w:after="0"/>
              <w:rPr>
                <w:sz w:val="22"/>
                <w:szCs w:val="22"/>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$10.01</w:t>
            </w:r>
          </w:p>
        </w:tc>
      </w:tr>
      <w:tr>
        <w:trPr>
          <w:trHeight w:val="25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76.52%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57"/>
        </w:trPr>
        <w:tc>
          <w:tcPr>
            <w:tcW w:w="4420" w:type="dxa"/>
            <w:vAlign w:val="bottom"/>
          </w:tcPr>
          <w:p>
            <w:pPr>
              <w:spacing w:after="0"/>
              <w:rPr>
                <w:sz w:val="20"/>
                <w:szCs w:val="20"/>
                <w:color w:val="auto"/>
              </w:rPr>
            </w:pPr>
            <w:r>
              <w:rPr>
                <w:rFonts w:ascii="Arial" w:cs="Arial" w:eastAsia="Arial" w:hAnsi="Arial"/>
                <w:sz w:val="18"/>
                <w:szCs w:val="18"/>
                <w:color w:val="auto"/>
              </w:rPr>
              <w:t>Probability of completing a Business Combination</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95%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5.33</w:t>
            </w:r>
          </w:p>
        </w:tc>
      </w:tr>
      <w:tr>
        <w:trPr>
          <w:trHeight w:val="270"/>
        </w:trPr>
        <w:tc>
          <w:tcPr>
            <w:tcW w:w="4420" w:type="dxa"/>
            <w:vAlign w:val="bottom"/>
          </w:tcPr>
          <w:p>
            <w:pPr>
              <w:spacing w:after="0"/>
              <w:rPr>
                <w:sz w:val="20"/>
                <w:szCs w:val="20"/>
                <w:color w:val="auto"/>
              </w:rPr>
            </w:pPr>
            <w:r>
              <w:rPr>
                <w:rFonts w:ascii="Arial" w:cs="Arial" w:eastAsia="Arial" w:hAnsi="Arial"/>
                <w:sz w:val="18"/>
                <w:szCs w:val="18"/>
                <w:color w:val="auto"/>
              </w:rPr>
              <w:t>Risk-free rate</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0.88%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0.97%</w:t>
            </w:r>
          </w:p>
        </w:tc>
        <w:tc>
          <w:tcPr>
            <w:tcW w:w="84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7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-1173480</wp:posOffset>
            </wp:positionV>
            <wp:extent cx="420878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presents the changes in the fair value of the Level 3 warrant liabilities: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Private</w:t>
            </w:r>
          </w:p>
        </w:tc>
      </w:tr>
      <w:tr>
        <w:trPr>
          <w:trHeight w:val="162"/>
        </w:trPr>
        <w:tc>
          <w:tcPr>
            <w:tcW w:w="6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Placement</w:t>
            </w:r>
          </w:p>
        </w:tc>
      </w:tr>
      <w:tr>
        <w:trPr>
          <w:trHeight w:val="186"/>
        </w:trPr>
        <w:tc>
          <w:tcPr>
            <w:tcW w:w="64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w:t>
            </w:r>
          </w:p>
        </w:tc>
      </w:tr>
      <w:tr>
        <w:trPr>
          <w:trHeight w:val="25"/>
        </w:trPr>
        <w:tc>
          <w:tcPr>
            <w:tcW w:w="64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January 1, 2021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$ 79,272,500</w:t>
            </w:r>
          </w:p>
        </w:tc>
      </w:tr>
      <w:tr>
        <w:trPr>
          <w:trHeight w:val="264"/>
        </w:trPr>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454,210,000</w:t>
            </w:r>
          </w:p>
        </w:tc>
      </w:tr>
      <w:tr>
        <w:trPr>
          <w:trHeight w:val="25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533,482,500</w:t>
            </w:r>
          </w:p>
        </w:tc>
      </w:tr>
      <w:tr>
        <w:trPr>
          <w:trHeight w:val="264"/>
        </w:trPr>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377,508,500</w:t>
            </w:r>
          </w:p>
        </w:tc>
      </w:tr>
      <w:tr>
        <w:trPr>
          <w:trHeight w:val="295"/>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June 30, 2021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910,991,000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1148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411480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1148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411480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-899795</wp:posOffset>
            </wp:positionV>
            <wp:extent cx="410591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SUBSEQUENT EVENTS</w:t>
      </w:r>
    </w:p>
    <w:p>
      <w:pPr>
        <w:spacing w:after="0" w:line="148"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The Company’s management has evaluated subsequent events and transactions that occurred after the balance sheet date up to the date that the condensed consolidated financial statements were issued. Based upon this review, except as described below, the Company did not identify any subsequent events that would have required adjustment or disclosure in the condensed consolidated financial statements.</w:t>
      </w:r>
    </w:p>
    <w:p>
      <w:pPr>
        <w:spacing w:after="0" w:line="104"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On July 23, 2021, the Company and Lucid consummated the closing of the transactions contemplated by the Merger Agreements (see Note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93" w:name="page294"/>
    <w:bookmarkEnd w:id="293"/>
    <w:p>
      <w:pPr>
        <w:spacing w:after="0"/>
        <w:rPr>
          <w:rFonts w:ascii="Arial" w:cs="Arial" w:eastAsia="Arial" w:hAnsi="Arial"/>
          <w:sz w:val="14"/>
          <w:szCs w:val="14"/>
          <w:color w:val="003366"/>
        </w:rPr>
      </w:pPr>
      <w:hyperlink w:anchor="page18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305435</wp:posOffset>
            </wp:positionV>
            <wp:extent cx="5212080" cy="2603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8081010</wp:posOffset>
            </wp:positionV>
            <wp:extent cx="521208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8123555</wp:posOffset>
            </wp:positionV>
            <wp:extent cx="5212080" cy="260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8385175</wp:posOffset>
            </wp:positionV>
            <wp:extent cx="6831965" cy="425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4103370</wp:posOffset>
            </wp:positionV>
            <wp:extent cx="3557270" cy="20574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3557270" cy="205740"/>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1)"/>
      <w:numFmt w:val="lowerLetter"/>
      <w:start w:val="1"/>
    </w:lvl>
  </w:abstractNum>
  <w:abstractNum w:abstractNumId="3">
    <w:nsid w:val="5F5E7FD0"/>
    <w:multiLevelType w:val="hybridMultilevel"/>
    <w:lvl w:ilvl="0">
      <w:lvlJc w:val="left"/>
      <w:lvlText w:val="(%1)"/>
      <w:numFmt w:val="lowerRoman"/>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1)"/>
      <w:numFmt w:val="lowerLetter"/>
      <w:start w:val="9"/>
    </w:lvl>
  </w:abstractNum>
  <w:abstractNum w:abstractNumId="22">
    <w:nsid w:val="3B0FD379"/>
    <w:multiLevelType w:val="hybridMultilevel"/>
    <w:lvl w:ilvl="0">
      <w:lvlJc w:val="left"/>
      <w:lvlText w:val="(%1)"/>
      <w:numFmt w:val="lowerLetter"/>
      <w:start w:val="2"/>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1)"/>
      <w:numFmt w:val="decimal"/>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1)"/>
      <w:numFmt w:val="decimal"/>
      <w:start w:val="1"/>
    </w:lvl>
  </w:abstractNum>
  <w:abstractNum w:abstractNumId="39">
    <w:nsid w:val="1716703B"/>
    <w:multiLevelType w:val="hybridMultilevel"/>
    <w:lvl w:ilvl="0">
      <w:lvlJc w:val="left"/>
      <w:lvlText w:val="%1."/>
      <w:numFmt w:val="decimal"/>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1."/>
      <w:numFmt w:val="decimal"/>
      <w:start w:val="2"/>
    </w:lvl>
  </w:abstractNum>
  <w:abstractNum w:abstractNumId="42">
    <w:nsid w:val="74DE0EE3"/>
    <w:multiLevelType w:val="hybridMultilevel"/>
    <w:lvl w:ilvl="0">
      <w:lvlJc w:val="left"/>
      <w:lvlText w:val="(%1)"/>
      <w:numFmt w:val="upperLetter"/>
      <w:start w:val="1"/>
    </w:lvl>
  </w:abstractNum>
  <w:abstractNum w:abstractNumId="43">
    <w:nsid w:val="68EBC550"/>
    <w:multiLevelType w:val="hybridMultilevel"/>
    <w:lvl w:ilvl="0">
      <w:lvlJc w:val="left"/>
      <w:lvlText w:val="(%1)"/>
      <w:numFmt w:val="upperLetter"/>
      <w:start w:val="27"/>
    </w:lvl>
  </w:abstractNum>
  <w:abstractNum w:abstractNumId="44">
    <w:nsid w:val="2DF6D648"/>
    <w:multiLevelType w:val="hybridMultilevel"/>
    <w:lvl w:ilvl="0">
      <w:lvlJc w:val="left"/>
      <w:lvlText w:val="(%1)"/>
      <w:numFmt w:val="upperLetter"/>
      <w:start w:val="27"/>
    </w:lvl>
  </w:abstractNum>
  <w:abstractNum w:abstractNumId="45">
    <w:nsid w:val="46B7D447"/>
    <w:multiLevelType w:val="hybridMultilevel"/>
    <w:lvl w:ilvl="0">
      <w:lvlJc w:val="left"/>
      <w:lvlText w:val="%1"/>
      <w:numFmt w:val="decimal"/>
      <w:start w:val="1"/>
    </w:lvl>
    <w:lvl w:ilvl="1">
      <w:lvlJc w:val="left"/>
      <w:lvlText w:val="(%2)"/>
      <w:numFmt w:val="upperLetter"/>
      <w:start w:val="30"/>
    </w:lvl>
  </w:abstractNum>
  <w:abstractNum w:abstractNumId="46">
    <w:nsid w:val="4A2AC315"/>
    <w:multiLevelType w:val="hybridMultilevel"/>
    <w:lvl w:ilvl="0">
      <w:lvlJc w:val="left"/>
      <w:lvlText w:val="%1."/>
      <w:numFmt w:val="decimal"/>
      <w:start w:val="3"/>
    </w:lvl>
    <w:lvl w:ilvl="1">
      <w:lvlJc w:val="left"/>
      <w:lvlText w:val="%2"/>
      <w:numFmt w:val="upperLetter"/>
      <w:start w:val="1"/>
    </w:lvl>
  </w:abstractNum>
  <w:abstractNum w:abstractNumId="47">
    <w:nsid w:val="39EE015C"/>
    <w:multiLevelType w:val="hybridMultilevel"/>
    <w:lvl w:ilvl="0">
      <w:lvlJc w:val="left"/>
      <w:lvlText w:val="%1."/>
      <w:numFmt w:val="decimal"/>
      <w:start w:val="4"/>
    </w:lvl>
  </w:abstractNum>
  <w:abstractNum w:abstractNumId="48">
    <w:nsid w:val="57FC4FBB"/>
    <w:multiLevelType w:val="hybridMultilevel"/>
    <w:lvl w:ilvl="0">
      <w:lvlJc w:val="left"/>
      <w:lvlText w:val="(%1)"/>
      <w:numFmt w:val="decimal"/>
      <w:start w:val="1"/>
    </w:lvl>
  </w:abstractNum>
  <w:abstractNum w:abstractNumId="49">
    <w:nsid w:val="CC1016F"/>
    <w:multiLevelType w:val="hybridMultilevel"/>
    <w:lvl w:ilvl="0">
      <w:lvlJc w:val="left"/>
      <w:lvlText w:val="(%1)"/>
      <w:numFmt w:val="decimal"/>
      <w:start w:val="1"/>
    </w:lvl>
  </w:abstractNum>
  <w:abstractNum w:abstractNumId="50">
    <w:nsid w:val="43F18422"/>
    <w:multiLevelType w:val="hybridMultilevel"/>
    <w:lvl w:ilvl="0">
      <w:lvlJc w:val="left"/>
      <w:lvlText w:val="(%1)"/>
      <w:numFmt w:val="lowerRoman"/>
      <w:start w:val="2"/>
    </w:lvl>
  </w:abstractNum>
  <w:abstractNum w:abstractNumId="51">
    <w:nsid w:val="60EF0119"/>
    <w:multiLevelType w:val="hybridMultilevel"/>
    <w:lvl w:ilvl="0">
      <w:lvlJc w:val="left"/>
      <w:lvlText w:val="(%1)"/>
      <w:numFmt w:val="decimal"/>
      <w:start w:val="1"/>
    </w:lvl>
  </w:abstractNum>
  <w:abstractNum w:abstractNumId="52">
    <w:nsid w:val="26F324BA"/>
    <w:multiLevelType w:val="hybridMultilevel"/>
    <w:lvl w:ilvl="0">
      <w:lvlJc w:val="left"/>
      <w:lvlText w:val="•"/>
      <w:numFmt w:val="bullet"/>
      <w:start w:val="1"/>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1)"/>
      <w:numFmt w:val="lowerLetter"/>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
      <w:numFmt w:val="bullet"/>
      <w:start w:val="1"/>
    </w:lvl>
  </w:abstractNum>
  <w:abstractNum w:abstractNumId="58">
    <w:nsid w:val="488AC1A"/>
    <w:multiLevelType w:val="hybridMultilevel"/>
    <w:lvl w:ilvl="0">
      <w:lvlJc w:val="left"/>
      <w:lvlText w:val="1"/>
      <w:numFmt w:val="bullet"/>
      <w:start w:val="1"/>
    </w:lvl>
  </w:abstractNum>
  <w:abstractNum w:abstractNumId="59">
    <w:nsid w:val="5FB8011C"/>
    <w:multiLevelType w:val="hybridMultilevel"/>
    <w:lvl w:ilvl="0">
      <w:lvlJc w:val="left"/>
      <w:lvlText w:val="•"/>
      <w:numFmt w:val="bullet"/>
      <w:start w:val="1"/>
    </w:lvl>
  </w:abstractNum>
  <w:abstractNum w:abstractNumId="60">
    <w:nsid w:val="6AA78F7F"/>
    <w:multiLevelType w:val="hybridMultilevel"/>
    <w:lvl w:ilvl="0">
      <w:lvlJc w:val="left"/>
      <w:lvlText w:val="(%1)"/>
      <w:numFmt w:val="lowerRoman"/>
      <w:start w:val="2"/>
    </w:lvl>
  </w:abstractNum>
  <w:abstractNum w:abstractNumId="61">
    <w:nsid w:val="7672BD23"/>
    <w:multiLevelType w:val="hybridMultilevel"/>
    <w:lvl w:ilvl="0">
      <w:lvlJc w:val="left"/>
      <w:lvlText w:val="•"/>
      <w:numFmt w:val="bullet"/>
      <w:start w:val="1"/>
    </w:lvl>
  </w:abstractNum>
  <w:abstractNum w:abstractNumId="62">
    <w:nsid w:val="6FC75AF8"/>
    <w:multiLevelType w:val="hybridMultilevel"/>
    <w:lvl w:ilvl="0">
      <w:lvlJc w:val="left"/>
      <w:lvlText w:val="•"/>
      <w:numFmt w:val="bullet"/>
      <w:start w:val="1"/>
    </w:lvl>
  </w:abstractNum>
  <w:abstractNum w:abstractNumId="63">
    <w:nsid w:val="6A5F7029"/>
    <w:multiLevelType w:val="hybridMultilevel"/>
    <w:lvl w:ilvl="0">
      <w:lvlJc w:val="left"/>
      <w:lvlText w:val="(%1)"/>
      <w:numFmt w:val="lowerRoman"/>
      <w:start w:val="1"/>
    </w:lvl>
  </w:abstractNum>
  <w:abstractNum w:abstractNumId="64">
    <w:nsid w:val="7D5E18F8"/>
    <w:multiLevelType w:val="hybridMultilevel"/>
    <w:lvl w:ilvl="0">
      <w:lvlJc w:val="left"/>
      <w:lvlText w:val="•"/>
      <w:numFmt w:val="bullet"/>
      <w:start w:val="1"/>
    </w:lvl>
  </w:abstractNum>
  <w:abstractNum w:abstractNumId="65">
    <w:nsid w:val="5F3534A4"/>
    <w:multiLevelType w:val="hybridMultilevel"/>
    <w:lvl w:ilvl="0">
      <w:lvlJc w:val="left"/>
      <w:lvlText w:val="•"/>
      <w:numFmt w:val="bullet"/>
      <w:start w:val="1"/>
    </w:lvl>
  </w:abstractNum>
  <w:abstractNum w:abstractNumId="66">
    <w:nsid w:val="73A1821B"/>
    <w:multiLevelType w:val="hybridMultilevel"/>
    <w:lvl w:ilvl="0">
      <w:lvlJc w:val="left"/>
      <w:lvlText w:val="•"/>
      <w:numFmt w:val="bullet"/>
      <w:start w:val="1"/>
    </w:lvl>
  </w:abstractNum>
  <w:abstractNum w:abstractNumId="67">
    <w:nsid w:val="7DE67713"/>
    <w:multiLevelType w:val="hybridMultilevel"/>
    <w:lvl w:ilvl="0">
      <w:lvlJc w:val="left"/>
      <w:lvlText w:val="•"/>
      <w:numFmt w:val="bullet"/>
      <w:start w:val="1"/>
    </w:lvl>
  </w:abstractNum>
  <w:abstractNum w:abstractNumId="68">
    <w:nsid w:val="555C55B5"/>
    <w:multiLevelType w:val="hybridMultilevel"/>
    <w:lvl w:ilvl="0">
      <w:lvlJc w:val="left"/>
      <w:lvlText w:val="•"/>
      <w:numFmt w:val="bullet"/>
      <w:start w:val="1"/>
    </w:lvl>
  </w:abstractNum>
  <w:abstractNum w:abstractNumId="69">
    <w:nsid w:val="3FA62ACA"/>
    <w:multiLevelType w:val="hybridMultilevel"/>
    <w:lvl w:ilvl="0">
      <w:lvlJc w:val="left"/>
      <w:lvlText w:val="(%1)"/>
      <w:numFmt w:val="decimal"/>
      <w:start w:val="1"/>
    </w:lvl>
  </w:abstractNum>
  <w:abstractNum w:abstractNumId="70">
    <w:nsid w:val="14FCE74E"/>
    <w:multiLevelType w:val="hybridMultilevel"/>
    <w:lvl w:ilvl="0">
      <w:lvlJc w:val="left"/>
      <w:lvlText w:val="(%1)"/>
      <w:numFmt w:val="decimal"/>
      <w:start w:val="1"/>
    </w:lvl>
  </w:abstractNum>
  <w:abstractNum w:abstractNumId="71">
    <w:nsid w:val="6A3DD3E8"/>
    <w:multiLevelType w:val="hybridMultilevel"/>
    <w:lvl w:ilvl="0">
      <w:lvlJc w:val="left"/>
      <w:lvlText w:val="•"/>
      <w:numFmt w:val="bullet"/>
      <w:start w:val="1"/>
    </w:lvl>
  </w:abstractNum>
  <w:abstractNum w:abstractNumId="72">
    <w:nsid w:val="71C91298"/>
    <w:multiLevelType w:val="hybridMultilevel"/>
    <w:lvl w:ilvl="0">
      <w:lvlJc w:val="left"/>
      <w:lvlText w:val="•"/>
      <w:numFmt w:val="bullet"/>
      <w:start w:val="1"/>
    </w:lvl>
  </w:abstractNum>
  <w:abstractNum w:abstractNumId="73">
    <w:nsid w:val="9DAF632"/>
    <w:multiLevelType w:val="hybridMultilevel"/>
    <w:lvl w:ilvl="0">
      <w:lvlJc w:val="left"/>
      <w:lvlText w:val="•"/>
      <w:numFmt w:val="bullet"/>
      <w:start w:val="1"/>
    </w:lvl>
  </w:abstractNum>
  <w:abstractNum w:abstractNumId="74">
    <w:nsid w:val="53299938"/>
    <w:multiLevelType w:val="hybridMultilevel"/>
    <w:lvl w:ilvl="0">
      <w:lvlJc w:val="left"/>
      <w:lvlText w:val="•"/>
      <w:numFmt w:val="bullet"/>
      <w:start w:val="1"/>
    </w:lvl>
  </w:abstractNum>
  <w:abstractNum w:abstractNumId="75">
    <w:nsid w:val="1FBFE8E0"/>
    <w:multiLevelType w:val="hybridMultilevel"/>
    <w:lvl w:ilvl="0">
      <w:lvlJc w:val="left"/>
      <w:lvlText w:val="(%1)"/>
      <w:numFmt w:val="decimal"/>
      <w:start w:val="1"/>
    </w:lvl>
  </w:abstractNum>
  <w:abstractNum w:abstractNumId="76">
    <w:nsid w:val="5092CA79"/>
    <w:multiLevelType w:val="hybridMultilevel"/>
    <w:lvl w:ilvl="0">
      <w:lvlJc w:val="left"/>
      <w:lvlText w:val="(%1)"/>
      <w:numFmt w:val="decimal"/>
      <w:start w:val="1"/>
    </w:lvl>
    <w:lvl w:ilvl="1">
      <w:lvlJc w:val="left"/>
      <w:lvlText w:val="(%2)"/>
      <w:numFmt w:val="lowerRoman"/>
      <w:start w:val="1"/>
    </w:lvl>
  </w:abstractNum>
  <w:abstractNum w:abstractNumId="77">
    <w:nsid w:val="1D545C4D"/>
    <w:multiLevelType w:val="hybridMultilevel"/>
    <w:lvl w:ilvl="0">
      <w:lvlJc w:val="left"/>
      <w:lvlText w:val="(%1)"/>
      <w:numFmt w:val="lowerLetter"/>
      <w:start w:val="25"/>
    </w:lvl>
  </w:abstractNum>
  <w:abstractNum w:abstractNumId="78">
    <w:nsid w:val="59ADEA3D"/>
    <w:multiLevelType w:val="hybridMultilevel"/>
    <w:lvl w:ilvl="0">
      <w:lvlJc w:val="left"/>
      <w:lvlText w:val="•"/>
      <w:numFmt w:val="bullet"/>
      <w:start w:val="1"/>
    </w:lvl>
  </w:abstractNum>
  <w:abstractNum w:abstractNumId="79">
    <w:nsid w:val="288F1A34"/>
    <w:multiLevelType w:val="hybridMultilevel"/>
    <w:lvl w:ilvl="0">
      <w:lvlJc w:val="left"/>
      <w:lvlText w:val="•"/>
      <w:numFmt w:val="bullet"/>
      <w:start w:val="1"/>
    </w:lvl>
  </w:abstractNum>
  <w:abstractNum w:abstractNumId="80">
    <w:nsid w:val="2A155DBC"/>
    <w:multiLevelType w:val="hybridMultilevel"/>
    <w:lvl w:ilvl="0">
      <w:lvlJc w:val="left"/>
      <w:lvlText w:val="•"/>
      <w:numFmt w:val="bullet"/>
      <w:start w:val="1"/>
    </w:lvl>
  </w:abstractNum>
  <w:abstractNum w:abstractNumId="81">
    <w:nsid w:val="1D9F6E5F"/>
    <w:multiLevelType w:val="hybridMultilevel"/>
    <w:lvl w:ilvl="0">
      <w:lvlJc w:val="left"/>
      <w:lvlText w:val="•"/>
      <w:numFmt w:val="bullet"/>
      <w:start w:val="1"/>
    </w:lvl>
  </w:abstractNum>
  <w:abstractNum w:abstractNumId="82">
    <w:nsid w:val="97E1B4E"/>
    <w:multiLevelType w:val="hybridMultilevel"/>
    <w:lvl w:ilvl="0">
      <w:lvlJc w:val="left"/>
      <w:lvlText w:val="•"/>
      <w:numFmt w:val="bullet"/>
      <w:start w:val="1"/>
    </w:lvl>
  </w:abstractNum>
  <w:abstractNum w:abstractNumId="83">
    <w:nsid w:val="51088277"/>
    <w:multiLevelType w:val="hybridMultilevel"/>
    <w:lvl w:ilvl="0">
      <w:lvlJc w:val="left"/>
      <w:lvlText w:val="*"/>
      <w:numFmt w:val="bullet"/>
      <w:start w:val="1"/>
    </w:lvl>
  </w:abstractNum>
  <w:abstractNum w:abstractNumId="84">
    <w:nsid w:val="1CA0C5FA"/>
    <w:multiLevelType w:val="hybridMultilevel"/>
    <w:lvl w:ilvl="0">
      <w:lvlJc w:val="left"/>
      <w:lvlText w:val="(%1)"/>
      <w:numFmt w:val="decimal"/>
      <w:start w:val="1"/>
    </w:lvl>
  </w:abstractNum>
  <w:abstractNum w:abstractNumId="85">
    <w:nsid w:val="53584BCB"/>
    <w:multiLevelType w:val="hybridMultilevel"/>
    <w:lvl w:ilvl="0">
      <w:lvlJc w:val="left"/>
      <w:lvlText w:val="(%1)"/>
      <w:numFmt w:val="decimal"/>
      <w:start w:val="3"/>
    </w:lvl>
  </w:abstractNum>
  <w:abstractNum w:abstractNumId="86">
    <w:nsid w:val="415E286C"/>
    <w:multiLevelType w:val="hybridMultilevel"/>
    <w:lvl w:ilvl="0">
      <w:lvlJc w:val="left"/>
      <w:lvlText w:val="(%1)"/>
      <w:numFmt w:val="lowerRoman"/>
      <w:start w:val="3"/>
    </w:lvl>
  </w:abstractNum>
  <w:abstractNum w:abstractNumId="87">
    <w:nsid w:val="7C58FD05"/>
    <w:multiLevelType w:val="hybridMultilevel"/>
    <w:lvl w:ilvl="0">
      <w:lvlJc w:val="left"/>
      <w:lvlText w:val="(%1)"/>
      <w:numFmt w:val="decimal"/>
      <w:start w:val="1"/>
    </w:lvl>
    <w:lvl w:ilvl="1">
      <w:lvlJc w:val="left"/>
      <w:lvlText w:val="(%2)"/>
      <w:numFmt w:val="lowerRoman"/>
      <w:start w:val="2"/>
    </w:lvl>
  </w:abstractNum>
  <w:abstractNum w:abstractNumId="88">
    <w:nsid w:val="23D86AAC"/>
    <w:multiLevelType w:val="hybridMultilevel"/>
    <w:lvl w:ilvl="0">
      <w:lvlJc w:val="left"/>
      <w:lvlText w:val="(%1)"/>
      <w:numFmt w:val="decimal"/>
      <w:start w:val="12"/>
    </w:lvl>
  </w:abstractNum>
  <w:abstractNum w:abstractNumId="89">
    <w:nsid w:val="45E6D486"/>
    <w:multiLevelType w:val="hybridMultilevel"/>
    <w:lvl w:ilvl="0">
      <w:lvlJc w:val="left"/>
      <w:lvlText w:val="(%1)"/>
      <w:numFmt w:val="decimal"/>
      <w:start w:val="19"/>
    </w:lvl>
  </w:abstractNum>
  <w:abstractNum w:abstractNumId="90">
    <w:nsid w:val="5C10FE21"/>
    <w:multiLevelType w:val="hybridMultilevel"/>
    <w:lvl w:ilvl="0">
      <w:lvlJc w:val="left"/>
      <w:lvlText w:val="(%1)"/>
      <w:numFmt w:val="decimal"/>
      <w:start w:val="25"/>
    </w:lvl>
  </w:abstractNum>
  <w:abstractNum w:abstractNumId="91">
    <w:nsid w:val="E7FFA2B"/>
    <w:multiLevelType w:val="hybridMultilevel"/>
    <w:lvl w:ilvl="0">
      <w:lvlJc w:val="left"/>
      <w:lvlText w:val="(%1)"/>
      <w:numFmt w:val="decimal"/>
      <w:start w:val="29"/>
    </w:lvl>
    <w:lvl w:ilvl="1">
      <w:lvlJc w:val="left"/>
      <w:lvlText w:val="%2."/>
      <w:numFmt w:val="upperLetter"/>
      <w:start w:val="4"/>
    </w:lvl>
  </w:abstractNum>
  <w:abstractNum w:abstractNumId="92">
    <w:nsid w:val="3C5991AA"/>
    <w:multiLevelType w:val="hybridMultilevel"/>
    <w:lvl w:ilvl="0">
      <w:lvlJc w:val="left"/>
      <w:lvlText w:val="%1"/>
      <w:numFmt w:val="decimal"/>
      <w:start w:val="1"/>
    </w:lvl>
    <w:lvl w:ilvl="1">
      <w:lvlJc w:val="left"/>
      <w:lvlText w:val="%2."/>
      <w:numFmt w:val="upperLetter"/>
      <w:start w:val="4"/>
    </w:lvl>
  </w:abstractNum>
  <w:abstractNum w:abstractNumId="93">
    <w:nsid w:val="4BD8591A"/>
    <w:multiLevelType w:val="hybridMultilevel"/>
    <w:lvl w:ilvl="0">
      <w:lvlJc w:val="left"/>
      <w:lvlText w:val="(%1)"/>
      <w:numFmt w:val="decimal"/>
      <w:start w:val="33"/>
    </w:lvl>
  </w:abstractNum>
  <w:abstractNum w:abstractNumId="94">
    <w:nsid w:val="78DF6A55"/>
    <w:multiLevelType w:val="hybridMultilevel"/>
    <w:lvl w:ilvl="0">
      <w:lvlJc w:val="left"/>
      <w:lvlText w:val="(%1)"/>
      <w:numFmt w:val="decimal"/>
      <w:start w:val="38"/>
    </w:lvl>
  </w:abstractNum>
  <w:abstractNum w:abstractNumId="95">
    <w:nsid w:val="39B7AAA2"/>
    <w:multiLevelType w:val="hybridMultilevel"/>
    <w:lvl w:ilvl="0">
      <w:lvlJc w:val="left"/>
      <w:lvlText w:val="(%1)"/>
      <w:numFmt w:val="decimal"/>
      <w:start w:val="39"/>
    </w:lvl>
  </w:abstractNum>
  <w:abstractNum w:abstractNumId="96">
    <w:nsid w:val="2B0D8DBE"/>
    <w:multiLevelType w:val="hybridMultilevel"/>
    <w:lvl w:ilvl="0">
      <w:lvlJc w:val="left"/>
      <w:lvlText w:val="(%1)"/>
      <w:numFmt w:val="decimal"/>
      <w:start w:val="45"/>
    </w:lvl>
  </w:abstractNum>
  <w:abstractNum w:abstractNumId="97">
    <w:nsid w:val="6C80EC70"/>
    <w:multiLevelType w:val="hybridMultilevel"/>
    <w:lvl w:ilvl="0">
      <w:lvlJc w:val="left"/>
      <w:lvlText w:val="(%1)"/>
      <w:numFmt w:val="decimal"/>
      <w:start w:val="47"/>
    </w:lvl>
  </w:abstractNum>
  <w:abstractNum w:abstractNumId="98">
    <w:nsid w:val="379E21B5"/>
    <w:multiLevelType w:val="hybridMultilevel"/>
    <w:lvl w:ilvl="0">
      <w:lvlJc w:val="left"/>
      <w:lvlText w:val="(%1)"/>
      <w:numFmt w:val="decimal"/>
      <w:start w:val="51"/>
    </w:lvl>
  </w:abstractNum>
  <w:abstractNum w:abstractNumId="99">
    <w:nsid w:val="69E373"/>
    <w:multiLevelType w:val="hybridMultilevel"/>
    <w:lvl w:ilvl="0">
      <w:lvlJc w:val="left"/>
      <w:lvlText w:val="(%1)"/>
      <w:numFmt w:val="decimal"/>
      <w:start w:val="58"/>
    </w:lvl>
  </w:abstractNum>
  <w:abstractNum w:abstractNumId="100">
    <w:nsid w:val="2C27173B"/>
    <w:multiLevelType w:val="hybridMultilevel"/>
    <w:lvl w:ilvl="0">
      <w:lvlJc w:val="left"/>
      <w:lvlText w:val="(%1)"/>
      <w:numFmt w:val="decimal"/>
      <w:start w:val="64"/>
    </w:lvl>
  </w:abstractNum>
  <w:abstractNum w:abstractNumId="101">
    <w:nsid w:val="4C9B0904"/>
    <w:multiLevelType w:val="hybridMultilevel"/>
    <w:lvl w:ilvl="0">
      <w:lvlJc w:val="left"/>
      <w:lvlText w:val="(%1)"/>
      <w:numFmt w:val="decimal"/>
      <w:start w:val="68"/>
    </w:lvl>
  </w:abstractNum>
  <w:abstractNum w:abstractNumId="102">
    <w:nsid w:val="6AA7B75C"/>
    <w:multiLevelType w:val="hybridMultilevel"/>
    <w:lvl w:ilvl="0">
      <w:lvlJc w:val="left"/>
      <w:lvlText w:val="(%1)"/>
      <w:numFmt w:val="lowerRoman"/>
      <w:start w:val="3"/>
    </w:lvl>
  </w:abstractNum>
  <w:abstractNum w:abstractNumId="103">
    <w:nsid w:val="1DF029D3"/>
    <w:multiLevelType w:val="hybridMultilevel"/>
    <w:lvl w:ilvl="0">
      <w:lvlJc w:val="left"/>
      <w:lvlText w:val="•"/>
      <w:numFmt w:val="bullet"/>
      <w:start w:val="1"/>
    </w:lvl>
  </w:abstractNum>
  <w:abstractNum w:abstractNumId="104">
    <w:nsid w:val="5675FF36"/>
    <w:multiLevelType w:val="hybridMultilevel"/>
    <w:lvl w:ilvl="0">
      <w:lvlJc w:val="left"/>
      <w:lvlText w:val="(%1)"/>
      <w:numFmt w:val="decimal"/>
      <w:start w:val="2"/>
    </w:lvl>
  </w:abstractNum>
  <w:abstractNum w:abstractNumId="105">
    <w:nsid w:val="3DD15094"/>
    <w:multiLevelType w:val="hybridMultilevel"/>
    <w:lvl w:ilvl="0">
      <w:lvlJc w:val="left"/>
      <w:lvlText w:val="•"/>
      <w:numFmt w:val="bullet"/>
      <w:start w:val="1"/>
    </w:lvl>
  </w:abstractNum>
  <w:abstractNum w:abstractNumId="106">
    <w:nsid w:val="3DB012B3"/>
    <w:multiLevelType w:val="hybridMultilevel"/>
    <w:lvl w:ilvl="0">
      <w:lvlJc w:val="left"/>
      <w:lvlText w:val="(%1)"/>
      <w:numFmt w:val="lowerRoman"/>
      <w:start w:val="2"/>
    </w:lvl>
  </w:abstractNum>
  <w:abstractNum w:abstractNumId="107">
    <w:nsid w:val="2708C9AF"/>
    <w:multiLevelType w:val="hybridMultilevel"/>
    <w:lvl w:ilvl="0">
      <w:lvlJc w:val="left"/>
      <w:lvlText w:val="(%1)"/>
      <w:numFmt w:val="decimal"/>
      <w:start w:val="1"/>
    </w:lvl>
  </w:abstractNum>
  <w:abstractNum w:abstractNumId="108">
    <w:nsid w:val="5B25ACE2"/>
    <w:multiLevelType w:val="hybridMultilevel"/>
    <w:lvl w:ilvl="0">
      <w:lvlJc w:val="left"/>
      <w:lvlText w:val="•"/>
      <w:numFmt w:val="bullet"/>
      <w:start w:val="1"/>
    </w:lvl>
  </w:abstractNum>
  <w:abstractNum w:abstractNumId="109">
    <w:nsid w:val="175DFCF0"/>
    <w:multiLevelType w:val="hybridMultilevel"/>
    <w:lvl w:ilvl="0">
      <w:lvlJc w:val="left"/>
      <w:lvlText w:val="•"/>
      <w:numFmt w:val="bullet"/>
      <w:start w:val="1"/>
    </w:lvl>
  </w:abstractNum>
  <w:abstractNum w:abstractNumId="110">
    <w:nsid w:val="4F97E3E4"/>
    <w:multiLevelType w:val="hybridMultilevel"/>
    <w:lvl w:ilvl="0">
      <w:lvlJc w:val="left"/>
      <w:lvlText w:val="(%1)"/>
      <w:numFmt w:val="lowerRoman"/>
      <w:start w:val="1"/>
    </w:lvl>
  </w:abstractNum>
  <w:abstractNum w:abstractNumId="111">
    <w:nsid w:val="53B0A9E"/>
    <w:multiLevelType w:val="hybridMultilevel"/>
    <w:lvl w:ilvl="0">
      <w:lvlJc w:val="left"/>
      <w:lvlText w:val="•"/>
      <w:numFmt w:val="bullet"/>
      <w:start w:val="1"/>
    </w:lvl>
  </w:abstractNum>
  <w:abstractNum w:abstractNumId="112">
    <w:nsid w:val="34FD6B4F"/>
    <w:multiLevelType w:val="hybridMultilevel"/>
    <w:lvl w:ilvl="0">
      <w:lvlJc w:val="left"/>
      <w:lvlText w:val="•"/>
      <w:numFmt w:val="bullet"/>
      <w:start w:val="1"/>
    </w:lvl>
  </w:abstractNum>
  <w:abstractNum w:abstractNumId="113">
    <w:nsid w:val="5915FF32"/>
    <w:multiLevelType w:val="hybridMultilevel"/>
    <w:lvl w:ilvl="0">
      <w:lvlJc w:val="left"/>
      <w:lvlText w:val="•"/>
      <w:numFmt w:val="bullet"/>
      <w:start w:val="1"/>
    </w:lvl>
  </w:abstractNum>
  <w:abstractNum w:abstractNumId="114">
    <w:nsid w:val="56438D15"/>
    <w:multiLevelType w:val="hybridMultilevel"/>
    <w:lvl w:ilvl="0">
      <w:lvlJc w:val="left"/>
      <w:lvlText w:val="(%1)"/>
      <w:numFmt w:val="lowerRoman"/>
      <w:start w:val="1"/>
    </w:lvl>
  </w:abstractNum>
  <w:abstractNum w:abstractNumId="115">
    <w:nsid w:val="519E3149"/>
    <w:multiLevelType w:val="hybridMultilevel"/>
    <w:lvl w:ilvl="0">
      <w:lvlJc w:val="left"/>
      <w:lvlText w:val="•"/>
      <w:numFmt w:val="bullet"/>
      <w:start w:val="1"/>
    </w:lvl>
  </w:abstractNum>
  <w:abstractNum w:abstractNumId="116">
    <w:nsid w:val="2C6E4AFD"/>
    <w:multiLevelType w:val="hybridMultilevel"/>
    <w:lvl w:ilvl="0">
      <w:lvlJc w:val="left"/>
      <w:lvlText w:val="*"/>
      <w:numFmt w:val="bullet"/>
      <w:start w:val="1"/>
    </w:lvl>
  </w:abstractNum>
  <w:abstractNum w:abstractNumId="117">
    <w:nsid w:val="17A1B582"/>
    <w:multiLevelType w:val="hybridMultilevel"/>
    <w:lvl w:ilvl="0">
      <w:lvlJc w:val="left"/>
      <w:lvlText w:val="(%1)"/>
      <w:numFmt w:val="decimal"/>
      <w:start w:val="2"/>
    </w:lvl>
  </w:abstractNum>
  <w:abstractNum w:abstractNumId="118">
    <w:nsid w:val="4DF72E4E"/>
    <w:multiLevelType w:val="hybridMultilevel"/>
    <w:lvl w:ilvl="0">
      <w:lvlJc w:val="left"/>
      <w:lvlText w:val="(%1)"/>
      <w:numFmt w:val="decimal"/>
      <w:start w:val="5"/>
    </w:lvl>
  </w:abstractNum>
  <w:abstractNum w:abstractNumId="119">
    <w:nsid w:val="5046B5A9"/>
    <w:multiLevelType w:val="hybridMultilevel"/>
    <w:lvl w:ilvl="0">
      <w:lvlJc w:val="left"/>
      <w:lvlText w:val="(%1)"/>
      <w:numFmt w:val="decimal"/>
      <w:start w:val="7"/>
    </w:lvl>
  </w:abstractNum>
  <w:abstractNum w:abstractNumId="120">
    <w:nsid w:val="5D888A08"/>
    <w:multiLevelType w:val="hybridMultilevel"/>
    <w:lvl w:ilvl="0">
      <w:lvlJc w:val="left"/>
      <w:lvlText w:val="(%1)"/>
      <w:numFmt w:val="lowerLetter"/>
      <w:start w:val="2"/>
    </w:lvl>
  </w:abstractNum>
  <w:abstractNum w:abstractNumId="121">
    <w:nsid w:val="2A082C70"/>
    <w:multiLevelType w:val="hybridMultilevel"/>
    <w:lvl w:ilvl="0">
      <w:lvlJc w:val="left"/>
      <w:lvlText w:val="(%1)"/>
      <w:numFmt w:val="lowerRoman"/>
      <w:start w:val="3"/>
    </w:lvl>
  </w:abstractNum>
  <w:abstractNum w:abstractNumId="122">
    <w:nsid w:val="5EC6AFD4"/>
    <w:multiLevelType w:val="hybridMultilevel"/>
    <w:lvl w:ilvl="0">
      <w:lvlJc w:val="left"/>
      <w:lvlText w:val="•"/>
      <w:numFmt w:val="bullet"/>
      <w:start w:val="1"/>
    </w:lvl>
  </w:abstractNum>
  <w:abstractNum w:abstractNumId="123">
    <w:nsid w:val="19E21BB2"/>
    <w:multiLevelType w:val="hybridMultilevel"/>
    <w:lvl w:ilvl="0">
      <w:lvlJc w:val="left"/>
      <w:lvlText w:val="*"/>
      <w:numFmt w:val="bullet"/>
      <w:start w:val="1"/>
    </w:lvl>
  </w:abstractNum>
  <w:abstractNum w:abstractNumId="124">
    <w:nsid w:val="75E0858A"/>
    <w:multiLevelType w:val="hybridMultilevel"/>
    <w:lvl w:ilvl="0">
      <w:lvlJc w:val="left"/>
      <w:lvlText w:val="(%1)"/>
      <w:numFmt w:val="decimal"/>
      <w:start w:val="1"/>
    </w:lvl>
  </w:abstractNum>
  <w:abstractNum w:abstractNumId="125">
    <w:nsid w:val="57A61A29"/>
    <w:multiLevelType w:val="hybridMultilevel"/>
    <w:lvl w:ilvl="0">
      <w:lvlJc w:val="left"/>
      <w:lvlText w:val="(%1)"/>
      <w:numFmt w:val="lowerLetter"/>
      <w:start w:val="2"/>
    </w:lvl>
  </w:abstractNum>
  <w:abstractNum w:abstractNumId="126">
    <w:nsid w:val="5399C654"/>
    <w:multiLevelType w:val="hybridMultilevel"/>
    <w:lvl w:ilvl="0">
      <w:lvlJc w:val="left"/>
      <w:lvlText w:val="$"/>
      <w:numFmt w:val="bullet"/>
      <w:start w:val="1"/>
    </w:lvl>
  </w:abstractNum>
  <w:abstractNum w:abstractNumId="127">
    <w:nsid w:val="20EE1348"/>
    <w:multiLevelType w:val="hybridMultilevel"/>
    <w:lvl w:ilvl="0">
      <w:lvlJc w:val="left"/>
      <w:lvlText w:val="$"/>
      <w:numFmt w:val="bullet"/>
      <w:start w:val="1"/>
    </w:lvl>
  </w:abstractNum>
  <w:abstractNum w:abstractNumId="128">
    <w:nsid w:val="4427069A"/>
    <w:multiLevelType w:val="hybridMultilevel"/>
    <w:lvl w:ilvl="0">
      <w:lvlJc w:val="left"/>
      <w:lvlText w:val="•"/>
      <w:numFmt w:val="bullet"/>
      <w:start w:val="1"/>
    </w:lvl>
  </w:abstractNum>
  <w:abstractNum w:abstractNumId="129">
    <w:nsid w:val="B37E80A"/>
    <w:multiLevelType w:val="hybridMultilevel"/>
    <w:lvl w:ilvl="0">
      <w:lvlJc w:val="left"/>
      <w:lvlText w:val="(%1)"/>
      <w:numFmt w:val="lowerLetter"/>
      <w:start w:val="1"/>
    </w:lvl>
  </w:abstractNum>
  <w:abstractNum w:abstractNumId="130">
    <w:nsid w:val="2157F6BC"/>
    <w:multiLevelType w:val="hybridMultilevel"/>
    <w:lvl w:ilvl="0">
      <w:lvlJc w:val="left"/>
      <w:lvlText w:val="(%1)"/>
      <w:numFmt w:val="lowerRoman"/>
      <w:start w:val="1"/>
    </w:lvl>
  </w:abstractNum>
  <w:abstractNum w:abstractNumId="131">
    <w:nsid w:val="704E1DD5"/>
    <w:multiLevelType w:val="hybridMultilevel"/>
    <w:lvl w:ilvl="0">
      <w:lvlJc w:val="left"/>
      <w:lvlText w:val="(%1)"/>
      <w:numFmt w:val="lowerLetter"/>
      <w:start w:val="3"/>
    </w:lvl>
  </w:abstractNum>
  <w:abstractNum w:abstractNumId="132">
    <w:nsid w:val="57D2F10E"/>
    <w:multiLevelType w:val="hybridMultilevel"/>
    <w:lvl w:ilvl="0">
      <w:lvlJc w:val="left"/>
      <w:lvlText w:val="%1."/>
      <w:numFmt w:val="decimal"/>
      <w:start w:val="815"/>
    </w:lvl>
  </w:abstractNum>
  <w:abstractNum w:abstractNumId="133">
    <w:nsid w:val="BFFAE18"/>
    <w:multiLevelType w:val="hybridMultilevel"/>
    <w:lvl w:ilvl="0">
      <w:lvlJc w:val="left"/>
      <w:lvlText w:val="(%1)"/>
      <w:numFmt w:val="lowerLetter"/>
      <w:start w:val="1"/>
    </w:lvl>
  </w:abstractNum>
  <w:abstractNum w:abstractNumId="134">
    <w:nsid w:val="E3E47A8"/>
    <w:multiLevelType w:val="hybridMultilevel"/>
    <w:lvl w:ilvl="0">
      <w:lvlJc w:val="left"/>
      <w:lvlText w:val="(%1)"/>
      <w:numFmt w:val="lowerRoman"/>
      <w:start w:val="2"/>
    </w:lvl>
  </w:abstractNum>
  <w:abstractNum w:abstractNumId="135">
    <w:nsid w:val="2E48F04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2021-08-24T16:02:41Z</dcterms:created>
  <dcterms:modified xsi:type="dcterms:W3CDTF">2021-08-24T16:02:41Z</dcterms:modified>
</cp:coreProperties>
</file>