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letter was made available to Churchill stockholders on July 12, 2021.</w:t>
      </w:r>
    </w:p>
    <w:p>
      <w:pPr>
        <w:spacing w:after="0" w:line="22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CHURCHILL CAPITAL CORP IV</w:t>
      </w:r>
    </w:p>
    <w:p>
      <w:pPr>
        <w:ind w:left="4540"/>
        <w:spacing w:after="0" w:line="205" w:lineRule="auto"/>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10019</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July 12,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We have previously sent you proxy material for the Churchill Capital Corp IV (“Churchill”) special meeting to be held on July 22, 2021, in connection with the proposed merger (the “Merger”) of Churchill and Atieva, Inc., d/b/a Lucid Motors, (“Lucid”), pursuant to that certain agreement and plan of merger, dated as of February 22, 2021, by and among Churchill, Lucid and Air Merger Sub, Inc. (the “Merger Agreement”).</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To ensure that your shares are counted, </w:t>
      </w:r>
      <w:r>
        <w:rPr>
          <w:rFonts w:ascii="Arial" w:cs="Arial" w:eastAsia="Arial" w:hAnsi="Arial"/>
          <w:sz w:val="18"/>
          <w:szCs w:val="18"/>
          <w:b w:val="1"/>
          <w:bCs w:val="1"/>
          <w:color w:val="auto"/>
        </w:rPr>
        <w:t>please take a moment right now and vote your shares today.</w:t>
      </w:r>
    </w:p>
    <w:p>
      <w:pPr>
        <w:spacing w:after="0" w:line="306" w:lineRule="exact"/>
        <w:rPr>
          <w:sz w:val="24"/>
          <w:szCs w:val="24"/>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Our Board of Directors has unanimously determined that the Merger and Merger Agreement, and the transactions contemplated by the Merger Agreement, are fair to and in the best interests of Churchill and its stockholders. Our board recommends that you vote “FOR” all proposals on the agenda.</w:t>
      </w:r>
    </w:p>
    <w:p>
      <w:pPr>
        <w:spacing w:after="0" w:line="18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 order to make it convenient for you to vote, we are enclosing a duplicate proxy card for your use. We have also made arrangements for you to be able to vote by telephone or internet, as well as by mail. Simply follow the instructions on the enclosed proxy card.</w:t>
      </w:r>
    </w:p>
    <w:p>
      <w:pPr>
        <w:spacing w:after="0" w:line="166" w:lineRule="exact"/>
        <w:rPr>
          <w:sz w:val="24"/>
          <w:szCs w:val="24"/>
          <w:color w:val="auto"/>
        </w:rPr>
      </w:pPr>
    </w:p>
    <w:p>
      <w:pPr>
        <w:ind w:right="380"/>
        <w:spacing w:after="0" w:line="312" w:lineRule="auto"/>
        <w:rPr>
          <w:sz w:val="20"/>
          <w:szCs w:val="20"/>
          <w:color w:val="auto"/>
        </w:rPr>
      </w:pPr>
      <w:r>
        <w:rPr>
          <w:rFonts w:ascii="Arial" w:cs="Arial" w:eastAsia="Arial" w:hAnsi="Arial"/>
          <w:sz w:val="17"/>
          <w:szCs w:val="17"/>
          <w:color w:val="auto"/>
        </w:rPr>
        <w:t xml:space="preserve">Please vote by telephone or internet today! </w:t>
      </w:r>
      <w:r>
        <w:rPr>
          <w:rFonts w:ascii="Arial" w:cs="Arial" w:eastAsia="Arial" w:hAnsi="Arial"/>
          <w:sz w:val="17"/>
          <w:szCs w:val="17"/>
          <w:b w:val="1"/>
          <w:bCs w:val="1"/>
          <w:color w:val="auto"/>
        </w:rPr>
        <w:t>Remember - every share and every vote counts!</w:t>
      </w:r>
      <w:r>
        <w:rPr>
          <w:rFonts w:ascii="Arial" w:cs="Arial" w:eastAsia="Arial" w:hAnsi="Arial"/>
          <w:sz w:val="17"/>
          <w:szCs w:val="17"/>
          <w:color w:val="auto"/>
        </w:rPr>
        <w:t xml:space="preserve"> You may also sign, date and mail your proxy card in the envelope provided. If you have any questions, please call our proxy solicitor, MacKenzie Partners, Inc., at (800) 322-2885.</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continued support.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143125"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Michael Klein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business combination between Lucid and Churchill and the related PIPE investment (together, the “proposed transactions”) will be submitted to shareholders of CCIV for their consideration. CCIV has filed a registration statement on Form S-4 (the “Registration Statement”) with the Securities and Exchange Commission (the “SEC”) which included a definitive proxy statement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CCIV mailed a definitive proxy statement and has mailed or will mail other relevant documents to its stockholders as of the record date established for voting on the proposed transactions. CCIV’s stockholders and other interested persons are advised to read the definitive proxy statement/prospectus and any amendments thereto in connection with CCIV’s solicitation of proxies for its special meeting of shareholders to be held to approve, among other things, the proposed transactions, because these documents contain important information about CCIV, Lucid and the proposed transactions. Shareholders may also obtain a copy of the definitive proxy statement as well as other documents filed with the SEC regarding the proposed transactions and other documents filed with the SEC by CCIV, without charge, at the SEC's website located at www.sec.gov or by directing a request to CCIV.</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2021-07-12T15:42:49Z</dcterms:created>
  <dcterms:modified xsi:type="dcterms:W3CDTF">2021-07-12T15:42:49Z</dcterms:modified>
</cp:coreProperties>
</file>