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691_4-nouri.xml.htm"/>
      <w:bookmarkStart w:id="1" w:name="ksdp192691_4nouri"/>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Nouri Chabi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BLVD.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highlight w:val="white"/>
              </w:rPr>
              <w:t>LCID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04/24/2023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3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48,387</w:t>
            </w:r>
            <w:r>
              <w:rPr>
                <w:rFonts w:ascii="Times;serif" w:hAnsi="Times;serif"/>
                <w:color w:val="008000"/>
                <w:position w:val="7"/>
                <w:sz w:val="16"/>
                <w:sz w:val="20"/>
                <w:highlight w:val="white"/>
              </w:rPr>
              <w:t>(1)</w:t>
            </w:r>
            <w:r>
              <w:rPr/>
              <w:t xml:space="preserve"> </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48,387</w:t>
            </w:r>
          </w:p>
        </w:tc>
        <w:tc>
          <w:tcPr>
            <w:tcW w:w="10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restricted stock units will vest in equal annual installments on each of April 24, 2024, April 24, 2025 and April 24, 2026, subject to the reporting person's continued service through each applicable vesting date.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Chabi Nouri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74666"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596</Words>
  <CharactersWithSpaces>3769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