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Churchill Capital Corp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(Titles of Class of Securities)</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171439201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right"/>
        <w:ind w:right="9520" w:firstLine="8"/>
        <w:spacing w:after="0" w:line="225" w:lineRule="exact"/>
        <w:tabs>
          <w:tab w:leader="none" w:pos="67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ind w:firstLine="8"/>
        <w:spacing w:after="0" w:line="277" w:lineRule="auto"/>
        <w:tabs>
          <w:tab w:leader="none" w:pos="13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as amended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171439201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-124460</wp:posOffset>
            </wp:positionV>
            <wp:extent cx="14401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740" w:space="720"/>
            <w:col w:w="8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Churchill Sponsor IV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16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tcBorders>
              <w:left w:val="single" w:sz="8" w:color="auto"/>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10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jc w:val="right"/>
              <w:ind w:right="67"/>
              <w:spacing w:after="0"/>
              <w:rPr>
                <w:sz w:val="20"/>
                <w:szCs w:val="20"/>
                <w:color w:val="auto"/>
              </w:rPr>
            </w:pPr>
            <w:r>
              <w:rPr>
                <w:rFonts w:ascii="Arial" w:cs="Arial" w:eastAsia="Arial" w:hAnsi="Arial"/>
                <w:sz w:val="15"/>
                <w:szCs w:val="15"/>
                <w:color w:val="auto"/>
                <w:w w:val="71"/>
              </w:rPr>
              <w:t>5</w:t>
            </w:r>
          </w:p>
        </w:tc>
        <w:tc>
          <w:tcPr>
            <w:tcW w:w="710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NUMBER OF</w:t>
            </w:r>
          </w:p>
        </w:tc>
        <w:tc>
          <w:tcPr>
            <w:tcW w:w="220" w:type="dxa"/>
            <w:vAlign w:val="bottom"/>
            <w:tcBorders>
              <w:bottom w:val="single" w:sz="8" w:color="auto"/>
              <w:right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220" w:type="dxa"/>
            <w:vAlign w:val="bottom"/>
            <w:tcBorders>
              <w:right w:val="single" w:sz="8" w:color="auto"/>
            </w:tcBorders>
          </w:tcPr>
          <w:p>
            <w:pPr>
              <w:jc w:val="right"/>
              <w:ind w:right="67"/>
              <w:spacing w:after="0"/>
              <w:rPr>
                <w:sz w:val="20"/>
                <w:szCs w:val="20"/>
                <w:color w:val="auto"/>
              </w:rPr>
            </w:pPr>
            <w:r>
              <w:rPr>
                <w:rFonts w:ascii="Arial" w:cs="Arial" w:eastAsia="Arial" w:hAnsi="Arial"/>
                <w:sz w:val="15"/>
                <w:szCs w:val="15"/>
                <w:color w:val="auto"/>
                <w:w w:val="71"/>
              </w:rPr>
              <w:t>6</w:t>
            </w:r>
          </w:p>
        </w:tc>
        <w:tc>
          <w:tcPr>
            <w:tcW w:w="7100" w:type="dxa"/>
            <w:vAlign w:val="bottom"/>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220" w:type="dxa"/>
            <w:vAlign w:val="bottom"/>
            <w:tcBorders>
              <w:right w:val="single" w:sz="8" w:color="auto"/>
            </w:tcBorders>
          </w:tcPr>
          <w:p>
            <w:pPr>
              <w:spacing w:after="0"/>
              <w:rPr>
                <w:sz w:val="18"/>
                <w:szCs w:val="18"/>
                <w:color w:val="auto"/>
              </w:rPr>
            </w:pPr>
          </w:p>
        </w:tc>
        <w:tc>
          <w:tcPr>
            <w:tcW w:w="7100" w:type="dxa"/>
            <w:vAlign w:val="bottom"/>
            <w:vMerge w:val="restart"/>
          </w:tcPr>
          <w:p>
            <w:pPr>
              <w:spacing w:after="0"/>
              <w:rPr>
                <w:sz w:val="20"/>
                <w:szCs w:val="20"/>
                <w:color w:val="auto"/>
              </w:rPr>
            </w:pPr>
            <w:r>
              <w:rPr>
                <w:rFonts w:ascii="Arial" w:cs="Arial" w:eastAsia="Arial" w:hAnsi="Arial"/>
                <w:sz w:val="18"/>
                <w:szCs w:val="18"/>
                <w:color w:val="auto"/>
              </w:rPr>
              <w:t>51,750,000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OWNED</w:t>
            </w:r>
          </w:p>
        </w:tc>
        <w:tc>
          <w:tcPr>
            <w:tcW w:w="220" w:type="dxa"/>
            <w:vAlign w:val="bottom"/>
            <w:tcBorders>
              <w:bottom w:val="single" w:sz="8" w:color="auto"/>
              <w:right w:val="single" w:sz="8" w:color="auto"/>
            </w:tcBorders>
          </w:tcPr>
          <w:p>
            <w:pPr>
              <w:spacing w:after="0"/>
              <w:rPr>
                <w:sz w:val="19"/>
                <w:szCs w:val="19"/>
                <w:color w:val="auto"/>
              </w:rPr>
            </w:pPr>
          </w:p>
        </w:tc>
        <w:tc>
          <w:tcPr>
            <w:tcW w:w="710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840" w:type="dxa"/>
            <w:vAlign w:val="bottom"/>
            <w:tcBorders>
              <w:left w:val="single" w:sz="8" w:color="auto"/>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rPr>
              <w:t>BY EACH</w:t>
            </w:r>
          </w:p>
        </w:tc>
        <w:tc>
          <w:tcPr>
            <w:tcW w:w="220" w:type="dxa"/>
            <w:vAlign w:val="bottom"/>
            <w:tcBorders>
              <w:right w:val="single" w:sz="8" w:color="auto"/>
            </w:tcBorders>
          </w:tcPr>
          <w:p>
            <w:pPr>
              <w:jc w:val="right"/>
              <w:ind w:right="67"/>
              <w:spacing w:after="0"/>
              <w:rPr>
                <w:sz w:val="20"/>
                <w:szCs w:val="20"/>
                <w:color w:val="auto"/>
              </w:rPr>
            </w:pPr>
            <w:r>
              <w:rPr>
                <w:rFonts w:ascii="Arial" w:cs="Arial" w:eastAsia="Arial" w:hAnsi="Arial"/>
                <w:sz w:val="15"/>
                <w:szCs w:val="15"/>
                <w:color w:val="auto"/>
                <w:w w:val="71"/>
              </w:rPr>
              <w:t>7</w:t>
            </w:r>
          </w:p>
        </w:tc>
        <w:tc>
          <w:tcPr>
            <w:tcW w:w="710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220" w:type="dxa"/>
            <w:vAlign w:val="bottom"/>
            <w:tcBorders>
              <w:right w:val="single" w:sz="8" w:color="auto"/>
            </w:tcBorders>
          </w:tcPr>
          <w:p>
            <w:pPr>
              <w:spacing w:after="0"/>
              <w:rPr>
                <w:sz w:val="18"/>
                <w:szCs w:val="18"/>
                <w:color w:val="auto"/>
              </w:rPr>
            </w:pPr>
          </w:p>
        </w:tc>
        <w:tc>
          <w:tcPr>
            <w:tcW w:w="710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220" w:type="dxa"/>
            <w:vAlign w:val="bottom"/>
            <w:tcBorders>
              <w:right w:val="single" w:sz="8" w:color="auto"/>
            </w:tcBorders>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160" w:type="dxa"/>
            <w:vAlign w:val="bottom"/>
            <w:tcBorders>
              <w:left w:val="single" w:sz="8" w:color="auto"/>
            </w:tcBorders>
            <w:vMerge w:val="restart"/>
          </w:tcPr>
          <w:p>
            <w:pPr>
              <w:jc w:val="center"/>
              <w:ind w:left="590"/>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tcBorders>
            <w:vMerge w:val="continue"/>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jc w:val="right"/>
              <w:ind w:right="67"/>
              <w:spacing w:after="0"/>
              <w:rPr>
                <w:sz w:val="20"/>
                <w:szCs w:val="20"/>
                <w:color w:val="auto"/>
              </w:rPr>
            </w:pPr>
            <w:r>
              <w:rPr>
                <w:rFonts w:ascii="Arial" w:cs="Arial" w:eastAsia="Arial" w:hAnsi="Arial"/>
                <w:sz w:val="15"/>
                <w:szCs w:val="15"/>
                <w:color w:val="auto"/>
                <w:w w:val="71"/>
              </w:rPr>
              <w:t>8</w:t>
            </w:r>
          </w:p>
        </w:tc>
        <w:tc>
          <w:tcPr>
            <w:tcW w:w="71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51,750,000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900" w:type="dxa"/>
            <w:vAlign w:val="bottom"/>
            <w:gridSpan w:val="2"/>
          </w:tcPr>
          <w:p>
            <w:pPr>
              <w:spacing w:after="0"/>
              <w:rPr>
                <w:sz w:val="20"/>
                <w:szCs w:val="20"/>
                <w:color w:val="auto"/>
              </w:rPr>
            </w:pPr>
            <w:r>
              <w:rPr>
                <w:rFonts w:ascii="Arial" w:cs="Arial" w:eastAsia="Arial" w:hAnsi="Arial"/>
                <w:sz w:val="18"/>
                <w:szCs w:val="18"/>
                <w:color w:val="auto"/>
                <w:w w:val="75"/>
              </w:rPr>
              <w:t>AGGREGATE</w:t>
            </w:r>
          </w:p>
        </w:tc>
        <w:tc>
          <w:tcPr>
            <w:tcW w:w="7100" w:type="dxa"/>
            <w:vAlign w:val="bottom"/>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51,750,000</w:t>
            </w: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171439201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-124460</wp:posOffset>
            </wp:positionV>
            <wp:extent cx="14401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740" w:space="720"/>
            <w:col w:w="8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 Klein Associates, Inc.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16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tcBorders>
              <w:left w:val="single" w:sz="8" w:color="auto"/>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10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jc w:val="right"/>
              <w:ind w:right="67"/>
              <w:spacing w:after="0"/>
              <w:rPr>
                <w:sz w:val="20"/>
                <w:szCs w:val="20"/>
                <w:color w:val="auto"/>
              </w:rPr>
            </w:pPr>
            <w:r>
              <w:rPr>
                <w:rFonts w:ascii="Arial" w:cs="Arial" w:eastAsia="Arial" w:hAnsi="Arial"/>
                <w:sz w:val="15"/>
                <w:szCs w:val="15"/>
                <w:color w:val="auto"/>
                <w:w w:val="71"/>
              </w:rPr>
              <w:t>5</w:t>
            </w:r>
          </w:p>
        </w:tc>
        <w:tc>
          <w:tcPr>
            <w:tcW w:w="710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NUMBER OF</w:t>
            </w:r>
          </w:p>
        </w:tc>
        <w:tc>
          <w:tcPr>
            <w:tcW w:w="220" w:type="dxa"/>
            <w:vAlign w:val="bottom"/>
            <w:tcBorders>
              <w:bottom w:val="single" w:sz="8" w:color="auto"/>
              <w:right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220" w:type="dxa"/>
            <w:vAlign w:val="bottom"/>
            <w:tcBorders>
              <w:right w:val="single" w:sz="8" w:color="auto"/>
            </w:tcBorders>
          </w:tcPr>
          <w:p>
            <w:pPr>
              <w:jc w:val="right"/>
              <w:ind w:right="67"/>
              <w:spacing w:after="0"/>
              <w:rPr>
                <w:sz w:val="20"/>
                <w:szCs w:val="20"/>
                <w:color w:val="auto"/>
              </w:rPr>
            </w:pPr>
            <w:r>
              <w:rPr>
                <w:rFonts w:ascii="Arial" w:cs="Arial" w:eastAsia="Arial" w:hAnsi="Arial"/>
                <w:sz w:val="15"/>
                <w:szCs w:val="15"/>
                <w:color w:val="auto"/>
                <w:w w:val="71"/>
              </w:rPr>
              <w:t>6</w:t>
            </w:r>
          </w:p>
        </w:tc>
        <w:tc>
          <w:tcPr>
            <w:tcW w:w="7100" w:type="dxa"/>
            <w:vAlign w:val="bottom"/>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220" w:type="dxa"/>
            <w:vAlign w:val="bottom"/>
            <w:tcBorders>
              <w:right w:val="single" w:sz="8" w:color="auto"/>
            </w:tcBorders>
          </w:tcPr>
          <w:p>
            <w:pPr>
              <w:spacing w:after="0"/>
              <w:rPr>
                <w:sz w:val="18"/>
                <w:szCs w:val="18"/>
                <w:color w:val="auto"/>
              </w:rPr>
            </w:pPr>
          </w:p>
        </w:tc>
        <w:tc>
          <w:tcPr>
            <w:tcW w:w="7100" w:type="dxa"/>
            <w:vAlign w:val="bottom"/>
            <w:vMerge w:val="restart"/>
          </w:tcPr>
          <w:p>
            <w:pPr>
              <w:spacing w:after="0"/>
              <w:rPr>
                <w:sz w:val="20"/>
                <w:szCs w:val="20"/>
                <w:color w:val="auto"/>
              </w:rPr>
            </w:pPr>
            <w:r>
              <w:rPr>
                <w:rFonts w:ascii="Arial" w:cs="Arial" w:eastAsia="Arial" w:hAnsi="Arial"/>
                <w:sz w:val="18"/>
                <w:szCs w:val="18"/>
                <w:color w:val="auto"/>
              </w:rPr>
              <w:t>51,750,000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OWNED</w:t>
            </w:r>
          </w:p>
        </w:tc>
        <w:tc>
          <w:tcPr>
            <w:tcW w:w="220" w:type="dxa"/>
            <w:vAlign w:val="bottom"/>
            <w:tcBorders>
              <w:bottom w:val="single" w:sz="8" w:color="auto"/>
              <w:right w:val="single" w:sz="8" w:color="auto"/>
            </w:tcBorders>
          </w:tcPr>
          <w:p>
            <w:pPr>
              <w:spacing w:after="0"/>
              <w:rPr>
                <w:sz w:val="19"/>
                <w:szCs w:val="19"/>
                <w:color w:val="auto"/>
              </w:rPr>
            </w:pPr>
          </w:p>
        </w:tc>
        <w:tc>
          <w:tcPr>
            <w:tcW w:w="710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840" w:type="dxa"/>
            <w:vAlign w:val="bottom"/>
            <w:tcBorders>
              <w:left w:val="single" w:sz="8" w:color="auto"/>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rPr>
              <w:t>BY EACH</w:t>
            </w:r>
          </w:p>
        </w:tc>
        <w:tc>
          <w:tcPr>
            <w:tcW w:w="220" w:type="dxa"/>
            <w:vAlign w:val="bottom"/>
            <w:tcBorders>
              <w:right w:val="single" w:sz="8" w:color="auto"/>
            </w:tcBorders>
          </w:tcPr>
          <w:p>
            <w:pPr>
              <w:jc w:val="right"/>
              <w:ind w:right="67"/>
              <w:spacing w:after="0"/>
              <w:rPr>
                <w:sz w:val="20"/>
                <w:szCs w:val="20"/>
                <w:color w:val="auto"/>
              </w:rPr>
            </w:pPr>
            <w:r>
              <w:rPr>
                <w:rFonts w:ascii="Arial" w:cs="Arial" w:eastAsia="Arial" w:hAnsi="Arial"/>
                <w:sz w:val="15"/>
                <w:szCs w:val="15"/>
                <w:color w:val="auto"/>
                <w:w w:val="71"/>
              </w:rPr>
              <w:t>7</w:t>
            </w:r>
          </w:p>
        </w:tc>
        <w:tc>
          <w:tcPr>
            <w:tcW w:w="710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220" w:type="dxa"/>
            <w:vAlign w:val="bottom"/>
            <w:tcBorders>
              <w:right w:val="single" w:sz="8" w:color="auto"/>
            </w:tcBorders>
          </w:tcPr>
          <w:p>
            <w:pPr>
              <w:spacing w:after="0"/>
              <w:rPr>
                <w:sz w:val="18"/>
                <w:szCs w:val="18"/>
                <w:color w:val="auto"/>
              </w:rPr>
            </w:pPr>
          </w:p>
        </w:tc>
        <w:tc>
          <w:tcPr>
            <w:tcW w:w="710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220" w:type="dxa"/>
            <w:vAlign w:val="bottom"/>
            <w:tcBorders>
              <w:right w:val="single" w:sz="8" w:color="auto"/>
            </w:tcBorders>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160" w:type="dxa"/>
            <w:vAlign w:val="bottom"/>
            <w:tcBorders>
              <w:left w:val="single" w:sz="8" w:color="auto"/>
            </w:tcBorders>
            <w:vMerge w:val="restart"/>
          </w:tcPr>
          <w:p>
            <w:pPr>
              <w:jc w:val="center"/>
              <w:ind w:left="590"/>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tcBorders>
            <w:vMerge w:val="continue"/>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jc w:val="right"/>
              <w:ind w:right="67"/>
              <w:spacing w:after="0"/>
              <w:rPr>
                <w:sz w:val="20"/>
                <w:szCs w:val="20"/>
                <w:color w:val="auto"/>
              </w:rPr>
            </w:pPr>
            <w:r>
              <w:rPr>
                <w:rFonts w:ascii="Arial" w:cs="Arial" w:eastAsia="Arial" w:hAnsi="Arial"/>
                <w:sz w:val="15"/>
                <w:szCs w:val="15"/>
                <w:color w:val="auto"/>
                <w:w w:val="71"/>
              </w:rPr>
              <w:t>8</w:t>
            </w:r>
          </w:p>
        </w:tc>
        <w:tc>
          <w:tcPr>
            <w:tcW w:w="71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51,750,000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900" w:type="dxa"/>
            <w:vAlign w:val="bottom"/>
            <w:gridSpan w:val="2"/>
          </w:tcPr>
          <w:p>
            <w:pPr>
              <w:spacing w:after="0"/>
              <w:rPr>
                <w:sz w:val="20"/>
                <w:szCs w:val="20"/>
                <w:color w:val="auto"/>
              </w:rPr>
            </w:pPr>
            <w:r>
              <w:rPr>
                <w:rFonts w:ascii="Arial" w:cs="Arial" w:eastAsia="Arial" w:hAnsi="Arial"/>
                <w:sz w:val="18"/>
                <w:szCs w:val="18"/>
                <w:color w:val="auto"/>
                <w:w w:val="75"/>
              </w:rPr>
              <w:t>AGGREGATE</w:t>
            </w:r>
          </w:p>
        </w:tc>
        <w:tc>
          <w:tcPr>
            <w:tcW w:w="7100" w:type="dxa"/>
            <w:vAlign w:val="bottom"/>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51,750,000</w:t>
            </w: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3" w:name="page4"/>
    <w:bookmarkEnd w:id="3"/>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171439201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-124460</wp:posOffset>
            </wp:positionV>
            <wp:extent cx="14401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740" w:space="720"/>
            <w:col w:w="8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Michael Klein</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16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tcBorders>
              <w:left w:val="single" w:sz="8" w:color="auto"/>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10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United States</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jc w:val="right"/>
              <w:ind w:right="67"/>
              <w:spacing w:after="0"/>
              <w:rPr>
                <w:sz w:val="20"/>
                <w:szCs w:val="20"/>
                <w:color w:val="auto"/>
              </w:rPr>
            </w:pPr>
            <w:r>
              <w:rPr>
                <w:rFonts w:ascii="Arial" w:cs="Arial" w:eastAsia="Arial" w:hAnsi="Arial"/>
                <w:sz w:val="15"/>
                <w:szCs w:val="15"/>
                <w:color w:val="auto"/>
                <w:w w:val="71"/>
              </w:rPr>
              <w:t>5</w:t>
            </w:r>
          </w:p>
        </w:tc>
        <w:tc>
          <w:tcPr>
            <w:tcW w:w="710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NUMBER OF</w:t>
            </w:r>
          </w:p>
        </w:tc>
        <w:tc>
          <w:tcPr>
            <w:tcW w:w="220" w:type="dxa"/>
            <w:vAlign w:val="bottom"/>
            <w:tcBorders>
              <w:bottom w:val="single" w:sz="8" w:color="auto"/>
              <w:right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220" w:type="dxa"/>
            <w:vAlign w:val="bottom"/>
            <w:tcBorders>
              <w:right w:val="single" w:sz="8" w:color="auto"/>
            </w:tcBorders>
          </w:tcPr>
          <w:p>
            <w:pPr>
              <w:jc w:val="right"/>
              <w:ind w:right="67"/>
              <w:spacing w:after="0"/>
              <w:rPr>
                <w:sz w:val="20"/>
                <w:szCs w:val="20"/>
                <w:color w:val="auto"/>
              </w:rPr>
            </w:pPr>
            <w:r>
              <w:rPr>
                <w:rFonts w:ascii="Arial" w:cs="Arial" w:eastAsia="Arial" w:hAnsi="Arial"/>
                <w:sz w:val="15"/>
                <w:szCs w:val="15"/>
                <w:color w:val="auto"/>
                <w:w w:val="71"/>
              </w:rPr>
              <w:t>6</w:t>
            </w:r>
          </w:p>
        </w:tc>
        <w:tc>
          <w:tcPr>
            <w:tcW w:w="7100" w:type="dxa"/>
            <w:vAlign w:val="bottom"/>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220" w:type="dxa"/>
            <w:vAlign w:val="bottom"/>
            <w:tcBorders>
              <w:right w:val="single" w:sz="8" w:color="auto"/>
            </w:tcBorders>
          </w:tcPr>
          <w:p>
            <w:pPr>
              <w:spacing w:after="0"/>
              <w:rPr>
                <w:sz w:val="18"/>
                <w:szCs w:val="18"/>
                <w:color w:val="auto"/>
              </w:rPr>
            </w:pPr>
          </w:p>
        </w:tc>
        <w:tc>
          <w:tcPr>
            <w:tcW w:w="7100" w:type="dxa"/>
            <w:vAlign w:val="bottom"/>
            <w:vMerge w:val="restart"/>
          </w:tcPr>
          <w:p>
            <w:pPr>
              <w:spacing w:after="0"/>
              <w:rPr>
                <w:sz w:val="20"/>
                <w:szCs w:val="20"/>
                <w:color w:val="auto"/>
              </w:rPr>
            </w:pPr>
            <w:r>
              <w:rPr>
                <w:rFonts w:ascii="Arial" w:cs="Arial" w:eastAsia="Arial" w:hAnsi="Arial"/>
                <w:sz w:val="18"/>
                <w:szCs w:val="18"/>
                <w:color w:val="auto"/>
              </w:rPr>
              <w:t>51,750,000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OWNED</w:t>
            </w:r>
          </w:p>
        </w:tc>
        <w:tc>
          <w:tcPr>
            <w:tcW w:w="220" w:type="dxa"/>
            <w:vAlign w:val="bottom"/>
            <w:tcBorders>
              <w:bottom w:val="single" w:sz="8" w:color="auto"/>
              <w:right w:val="single" w:sz="8" w:color="auto"/>
            </w:tcBorders>
          </w:tcPr>
          <w:p>
            <w:pPr>
              <w:spacing w:after="0"/>
              <w:rPr>
                <w:sz w:val="19"/>
                <w:szCs w:val="19"/>
                <w:color w:val="auto"/>
              </w:rPr>
            </w:pPr>
          </w:p>
        </w:tc>
        <w:tc>
          <w:tcPr>
            <w:tcW w:w="710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840" w:type="dxa"/>
            <w:vAlign w:val="bottom"/>
            <w:tcBorders>
              <w:left w:val="single" w:sz="8" w:color="auto"/>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rPr>
              <w:t>BY EACH</w:t>
            </w:r>
          </w:p>
        </w:tc>
        <w:tc>
          <w:tcPr>
            <w:tcW w:w="220" w:type="dxa"/>
            <w:vAlign w:val="bottom"/>
            <w:tcBorders>
              <w:right w:val="single" w:sz="8" w:color="auto"/>
            </w:tcBorders>
          </w:tcPr>
          <w:p>
            <w:pPr>
              <w:jc w:val="right"/>
              <w:ind w:right="67"/>
              <w:spacing w:after="0"/>
              <w:rPr>
                <w:sz w:val="20"/>
                <w:szCs w:val="20"/>
                <w:color w:val="auto"/>
              </w:rPr>
            </w:pPr>
            <w:r>
              <w:rPr>
                <w:rFonts w:ascii="Arial" w:cs="Arial" w:eastAsia="Arial" w:hAnsi="Arial"/>
                <w:sz w:val="15"/>
                <w:szCs w:val="15"/>
                <w:color w:val="auto"/>
                <w:w w:val="71"/>
              </w:rPr>
              <w:t>7</w:t>
            </w:r>
          </w:p>
        </w:tc>
        <w:tc>
          <w:tcPr>
            <w:tcW w:w="710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220" w:type="dxa"/>
            <w:vAlign w:val="bottom"/>
            <w:tcBorders>
              <w:right w:val="single" w:sz="8" w:color="auto"/>
            </w:tcBorders>
          </w:tcPr>
          <w:p>
            <w:pPr>
              <w:spacing w:after="0"/>
              <w:rPr>
                <w:sz w:val="18"/>
                <w:szCs w:val="18"/>
                <w:color w:val="auto"/>
              </w:rPr>
            </w:pPr>
          </w:p>
        </w:tc>
        <w:tc>
          <w:tcPr>
            <w:tcW w:w="710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220" w:type="dxa"/>
            <w:vAlign w:val="bottom"/>
            <w:tcBorders>
              <w:right w:val="single" w:sz="8" w:color="auto"/>
            </w:tcBorders>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160" w:type="dxa"/>
            <w:vAlign w:val="bottom"/>
            <w:tcBorders>
              <w:left w:val="single" w:sz="8" w:color="auto"/>
            </w:tcBorders>
            <w:vMerge w:val="restart"/>
          </w:tcPr>
          <w:p>
            <w:pPr>
              <w:jc w:val="center"/>
              <w:ind w:left="590"/>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tcBorders>
            <w:vMerge w:val="continue"/>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jc w:val="right"/>
              <w:ind w:right="67"/>
              <w:spacing w:after="0"/>
              <w:rPr>
                <w:sz w:val="20"/>
                <w:szCs w:val="20"/>
                <w:color w:val="auto"/>
              </w:rPr>
            </w:pPr>
            <w:r>
              <w:rPr>
                <w:rFonts w:ascii="Arial" w:cs="Arial" w:eastAsia="Arial" w:hAnsi="Arial"/>
                <w:sz w:val="15"/>
                <w:szCs w:val="15"/>
                <w:color w:val="auto"/>
                <w:w w:val="71"/>
              </w:rPr>
              <w:t>8</w:t>
            </w:r>
          </w:p>
        </w:tc>
        <w:tc>
          <w:tcPr>
            <w:tcW w:w="71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51,750,000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900" w:type="dxa"/>
            <w:vAlign w:val="bottom"/>
            <w:gridSpan w:val="2"/>
          </w:tcPr>
          <w:p>
            <w:pPr>
              <w:spacing w:after="0"/>
              <w:rPr>
                <w:sz w:val="20"/>
                <w:szCs w:val="20"/>
                <w:color w:val="auto"/>
              </w:rPr>
            </w:pPr>
            <w:r>
              <w:rPr>
                <w:rFonts w:ascii="Arial" w:cs="Arial" w:eastAsia="Arial" w:hAnsi="Arial"/>
                <w:sz w:val="18"/>
                <w:szCs w:val="18"/>
                <w:color w:val="auto"/>
                <w:w w:val="75"/>
              </w:rPr>
              <w:t>AGGREGATE</w:t>
            </w:r>
          </w:p>
        </w:tc>
        <w:tc>
          <w:tcPr>
            <w:tcW w:w="7100" w:type="dxa"/>
            <w:vAlign w:val="bottom"/>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51,750,000</w:t>
            </w: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171439201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-124460</wp:posOffset>
            </wp:positionV>
            <wp:extent cx="14401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740" w:space="720"/>
            <w:col w:w="840"/>
          </w:cols>
          <w:pgMar w:left="320" w:top="823" w:right="339" w:bottom="1440" w:gutter="0" w:footer="0" w:header="0"/>
        </w:sectPr>
      </w:pPr>
    </w:p>
    <w:p>
      <w:pPr>
        <w:spacing w:after="0" w:line="2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Churchill Capital Corp IV</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640 Fifth Avenue, 12th Floor</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NY 10019</w:t>
      </w:r>
    </w:p>
    <w:p>
      <w:pPr>
        <w:spacing w:after="0" w:line="13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This statement is filed on behalf of each of the following persons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3" w:lineRule="exact"/>
        <w:rPr>
          <w:sz w:val="20"/>
          <w:szCs w:val="20"/>
          <w:color w:val="auto"/>
        </w:rPr>
      </w:pPr>
    </w:p>
    <w:p>
      <w:pPr>
        <w:ind w:left="1320" w:hanging="17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Churchill Sponsor IV LLC</w:t>
      </w:r>
    </w:p>
    <w:p>
      <w:pPr>
        <w:spacing w:after="0" w:line="9" w:lineRule="exact"/>
        <w:rPr>
          <w:rFonts w:ascii="Arial" w:cs="Arial" w:eastAsia="Arial" w:hAnsi="Arial"/>
          <w:sz w:val="18"/>
          <w:szCs w:val="18"/>
          <w:color w:val="auto"/>
        </w:rPr>
      </w:pPr>
    </w:p>
    <w:p>
      <w:pPr>
        <w:ind w:left="1320" w:hanging="17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 Klein Associates, Inc.</w:t>
      </w:r>
    </w:p>
    <w:p>
      <w:pPr>
        <w:spacing w:after="0" w:line="9" w:lineRule="exact"/>
        <w:rPr>
          <w:rFonts w:ascii="Arial" w:cs="Arial" w:eastAsia="Arial" w:hAnsi="Arial"/>
          <w:sz w:val="18"/>
          <w:szCs w:val="18"/>
          <w:color w:val="auto"/>
        </w:rPr>
      </w:pPr>
    </w:p>
    <w:p>
      <w:pPr>
        <w:ind w:left="1320" w:hanging="17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Michael Klein</w:t>
      </w:r>
    </w:p>
    <w:p>
      <w:pPr>
        <w:spacing w:after="0" w:line="13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principal business address of each of the Reporting Persons is as follows:</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640 Fifth Avenue, 12th Floor</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NY 10019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w w:val="97"/>
              </w:rPr>
              <w:t>Citizenship:</w:t>
            </w:r>
          </w:p>
        </w:tc>
        <w:tc>
          <w:tcPr>
            <w:tcW w:w="9080" w:type="dxa"/>
            <w:vAlign w:val="bottom"/>
          </w:tcPr>
          <w:p>
            <w:pPr>
              <w:spacing w:after="0"/>
              <w:rPr>
                <w:sz w:val="20"/>
                <w:szCs w:val="20"/>
                <w:color w:val="auto"/>
              </w:rPr>
            </w:pPr>
          </w:p>
        </w:tc>
      </w:tr>
      <w:tr>
        <w:trPr>
          <w:trHeight w:val="365"/>
        </w:trPr>
        <w:tc>
          <w:tcPr>
            <w:tcW w:w="960" w:type="dxa"/>
            <w:vAlign w:val="bottom"/>
          </w:tcPr>
          <w:p>
            <w:pPr>
              <w:spacing w:after="0"/>
              <w:rPr>
                <w:sz w:val="24"/>
                <w:szCs w:val="24"/>
                <w:color w:val="auto"/>
              </w:rPr>
            </w:pPr>
          </w:p>
        </w:tc>
        <w:tc>
          <w:tcPr>
            <w:tcW w:w="10280" w:type="dxa"/>
            <w:vAlign w:val="bottom"/>
            <w:gridSpan w:val="3"/>
          </w:tcPr>
          <w:p>
            <w:pPr>
              <w:ind w:left="180"/>
              <w:spacing w:after="0"/>
              <w:rPr>
                <w:sz w:val="20"/>
                <w:szCs w:val="20"/>
                <w:color w:val="auto"/>
              </w:rPr>
            </w:pPr>
            <w:r>
              <w:rPr>
                <w:rFonts w:ascii="Arial" w:cs="Arial" w:eastAsia="Arial" w:hAnsi="Arial"/>
                <w:sz w:val="18"/>
                <w:szCs w:val="18"/>
                <w:color w:val="auto"/>
              </w:rPr>
              <w:t>See responses to Item 4 on each cover page.</w:t>
            </w:r>
          </w:p>
        </w:tc>
      </w:tr>
      <w:tr>
        <w:trPr>
          <w:trHeight w:val="364"/>
        </w:trPr>
        <w:tc>
          <w:tcPr>
            <w:tcW w:w="9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80" w:type="dxa"/>
            <w:vAlign w:val="bottom"/>
            <w:gridSpan w:val="3"/>
          </w:tcPr>
          <w:p>
            <w:pPr>
              <w:ind w:left="180"/>
              <w:spacing w:after="0"/>
              <w:rPr>
                <w:sz w:val="20"/>
                <w:szCs w:val="20"/>
                <w:color w:val="auto"/>
              </w:rPr>
            </w:pPr>
            <w:r>
              <w:rPr>
                <w:rFonts w:ascii="Arial" w:cs="Arial" w:eastAsia="Arial" w:hAnsi="Arial"/>
                <w:sz w:val="18"/>
                <w:szCs w:val="18"/>
                <w:b w:val="1"/>
                <w:bCs w:val="1"/>
                <w:color w:val="auto"/>
              </w:rPr>
              <w:t>Titles of Classes of Securities:</w:t>
            </w:r>
          </w:p>
        </w:tc>
      </w:tr>
      <w:tr>
        <w:trPr>
          <w:trHeight w:val="365"/>
        </w:trPr>
        <w:tc>
          <w:tcPr>
            <w:tcW w:w="960" w:type="dxa"/>
            <w:vAlign w:val="bottom"/>
          </w:tcPr>
          <w:p>
            <w:pPr>
              <w:spacing w:after="0"/>
              <w:rPr>
                <w:sz w:val="24"/>
                <w:szCs w:val="24"/>
                <w:color w:val="auto"/>
              </w:rPr>
            </w:pPr>
          </w:p>
        </w:tc>
        <w:tc>
          <w:tcPr>
            <w:tcW w:w="10280" w:type="dxa"/>
            <w:vAlign w:val="bottom"/>
            <w:gridSpan w:val="3"/>
          </w:tcPr>
          <w:p>
            <w:pPr>
              <w:ind w:left="180"/>
              <w:spacing w:after="0"/>
              <w:rPr>
                <w:sz w:val="20"/>
                <w:szCs w:val="20"/>
                <w:color w:val="auto"/>
              </w:rPr>
            </w:pPr>
            <w:r>
              <w:rPr>
                <w:rFonts w:ascii="Arial" w:cs="Arial" w:eastAsia="Arial" w:hAnsi="Arial"/>
                <w:sz w:val="18"/>
                <w:szCs w:val="18"/>
                <w:color w:val="auto"/>
              </w:rPr>
              <w:t>Class A Common Stock, par value $0.0001 per share.</w:t>
            </w:r>
          </w:p>
        </w:tc>
      </w:tr>
      <w:tr>
        <w:trPr>
          <w:trHeight w:val="364"/>
        </w:trPr>
        <w:tc>
          <w:tcPr>
            <w:tcW w:w="9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80" w:type="dxa"/>
            <w:vAlign w:val="bottom"/>
            <w:gridSpan w:val="3"/>
          </w:tcPr>
          <w:p>
            <w:pPr>
              <w:ind w:left="180"/>
              <w:spacing w:after="0"/>
              <w:rPr>
                <w:sz w:val="20"/>
                <w:szCs w:val="20"/>
                <w:color w:val="auto"/>
              </w:rPr>
            </w:pPr>
            <w:r>
              <w:rPr>
                <w:rFonts w:ascii="Arial" w:cs="Arial" w:eastAsia="Arial" w:hAnsi="Arial"/>
                <w:sz w:val="18"/>
                <w:szCs w:val="18"/>
                <w:b w:val="1"/>
                <w:bCs w:val="1"/>
                <w:color w:val="auto"/>
              </w:rPr>
              <w:t>CUSIP Number:</w:t>
            </w:r>
          </w:p>
        </w:tc>
      </w:tr>
      <w:tr>
        <w:trPr>
          <w:trHeight w:val="365"/>
        </w:trPr>
        <w:tc>
          <w:tcPr>
            <w:tcW w:w="96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color w:val="auto"/>
              </w:rPr>
              <w:t>171439201</w:t>
            </w:r>
          </w:p>
        </w:tc>
        <w:tc>
          <w:tcPr>
            <w:tcW w:w="908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80" w:type="dxa"/>
            <w:vAlign w:val="bottom"/>
            <w:gridSpan w:val="3"/>
          </w:tcPr>
          <w:p>
            <w:pPr>
              <w:ind w:left="180"/>
              <w:spacing w:after="0"/>
              <w:rPr>
                <w:sz w:val="20"/>
                <w:szCs w:val="20"/>
                <w:color w:val="auto"/>
              </w:rPr>
            </w:pPr>
            <w:r>
              <w:rPr>
                <w:rFonts w:ascii="Arial" w:cs="Arial" w:eastAsia="Arial" w:hAnsi="Arial"/>
                <w:sz w:val="18"/>
                <w:szCs w:val="18"/>
                <w:b w:val="1"/>
                <w:bCs w:val="1"/>
                <w:color w:val="auto"/>
              </w:rPr>
              <w:t>If This Statement is Filed Pursuant to Rule 13d-1(b), or 13d-2(b) or (c), Check Whether the Person Filing is a(n):</w:t>
            </w:r>
          </w:p>
        </w:tc>
      </w:tr>
      <w:tr>
        <w:trPr>
          <w:trHeight w:val="452"/>
        </w:trPr>
        <w:tc>
          <w:tcPr>
            <w:tcW w:w="9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(a)</w:t>
            </w:r>
          </w:p>
        </w:tc>
        <w:tc>
          <w:tcPr>
            <w:tcW w:w="6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ind w:left="100"/>
              <w:spacing w:after="0"/>
              <w:rPr>
                <w:sz w:val="20"/>
                <w:szCs w:val="20"/>
                <w:color w:val="auto"/>
              </w:rPr>
            </w:pPr>
            <w:r>
              <w:rPr>
                <w:rFonts w:ascii="Arial" w:cs="Arial" w:eastAsia="Arial" w:hAnsi="Arial"/>
                <w:sz w:val="18"/>
                <w:szCs w:val="18"/>
                <w:color w:val="auto"/>
              </w:rPr>
              <w:t>Broker or dealer registered under Section 15 of the Exchange Act (15 U.S.C. 78o).</w:t>
            </w:r>
          </w:p>
        </w:tc>
      </w:tr>
      <w:tr>
        <w:trPr>
          <w:trHeight w:val="364"/>
        </w:trPr>
        <w:tc>
          <w:tcPr>
            <w:tcW w:w="9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(b)</w:t>
            </w:r>
          </w:p>
        </w:tc>
        <w:tc>
          <w:tcPr>
            <w:tcW w:w="6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ind w:left="100"/>
              <w:spacing w:after="0"/>
              <w:rPr>
                <w:sz w:val="20"/>
                <w:szCs w:val="20"/>
                <w:color w:val="auto"/>
              </w:rPr>
            </w:pPr>
            <w:r>
              <w:rPr>
                <w:rFonts w:ascii="Arial" w:cs="Arial" w:eastAsia="Arial" w:hAnsi="Arial"/>
                <w:sz w:val="18"/>
                <w:szCs w:val="18"/>
                <w:color w:val="auto"/>
              </w:rPr>
              <w:t>Bank as defined in Section 3(a)(6) of the Exchange Act (15 U.S.C. 78c).</w:t>
            </w:r>
          </w:p>
        </w:tc>
      </w:tr>
      <w:tr>
        <w:trPr>
          <w:trHeight w:val="365"/>
        </w:trPr>
        <w:tc>
          <w:tcPr>
            <w:tcW w:w="9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(c)</w:t>
            </w:r>
          </w:p>
        </w:tc>
        <w:tc>
          <w:tcPr>
            <w:tcW w:w="6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ind w:left="100"/>
              <w:spacing w:after="0"/>
              <w:rPr>
                <w:sz w:val="20"/>
                <w:szCs w:val="20"/>
                <w:color w:val="auto"/>
              </w:rPr>
            </w:pPr>
            <w:r>
              <w:rPr>
                <w:rFonts w:ascii="Arial" w:cs="Arial" w:eastAsia="Arial" w:hAnsi="Arial"/>
                <w:sz w:val="18"/>
                <w:szCs w:val="18"/>
                <w:color w:val="auto"/>
              </w:rPr>
              <w:t>Insurance company as defined in Section 3(a)(19) of the Exchange Act (15 U.S.C. 78c).</w:t>
            </w:r>
          </w:p>
        </w:tc>
      </w:tr>
      <w:tr>
        <w:trPr>
          <w:trHeight w:val="365"/>
        </w:trPr>
        <w:tc>
          <w:tcPr>
            <w:tcW w:w="9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(d)</w:t>
            </w:r>
          </w:p>
        </w:tc>
        <w:tc>
          <w:tcPr>
            <w:tcW w:w="6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ind w:left="10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365"/>
        </w:trPr>
        <w:tc>
          <w:tcPr>
            <w:tcW w:w="9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(e)</w:t>
            </w:r>
          </w:p>
        </w:tc>
        <w:tc>
          <w:tcPr>
            <w:tcW w:w="6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ind w:left="100"/>
              <w:spacing w:after="0"/>
              <w:rPr>
                <w:sz w:val="20"/>
                <w:szCs w:val="20"/>
                <w:color w:val="auto"/>
              </w:rPr>
            </w:pPr>
            <w:r>
              <w:rPr>
                <w:rFonts w:ascii="Arial" w:cs="Arial" w:eastAsia="Arial" w:hAnsi="Arial"/>
                <w:sz w:val="18"/>
                <w:szCs w:val="18"/>
                <w:color w:val="auto"/>
              </w:rPr>
              <w:t>Investment adviser in accordance with §240.13d-1(b)(1)(ii)(E).</w:t>
            </w:r>
          </w:p>
        </w:tc>
      </w:tr>
      <w:tr>
        <w:trPr>
          <w:trHeight w:val="364"/>
        </w:trPr>
        <w:tc>
          <w:tcPr>
            <w:tcW w:w="9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(f)</w:t>
            </w:r>
          </w:p>
        </w:tc>
        <w:tc>
          <w:tcPr>
            <w:tcW w:w="6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ind w:left="100"/>
              <w:spacing w:after="0"/>
              <w:rPr>
                <w:sz w:val="20"/>
                <w:szCs w:val="20"/>
                <w:color w:val="auto"/>
              </w:rPr>
            </w:pPr>
            <w:r>
              <w:rPr>
                <w:rFonts w:ascii="Arial" w:cs="Arial" w:eastAsia="Arial" w:hAnsi="Arial"/>
                <w:sz w:val="18"/>
                <w:szCs w:val="18"/>
                <w:color w:val="auto"/>
              </w:rPr>
              <w:t>Employee benefit plan or endowment fund in accordance with §240.13d-1(b)(1)(ii)(F).</w:t>
            </w:r>
          </w:p>
        </w:tc>
      </w:tr>
      <w:tr>
        <w:trPr>
          <w:trHeight w:val="365"/>
        </w:trPr>
        <w:tc>
          <w:tcPr>
            <w:tcW w:w="9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(g)</w:t>
            </w:r>
          </w:p>
        </w:tc>
        <w:tc>
          <w:tcPr>
            <w:tcW w:w="6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ind w:left="100"/>
              <w:spacing w:after="0"/>
              <w:rPr>
                <w:sz w:val="20"/>
                <w:szCs w:val="20"/>
                <w:color w:val="auto"/>
              </w:rPr>
            </w:pPr>
            <w:r>
              <w:rPr>
                <w:rFonts w:ascii="Arial" w:cs="Arial" w:eastAsia="Arial" w:hAnsi="Arial"/>
                <w:sz w:val="18"/>
                <w:szCs w:val="18"/>
                <w:color w:val="auto"/>
              </w:rPr>
              <w:t>Parent holding company or control person in accordance with §240.13d-1(b)(1)(ii)(G).</w:t>
            </w:r>
          </w:p>
        </w:tc>
      </w:tr>
      <w:tr>
        <w:trPr>
          <w:trHeight w:val="365"/>
        </w:trPr>
        <w:tc>
          <w:tcPr>
            <w:tcW w:w="9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(h)</w:t>
            </w:r>
          </w:p>
        </w:tc>
        <w:tc>
          <w:tcPr>
            <w:tcW w:w="6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ind w:left="100"/>
              <w:spacing w:after="0"/>
              <w:rPr>
                <w:sz w:val="20"/>
                <w:szCs w:val="20"/>
                <w:color w:val="auto"/>
              </w:rPr>
            </w:pPr>
            <w:r>
              <w:rPr>
                <w:rFonts w:ascii="Arial" w:cs="Arial" w:eastAsia="Arial" w:hAnsi="Arial"/>
                <w:sz w:val="18"/>
                <w:szCs w:val="18"/>
                <w:color w:val="auto"/>
              </w:rPr>
              <w:t>Savings association as defined in Section 3(b) of the Federal Deposit Insurance Act (12 U.S.C. 1813).</w:t>
            </w:r>
          </w:p>
        </w:tc>
      </w:tr>
      <w:tr>
        <w:trPr>
          <w:trHeight w:val="330"/>
        </w:trPr>
        <w:tc>
          <w:tcPr>
            <w:tcW w:w="9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(i)</w:t>
            </w:r>
          </w:p>
        </w:tc>
        <w:tc>
          <w:tcPr>
            <w:tcW w:w="6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ind w:left="100"/>
              <w:spacing w:after="0"/>
              <w:rPr>
                <w:sz w:val="20"/>
                <w:szCs w:val="20"/>
                <w:color w:val="auto"/>
              </w:rPr>
            </w:pPr>
            <w:r>
              <w:rPr>
                <w:rFonts w:ascii="Arial" w:cs="Arial" w:eastAsia="Arial" w:hAnsi="Arial"/>
                <w:sz w:val="18"/>
                <w:szCs w:val="18"/>
                <w:color w:val="auto"/>
                <w:w w:val="97"/>
              </w:rPr>
              <w:t>Church plan that is excluded from the definition of an investment company under Section 3(c)(14) of the Investment</w:t>
            </w:r>
          </w:p>
        </w:tc>
      </w:tr>
      <w:tr>
        <w:trPr>
          <w:trHeight w:val="230"/>
        </w:trPr>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80" w:type="dxa"/>
            <w:vAlign w:val="bottom"/>
          </w:tcPr>
          <w:p>
            <w:pPr>
              <w:ind w:left="100"/>
              <w:spacing w:after="0"/>
              <w:rPr>
                <w:sz w:val="20"/>
                <w:szCs w:val="20"/>
                <w:color w:val="auto"/>
              </w:rPr>
            </w:pPr>
            <w:r>
              <w:rPr>
                <w:rFonts w:ascii="Arial" w:cs="Arial" w:eastAsia="Arial" w:hAnsi="Arial"/>
                <w:sz w:val="18"/>
                <w:szCs w:val="18"/>
                <w:color w:val="auto"/>
              </w:rPr>
              <w:t>Company Act of 1940 (15 U.S.C. 80a-3).</w:t>
            </w:r>
          </w:p>
        </w:tc>
      </w:tr>
      <w:tr>
        <w:trPr>
          <w:trHeight w:val="384"/>
        </w:trPr>
        <w:tc>
          <w:tcPr>
            <w:tcW w:w="9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(j)</w:t>
            </w:r>
          </w:p>
        </w:tc>
        <w:tc>
          <w:tcPr>
            <w:tcW w:w="6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ind w:left="100"/>
              <w:spacing w:after="0"/>
              <w:rPr>
                <w:sz w:val="20"/>
                <w:szCs w:val="20"/>
                <w:color w:val="auto"/>
              </w:rPr>
            </w:pPr>
            <w:r>
              <w:rPr>
                <w:rFonts w:ascii="Arial" w:cs="Arial" w:eastAsia="Arial" w:hAnsi="Arial"/>
                <w:sz w:val="18"/>
                <w:szCs w:val="18"/>
                <w:color w:val="auto"/>
              </w:rPr>
              <w:t>Non-U.S. institution, in accordance with § 240.13d-1(b)(1)(ii)(J).</w:t>
            </w:r>
          </w:p>
        </w:tc>
      </w:tr>
      <w:tr>
        <w:trPr>
          <w:trHeight w:val="365"/>
        </w:trPr>
        <w:tc>
          <w:tcPr>
            <w:tcW w:w="9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(k)</w:t>
            </w:r>
          </w:p>
        </w:tc>
        <w:tc>
          <w:tcPr>
            <w:tcW w:w="6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Pr>
          <w:p>
            <w:pPr>
              <w:ind w:left="100"/>
              <w:spacing w:after="0"/>
              <w:rPr>
                <w:sz w:val="20"/>
                <w:szCs w:val="20"/>
                <w:color w:val="auto"/>
              </w:rPr>
            </w:pPr>
            <w:r>
              <w:rPr>
                <w:rFonts w:ascii="Arial" w:cs="Arial" w:eastAsia="Arial" w:hAnsi="Arial"/>
                <w:sz w:val="18"/>
                <w:szCs w:val="18"/>
                <w:color w:val="auto"/>
              </w:rPr>
              <w:t>Group in accordance with §240.13d-1(b)(1)(ii)(K).</w:t>
            </w:r>
          </w:p>
        </w:tc>
      </w:tr>
    </w:tbl>
    <w:p>
      <w:pPr>
        <w:spacing w:after="0" w:line="11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If filing as a non-U.S. institution in accordance with §240. 13d-1(b)(1)(ii)(J), please specify the type of institution: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5" w:name="page6"/>
    <w:bookmarkEnd w:id="5"/>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171439201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-124460</wp:posOffset>
            </wp:positionV>
            <wp:extent cx="14401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740" w:space="720"/>
            <w:col w:w="840"/>
          </w:cols>
          <w:pgMar w:left="320" w:top="823" w:right="339" w:bottom="1440" w:gutter="0" w:footer="0" w:header="0"/>
        </w:sectPr>
      </w:pPr>
    </w:p>
    <w:p>
      <w:pPr>
        <w:spacing w:after="0" w:line="2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62" w:lineRule="exact"/>
        <w:rPr>
          <w:sz w:val="20"/>
          <w:szCs w:val="20"/>
          <w:color w:val="auto"/>
        </w:rPr>
      </w:pPr>
    </w:p>
    <w:p>
      <w:pPr>
        <w:ind w:left="1140" w:right="20"/>
        <w:spacing w:after="0" w:line="272" w:lineRule="auto"/>
        <w:rPr>
          <w:sz w:val="20"/>
          <w:szCs w:val="20"/>
          <w:color w:val="auto"/>
        </w:rPr>
      </w:pPr>
      <w:r>
        <w:rPr>
          <w:rFonts w:ascii="Arial" w:cs="Arial" w:eastAsia="Arial" w:hAnsi="Arial"/>
          <w:sz w:val="17"/>
          <w:szCs w:val="17"/>
          <w:color w:val="auto"/>
        </w:rPr>
        <w:t>Churchill Sponsor IV LLC (“Churchill Sponsor”) directly owns 51,750,000 shares of Class B Common Stock, par value $0.0001 per share (“Class B Common Stock”), of the Issuer, which are convertible into the Issuer’s Class A Common Stock, par value $0.0001 per share (“Class A Common Stock”). Such shares may be deemed to be indirectly owned by M. Klein Associates, Inc. (“M. Klein Associates”), which is the managing member of Churchill Sponsor, and Michael Klein, who is the sole stockholder of M. Klein Associates. As a result of these relationships, each of Churchill Sponsor, M. Klein Associates and Mr. Klein may be deemed to have or share beneficial ownership of the securities held directly by Churchill Sponsor. Each of Churchill Sponsor, M. Klein Associates and Mr. Klein disclaim beneficial ownership of such securities except to the extent of their direct ownership.</w:t>
      </w:r>
    </w:p>
    <w:p>
      <w:pPr>
        <w:spacing w:after="0" w:line="177"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In addition to the securities reported on the cover pages hereto, Churchill Sponsor also directly owns 42,850,000 private placement warrants to purchase 42,850,000 shares of Class A Common Stock. The warrants become exercisable beginning on the later of August 3, 2021 or 30 days after the completion of the Issuer’s initial business combination and expires five years after the completion of the Issuer’s initial business combination or earlier upon redemption or liquidation.</w:t>
      </w:r>
    </w:p>
    <w:p>
      <w:pPr>
        <w:spacing w:after="0" w:line="187" w:lineRule="exact"/>
        <w:rPr>
          <w:sz w:val="20"/>
          <w:szCs w:val="20"/>
          <w:color w:val="auto"/>
        </w:rPr>
      </w:pPr>
    </w:p>
    <w:p>
      <w:pPr>
        <w:ind w:left="1140" w:right="400"/>
        <w:spacing w:after="0" w:line="263" w:lineRule="auto"/>
        <w:rPr>
          <w:sz w:val="20"/>
          <w:szCs w:val="20"/>
          <w:color w:val="auto"/>
        </w:rPr>
      </w:pPr>
      <w:r>
        <w:rPr>
          <w:rFonts w:ascii="Arial" w:cs="Arial" w:eastAsia="Arial" w:hAnsi="Arial"/>
          <w:sz w:val="18"/>
          <w:szCs w:val="18"/>
          <w:color w:val="auto"/>
        </w:rPr>
        <w:t>Percentage ownership is based on 207,000,000 shares of Class A Common Stock and 51,750,000 shares of Class B Common Stock outstanding as of November 9, 2020, as reported by the Issuer in its quarterly report on Form 10-Q for the period ended September 30, 2020, and assumes conversion of all Class B Common Stock into Class A Common Stock.</w:t>
      </w:r>
    </w:p>
    <w:p>
      <w:pPr>
        <w:spacing w:after="0" w:line="180" w:lineRule="exact"/>
        <w:rPr>
          <w:sz w:val="20"/>
          <w:szCs w:val="20"/>
          <w:color w:val="auto"/>
        </w:rPr>
      </w:pPr>
    </w:p>
    <w:p>
      <w:pPr>
        <w:ind w:left="1700" w:hanging="558"/>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Amount beneficially owned:</w:t>
      </w:r>
    </w:p>
    <w:p>
      <w:pPr>
        <w:spacing w:after="0" w:line="161"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See responses to Item 9 on each cover page.</w:t>
      </w:r>
    </w:p>
    <w:p>
      <w:pPr>
        <w:spacing w:after="0" w:line="153" w:lineRule="exact"/>
        <w:rPr>
          <w:rFonts w:ascii="Arial" w:cs="Arial" w:eastAsia="Arial" w:hAnsi="Arial"/>
          <w:sz w:val="18"/>
          <w:szCs w:val="18"/>
          <w:color w:val="auto"/>
        </w:rPr>
      </w:pPr>
    </w:p>
    <w:p>
      <w:pPr>
        <w:ind w:left="1700" w:hanging="558"/>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Percent of class:</w:t>
      </w:r>
    </w:p>
    <w:p>
      <w:pPr>
        <w:spacing w:after="0" w:line="161"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See responses to Item 11 on each cover page.</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1" w:lineRule="exact"/>
        <w:rPr>
          <w:rFonts w:ascii="Arial" w:cs="Arial" w:eastAsia="Arial" w:hAnsi="Arial"/>
          <w:sz w:val="18"/>
          <w:szCs w:val="18"/>
          <w:color w:val="auto"/>
        </w:rPr>
      </w:pPr>
    </w:p>
    <w:p>
      <w:pPr>
        <w:ind w:left="2260" w:right="5800" w:hanging="551"/>
        <w:spacing w:after="0" w:line="507" w:lineRule="auto"/>
        <w:tabs>
          <w:tab w:leader="none" w:pos="2260" w:val="left"/>
        </w:tabs>
        <w:numPr>
          <w:ilvl w:val="1"/>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Sole power to vote or to direct the vote: </w:t>
      </w:r>
      <w:r>
        <w:rPr>
          <w:rFonts w:ascii="Arial" w:cs="Arial" w:eastAsia="Arial" w:hAnsi="Arial"/>
          <w:sz w:val="15"/>
          <w:szCs w:val="15"/>
          <w:color w:val="auto"/>
        </w:rPr>
        <w:t>See responses to Item 5 on each cover page.</w:t>
      </w:r>
    </w:p>
    <w:p>
      <w:pPr>
        <w:ind w:left="2260" w:right="5740" w:hanging="551"/>
        <w:spacing w:after="0" w:line="475" w:lineRule="auto"/>
        <w:tabs>
          <w:tab w:leader="none" w:pos="2260"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See responses to Item 6 on each cover page.</w:t>
      </w:r>
    </w:p>
    <w:p>
      <w:pPr>
        <w:ind w:left="2260" w:right="5020" w:hanging="551"/>
        <w:spacing w:after="0" w:line="475" w:lineRule="auto"/>
        <w:tabs>
          <w:tab w:leader="none" w:pos="2260"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See responses to Item 7 on each cover page.</w:t>
      </w:r>
    </w:p>
    <w:p>
      <w:pPr>
        <w:ind w:left="2260" w:right="4800" w:hanging="551"/>
        <w:spacing w:after="0" w:line="541" w:lineRule="auto"/>
        <w:tabs>
          <w:tab w:leader="none" w:pos="2260"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See responses to Item 8 on each cover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6" w:name="page7"/>
    <w:bookmarkEnd w:id="6"/>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171439201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-124460</wp:posOffset>
            </wp:positionV>
            <wp:extent cx="14401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740" w:space="720"/>
            <w:col w:w="840"/>
          </w:cols>
          <w:pgMar w:left="320" w:top="823" w:right="339" w:bottom="1440" w:gutter="0" w:footer="0" w:header="0"/>
        </w:sect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18"/>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 more</w:t>
            </w:r>
          </w:p>
        </w:tc>
      </w:tr>
      <w:tr>
        <w:trPr>
          <w:trHeight w:val="283"/>
        </w:trPr>
        <w:tc>
          <w:tcPr>
            <w:tcW w:w="880" w:type="dxa"/>
            <w:vAlign w:val="bottom"/>
          </w:tcPr>
          <w:p>
            <w:pPr>
              <w:spacing w:after="0"/>
              <w:rPr>
                <w:sz w:val="24"/>
                <w:szCs w:val="24"/>
                <w:color w:val="auto"/>
              </w:rPr>
            </w:pPr>
          </w:p>
        </w:tc>
        <w:tc>
          <w:tcPr>
            <w:tcW w:w="10360" w:type="dxa"/>
            <w:vAlign w:val="bottom"/>
          </w:tcPr>
          <w:p>
            <w:pPr>
              <w:ind w:left="260"/>
              <w:spacing w:after="0" w:line="207" w:lineRule="exact"/>
              <w:rPr>
                <w:sz w:val="20"/>
                <w:szCs w:val="20"/>
                <w:color w:val="auto"/>
              </w:rPr>
            </w:pPr>
            <w:r>
              <w:rPr>
                <w:rFonts w:ascii="Arial" w:cs="Arial" w:eastAsia="Arial" w:hAnsi="Arial"/>
                <w:sz w:val="18"/>
                <w:szCs w:val="18"/>
                <w:color w:val="auto"/>
              </w:rPr>
              <w:t xml:space="preserve">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34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64"/>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346"/>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88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Company.</w:t>
            </w:r>
          </w:p>
        </w:tc>
      </w:tr>
      <w:tr>
        <w:trPr>
          <w:trHeight w:val="364"/>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365"/>
        </w:trPr>
        <w:tc>
          <w:tcPr>
            <w:tcW w:w="8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64"/>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364"/>
        </w:trPr>
        <w:tc>
          <w:tcPr>
            <w:tcW w:w="8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Notice of Dissolution of Group.</w:t>
            </w:r>
          </w:p>
        </w:tc>
      </w:tr>
      <w:tr>
        <w:trPr>
          <w:trHeight w:val="365"/>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36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Certification.</w:t>
            </w:r>
          </w:p>
        </w:tc>
      </w:tr>
      <w:tr>
        <w:trPr>
          <w:trHeight w:val="365"/>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817"/>
        </w:trPr>
        <w:tc>
          <w:tcPr>
            <w:tcW w:w="8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type w:val="continuous"/>
        </w:sectPr>
      </w:pPr>
    </w:p>
    <w:bookmarkStart w:id="7" w:name="page8"/>
    <w:bookmarkEnd w:id="7"/>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171439201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-124460</wp:posOffset>
            </wp:positionV>
            <wp:extent cx="14401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740" w:space="720"/>
            <w:col w:w="820"/>
          </w:cols>
          <w:pgMar w:left="320" w:top="823" w:right="359" w:bottom="1440" w:gutter="0" w:footer="0" w:header="0"/>
        </w:sect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Sponsor IV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 Klein Associates, Inc., its manager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13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 Klein Associates, Inc.</w:t>
      </w:r>
    </w:p>
    <w:p>
      <w:pPr>
        <w:spacing w:after="0" w:line="16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13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Michael Klein</w:t>
      </w:r>
    </w:p>
    <w:p>
      <w:pPr>
        <w:spacing w:after="0" w:line="16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871855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171439201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-124460</wp:posOffset>
            </wp:positionV>
            <wp:extent cx="14401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740" w:space="720"/>
            <w:col w:w="820"/>
          </w:cols>
          <w:pgMar w:left="320" w:top="823" w:right="359" w:bottom="1440" w:gutter="0" w:footer="0" w:header="0"/>
        </w:sect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1140" w:right="220" w:hanging="1133"/>
        <w:spacing w:after="0" w:line="276"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Exhibit 1</w:t>
      </w:r>
      <w:r>
        <w:rPr>
          <w:sz w:val="20"/>
          <w:szCs w:val="20"/>
          <w:color w:val="auto"/>
        </w:rPr>
        <w:tab/>
      </w:r>
      <w:hyperlink w:anchor="page10">
        <w:r>
          <w:rPr>
            <w:rFonts w:ascii="Arial" w:cs="Arial" w:eastAsia="Arial" w:hAnsi="Arial"/>
            <w:sz w:val="18"/>
            <w:szCs w:val="18"/>
            <w:u w:val="single" w:color="auto"/>
            <w:color w:val="0000EE"/>
          </w:rPr>
          <w:t>Joint Filing Agreement, dated as of February 16, 2021, by and among Churchill Sponsor IV LLC, M. Klein Associates, Inc. and Michael</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Klein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1009015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Each of the undersigned hereby acknowledges and agrees, in compliance with the provisions of Rule 13d-1(k)(1) promulgated under the Securities Exchange Act of 1934, as amended, that the Schedule 13G to which this Agreement is attached as an Exhibit, and any amendments thereto, will be filed with the Securities and Exchange Commission jointly on behalf of the undersigned. This Agreement may be executed in one or more counterparts.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Churchill Sponsor IV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 Klein Associates, Inc., its manager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13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 Klein Associates, Inc.</w:t>
      </w:r>
    </w:p>
    <w:p>
      <w:pPr>
        <w:spacing w:after="0" w:line="16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13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Michael Klein</w:t>
      </w:r>
    </w:p>
    <w:p>
      <w:pPr>
        <w:spacing w:after="0" w:line="16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2021-02-16T14:44:47Z</dcterms:created>
  <dcterms:modified xsi:type="dcterms:W3CDTF">2021-02-16T14:44:47Z</dcterms:modified>
</cp:coreProperties>
</file>