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6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-234950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19050</wp:posOffset>
            </wp:positionV>
            <wp:extent cx="7047230" cy="52108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21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Bach Eric</w:t>
        </w:r>
      </w:hyperlink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64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LUCID GROUP, INC.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3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7373 GATEWAY BOULEVARD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22"/>
        </w:trPr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6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NEWARK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94560</w:t>
            </w:r>
          </w:p>
        </w:tc>
      </w:tr>
      <w:tr>
        <w:trPr>
          <w:trHeight w:val="461"/>
        </w:trPr>
        <w:tc>
          <w:tcPr>
            <w:tcW w:w="1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rFonts w:ascii="Arial" w:cs="Arial" w:eastAsia="Arial" w:hAnsi="Arial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5"/>
                  <w:szCs w:val="15"/>
                  <w:color w:val="0000EE"/>
                </w:rPr>
                <w:t xml:space="preserve">Lucid Group, Inc. </w:t>
              </w:r>
            </w:hyperlink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[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LCID</w:t>
            </w:r>
            <w:r>
              <w:rPr>
                <w:rFonts w:ascii="Arial" w:cs="Arial" w:eastAsia="Arial" w:hAnsi="Arial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15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Product &amp; Chief Engineer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2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408,663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2,029,792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09/10/2023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28,836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5.84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2,000,956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408,663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8.26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09/10/2023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408,663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09/10/2030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408,663</w:t>
            </w:r>
          </w:p>
        </w:tc>
        <w:tc>
          <w:tcPr>
            <w:tcW w:w="640" w:type="dxa"/>
            <w:vAlign w:val="bottom"/>
          </w:tcPr>
          <w:p>
            <w:pPr>
              <w:ind w:left="32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 w:right="440"/>
        <w:spacing w:after="0" w:line="243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("RSUs") vest over four years, with 1/8th vesting on the grant date and the remainder of the RSUs to vest 1/16th on each March 5, June 5, September 5, and December 5 annually thereafter.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that have been withheld by the Issuer to satisfy tax withholding and remittance obligations in connection with the vesting of RSUs reported on this Form 4.</w:t>
      </w:r>
    </w:p>
    <w:p>
      <w:pPr>
        <w:spacing w:after="0" w:line="4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stock options will vest over four years, with 5/48th to vest on the first monthly anniversary of the grant date and the remainder to vest 1/48th on each monthly anniversary thereafter.</w:t>
      </w:r>
    </w:p>
    <w:p>
      <w:pPr>
        <w:ind w:left="6600"/>
        <w:spacing w:after="0" w:line="1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Benjamin Uy, as attorney-in-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09/12/2023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302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 for Eric Bach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7493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72817" TargetMode="External"/><Relationship Id="rId13" Type="http://schemas.openxmlformats.org/officeDocument/2006/relationships/hyperlink" Target="http://www.sec.gov/cgi-bin/browse-edgar?action=getcompany&amp;CIK=000181121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2023-09-12T20:20:53Z</dcterms:created>
  <dcterms:modified xsi:type="dcterms:W3CDTF">2023-09-12T20:20:53Z</dcterms:modified>
</cp:coreProperties>
</file>