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231F20"/>
        </w:rPr>
        <w:t>Date of Report (date of earliest event reported): December 9, 2023</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14"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3500" w:type="dxa"/>
            <w:vAlign w:val="bottom"/>
          </w:tcPr>
          <w:p>
            <w:pPr>
              <w:spacing w:after="0"/>
              <w:rPr>
                <w:sz w:val="20"/>
                <w:szCs w:val="20"/>
                <w:color w:val="auto"/>
              </w:rPr>
            </w:pPr>
          </w:p>
        </w:tc>
      </w:tr>
      <w:tr>
        <w:trPr>
          <w:trHeight w:val="653"/>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29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2980" w:type="dxa"/>
            <w:vAlign w:val="bottom"/>
          </w:tcPr>
          <w:p>
            <w:pPr>
              <w:spacing w:after="0"/>
              <w:rPr>
                <w:sz w:val="19"/>
                <w:szCs w:val="19"/>
                <w:color w:val="auto"/>
              </w:rPr>
            </w:pPr>
          </w:p>
        </w:tc>
        <w:tc>
          <w:tcPr>
            <w:tcW w:w="35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80" w:type="dxa"/>
            <w:vAlign w:val="bottom"/>
          </w:tcPr>
          <w:p>
            <w:pPr>
              <w:spacing w:after="0"/>
              <w:rPr>
                <w:sz w:val="20"/>
                <w:szCs w:val="20"/>
                <w:color w:val="auto"/>
              </w:rPr>
            </w:pP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231F20"/>
        </w:rPr>
        <w:t>☐</w:t>
      </w:r>
    </w:p>
    <w:p>
      <w:pPr>
        <w:spacing w:after="0" w:line="277"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left="980" w:right="1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11, 2023, Lucid Group, Inc. (“Lucid” or the “Company”) announced that Sherry House, Lucid’s Chief Financial Officer, informed the Company that she is resigning from her position, effective immediately, in order to pursue other opportunities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Ms. House will be available in an advisory role through December 31, 2023, to assist in the transition of her duties. Ms. House’s departure is not the result of any disagreement with Lucid’s independent auditors, Lucid’s board of directors (the “Board”), or any committees of the Board, and does not relate to any matter of accounting principles or practices, financial statement disclosure, or internal controls.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11, 2023, Gagan Dhingra, Lucid’s current Vice President of Accounting and Principal Accounting Officer, will additionally serve as Lucid’s interim Chief Financial Officer and Principal Financial Officer, while Lucid’s search for a replacement CFO is underway. Mr. Dhingra will report to Peter Rawlinson, the Company’s Chief Executive Officer and Chief Technology Officer.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Dhingra, 49, has served as Lucid’s Vice President of Accounting and Principal Accounting Officer since December 2021. Prior to joining Lucid, Mr. Dhingra served as Chief Accounting Officer at Anaplan, an enterprise software company where he was responsible for accounting, tax, treasury, stock administration and procurement functions. Prior to Anaplan, Gagan worked in various leadership roles with increased responsibilities at global organizations, including Seagate, McKesson, and Ernst &amp; Young.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Ms. House will continue to receive her regular compensation through December 31, 2023, after which time the Company has agreed to provide Ms. House severance benefits under the Company’s Executive Severance Plan, subject to the terms and conditions thereof. In addition, subject to the terms of her separation agreement, Ms. House will receive a 2023 annual bonus of $215,000, accelerated vesting of 83,987 restricted stock units and 136,221 performance stock units, and $12,500 to cover tax preparation costs for 2023, and she will also be allowed to keep her company vehicle.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Mr. Dhingra will receive the following compensation: (i) an award of restricted stock units with a grant value of $500,000 granted pursuant to the Lucid Group, Inc. Second Amended and Restated 2021 Stock Incentive Plan, which will vest 50% on June 5, 2024 and 50% on December 5, 2024; (ii) an initial appointment bonus of $68,000; (iii) a quarterly bonus of $50,000; and (iv) a monthly stipend of $25,000.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Mr. Dhingra was appointed as interim Chief Financial Officer, and there are no family relationships between Mr. Dhingra and any director or executive officer of Lucid. Additionally, there are no transactions between Mr. Dhingra and Lucid and/or its subsidiaries that would be required to be reported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11, 2023</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Peter Rawlinson</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2023-12-11T15:24:27Z</dcterms:created>
  <dcterms:modified xsi:type="dcterms:W3CDTF">2023-12-11T15:24:27Z</dcterms:modified>
</cp:coreProperties>
</file>