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0000FF"/>
        </w:rPr>
        <w:t>Lucid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549498103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General Counsel's Office, Luci</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7373 Gateway Boulevard,</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Newark, CA, 94560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(510) 648-3553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549498103</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Ayar Third Investment Co</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SAUDI ARABIA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227,028,440.00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227,028,440.00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8979"/>
          </w:cols>
          <w:pgMar w:left="320" w:top="126" w:right="1440" w:bottom="0"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See Item 5 below</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549498103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PUBLIC INVESTMENT FUND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SAUDI ARABIA</w:t>
      </w:r>
    </w:p>
    <w:p>
      <w:pPr>
        <w:sectPr>
          <w:pgSz w:w="11900" w:h="16838" w:orient="portrait"/>
          <w:cols w:equalWidth="0" w:num="1">
            <w:col w:w="10139"/>
          </w:cols>
          <w:pgMar w:left="320" w:top="126" w:right="1440"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ind w:left="320" w:right="7039" w:hanging="271"/>
        <w:spacing w:after="0" w:line="371" w:lineRule="auto"/>
        <w:tabs>
          <w:tab w:leader="none" w:pos="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804,139.00</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227,028,440.00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227,832,579.00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227,832,579.00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60.77 %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See Item 5 below</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549498103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Turqi A. Alnowaiser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111" w:right="1440"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SAUDI ARABIA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232,427.00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227,028,440.00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232,427.00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1"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ind w:left="148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139"/>
          </w:cols>
          <w:pgMar w:left="320" w:top="111" w:right="1440" w:bottom="0" w:gutter="0" w:footer="0" w:header="0"/>
          <w:type w:val="continuous"/>
        </w:sectPr>
      </w:pPr>
    </w:p>
    <w:bookmarkStart w:id="3" w:name="page4"/>
    <w:bookmarkEnd w:id="3"/>
    <w:p>
      <w:pPr>
        <w:ind w:left="1160" w:right="3479" w:hanging="1112"/>
        <w:spacing w:after="0" w:line="371" w:lineRule="auto"/>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227,260,868.00</w:t>
      </w:r>
    </w:p>
    <w:p>
      <w:pPr>
        <w:jc w:val="right"/>
        <w:ind w:right="1599"/>
        <w:spacing w:after="0" w:line="229" w:lineRule="auto"/>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60.62 %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See Item 5 below</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549498103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Yasir Alsalman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12"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SAUDI ARABIA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40,145.00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227,028,440.00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40,145.00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227,068,586.00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100" w:space="60"/>
            <w:col w:w="8979"/>
          </w:cols>
          <w:pgMar w:left="320" w:top="112" w:right="1440" w:bottom="0" w:gutter="0" w:footer="0" w:header="0"/>
          <w:type w:val="continuous"/>
        </w:sectPr>
      </w:pPr>
    </w:p>
    <w:bookmarkStart w:id="4" w:name="page5"/>
    <w:bookmarkEnd w:id="4"/>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See Item 5 below</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Lucid Group,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7373 Gateway Boulevard, Newark, CALIFORNIA , 94560.</w:t>
      </w:r>
    </w:p>
    <w:p>
      <w:pPr>
        <w:spacing w:after="0" w:line="20" w:lineRule="exact"/>
        <w:rPr>
          <w:sz w:val="20"/>
          <w:szCs w:val="20"/>
          <w:color w:val="auto"/>
        </w:rPr>
      </w:pPr>
    </w:p>
    <w:p>
      <w:pPr>
        <w:jc w:val="right"/>
        <w:ind w:left="40"/>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following constitutes Amendment No. 8 ("Amendment No. 8") to the initial statement on Schedule 13D, filed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July 27, 2021 (the "Initial Schedule 13D") by the undersigned, and amendment No. 1 to the Initial Schedule 13D,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filed on November 15, 2022 ("Amendment No. 1"), amendment No. 2 to the Initial Schedule 13D, filed on December 22, 2022 ("Amendment No. 2"), amendment No. 3 to the Initial Schedule 13D, filed on June 26, 2023 ("Amendment No. 3"), amendment No. 4 to the Initial Schedule 13D filed on April 2, 2024 ("Amendment No. 4"), amendment No.</w:t>
      </w:r>
    </w:p>
    <w:p>
      <w:pPr>
        <w:spacing w:after="0" w:line="1" w:lineRule="exact"/>
        <w:rPr>
          <w:sz w:val="20"/>
          <w:szCs w:val="20"/>
          <w:color w:val="auto"/>
        </w:rPr>
      </w:pPr>
    </w:p>
    <w:p>
      <w:pPr>
        <w:jc w:val="both"/>
        <w:ind w:left="1000"/>
        <w:spacing w:after="0" w:line="232" w:lineRule="auto"/>
        <w:rPr>
          <w:sz w:val="20"/>
          <w:szCs w:val="20"/>
          <w:color w:val="auto"/>
        </w:rPr>
      </w:pPr>
      <w:r>
        <w:rPr>
          <w:rFonts w:ascii="Times New Roman" w:cs="Times New Roman" w:eastAsia="Times New Roman" w:hAnsi="Times New Roman"/>
          <w:sz w:val="22"/>
          <w:szCs w:val="22"/>
          <w:color w:val="auto"/>
        </w:rPr>
        <w:t>5 to the Initial Schedule 13D filed on April 2, 2024 ("Amendment No. 5"), amendment No. 6 to the Initial Schedule 13D filed on October 30, 2024 ("Amendment No. 6") and amendment No. 7 to the Initial Schedule 13D filed on April 2, 2025 ("Amendment No. 7" and collectively with the Initial Schedule 13D, Amendment No. 1, Amendment No. 2, Amendment No. 3, Amendment No. 4, Amendment No. 5 and Amendment No. 6, referred to as the "Prior Schedule 13D"). This Amendment No. 8 amends the Prior Schedule 13D as specifically set forth herein. Capitalized terms used in this Amendment No. 8 and not otherwise defined herein have the meanings given to them in the Prior Schedule 13D.</w:t>
      </w:r>
    </w:p>
    <w:p>
      <w:pPr>
        <w:spacing w:after="0" w:line="1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right="38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Public Investment Fund of Saudi Arabia ("PIF"), Ayar Third Investment Company ("Ayar"), Turqi A. Alnowaiser, Yasir Alsalman (the "Reporting Persons")</w:t>
      </w:r>
    </w:p>
    <w:p>
      <w:pPr>
        <w:spacing w:after="0" w:line="17" w:lineRule="exact"/>
        <w:rPr>
          <w:rFonts w:ascii="Times New Roman" w:cs="Times New Roman" w:eastAsia="Times New Roman" w:hAnsi="Times New Roman"/>
          <w:sz w:val="39"/>
          <w:szCs w:val="39"/>
          <w:color w:val="auto"/>
          <w:vertAlign w:val="subscript"/>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Public Investment Fund, P.O. Box 6847, Riyadh 11452, Kingdom of Saudi Arabia</w:t>
      </w:r>
    </w:p>
    <w:p>
      <w:pPr>
        <w:spacing w:after="0" w:line="44" w:lineRule="exact"/>
        <w:rPr>
          <w:rFonts w:ascii="Times New Roman" w:cs="Times New Roman" w:eastAsia="Times New Roman" w:hAnsi="Times New Roman"/>
          <w:sz w:val="22"/>
          <w:szCs w:val="22"/>
          <w:color w:val="auto"/>
        </w:rPr>
      </w:pPr>
    </w:p>
    <w:p>
      <w:pPr>
        <w:ind w:left="960" w:right="6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PIF is the sovereign wealth fund of the Kingdom of Saudi Arabia. Ayar is a wholly-owned subsidiary of PIF. In its capacity as the parent company and ultimate controlling party of Ayar, PIF beneficially owns, and has both dispositive and voting power over, all of the securities reported herein held by Ayar. Mr. Turqi A. Alnowaiser and Mr.</w:t>
      </w:r>
    </w:p>
    <w:p>
      <w:pPr>
        <w:spacing w:after="0" w:line="1" w:lineRule="exact"/>
        <w:rPr>
          <w:rFonts w:ascii="Times New Roman" w:cs="Times New Roman" w:eastAsia="Times New Roman" w:hAnsi="Times New Roman"/>
          <w:sz w:val="22"/>
          <w:szCs w:val="22"/>
          <w:color w:val="auto"/>
        </w:rPr>
      </w:pPr>
    </w:p>
    <w:p>
      <w:pPr>
        <w:ind w:left="960" w:right="60" w:hanging="912"/>
        <w:spacing w:after="0" w:line="234"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Yasir Alsalman are the co-managers of Ayar, and in such capacity have the authority to vote the securities held by Ayar as reported herein. Neither Mr. Alnowaiser nor Mr. Alsalman has individual dispositive power with respect to any securities held by Ayar, as reported herein, and each disclaims beneficial ownership of the shares held by Ayar, as reported herein. See Item 5.</w:t>
      </w:r>
    </w:p>
    <w:p>
      <w:pPr>
        <w:spacing w:after="0" w:line="15"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Kingdom of Saudi Arabia</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80"/>
        <w:spacing w:after="0" w:line="233" w:lineRule="auto"/>
        <w:rPr>
          <w:sz w:val="20"/>
          <w:szCs w:val="20"/>
          <w:color w:val="auto"/>
        </w:rPr>
      </w:pPr>
      <w:r>
        <w:rPr>
          <w:rFonts w:ascii="Times New Roman" w:cs="Times New Roman" w:eastAsia="Times New Roman" w:hAnsi="Times New Roman"/>
          <w:sz w:val="22"/>
          <w:szCs w:val="22"/>
          <w:color w:val="auto"/>
        </w:rPr>
        <w:t>Prepaid Forward Purchase Transaction On November 17, 2025, Lucid Group, Inc. (the "Issuer") announced it had closed an offering of $975,000,000 aggregate principal amount of 7.00% convertible senior notes due 2031 (the "notes"). In connection with the pricing of the notes, Ayar entered into a privately negotiated prepaid forward share purchase transaction (the "prepaid forward transaction") with Citibank N.A. (the "forward counterparty"), pursuant to which Ayar will purchase 37,477,050 shares of Class A common stock, par value $0.0001 per share ("Common Stock") of the Issuer for $636,735,079.50 with delivery of those shares to occur no later than November 1, 2031, subject to the forward counterparty's right to settle its delivery obligations prior to that date and subject to the optional cash settlement provisions of the prepaid forward transaction and the other conditions set forth in the agreement governing the prepaid forward transaction. The prepaid forward transaction is generally intended to facilitate privately negotiated derivative transactions, including swaps, between the forward counterparty or its affiliates and investors in the notes relating to the Issuer's common stock by which investors in the notes will hedge their investments in the notes. The prepaid forward transaction was subject to termination if the issuance of the notes was not consummated. The settlement of the issuance of the notes occurred on November 17, 2025. The description of the prepaid forward transaction does not purport to be complete and is qualified in its entirety by reference to the full text of the Forward Stock Purchase Transaction Agreement included as Exhibit 17 hereto.</w:t>
      </w:r>
    </w:p>
    <w:p>
      <w:pPr>
        <w:spacing w:after="0" w:line="15"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right="60" w:hanging="912"/>
        <w:spacing w:after="0" w:line="255" w:lineRule="auto"/>
        <w:tabs>
          <w:tab w:leader="none" w:pos="96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PIF directly owns 804,139 shares of Common Stock and has sole voting and dispositive power of such shares. PIF may, pursuant to Rule 13d-3, be deemed to beneficially own the 227,028,440 shares of Common Stock directly owned by Ayar, including 31,810,851 shares of Common Stock issuable upon conversion of the Series A Convertible Preferred Stock and 18,932,860 shares of Common Stock issuable upon conversion of the Series B Preferred Stock as</w:t>
      </w:r>
    </w:p>
    <w:p>
      <w:pPr>
        <w:sectPr>
          <w:pgSz w:w="11900" w:h="16877" w:orient="portrait"/>
          <w:cols w:equalWidth="0" w:num="1">
            <w:col w:w="11200"/>
          </w:cols>
          <w:pgMar w:left="320" w:top="355" w:right="379" w:bottom="0" w:gutter="0" w:footer="0" w:header="0"/>
        </w:sectPr>
      </w:pPr>
    </w:p>
    <w:bookmarkStart w:id="5" w:name="page6"/>
    <w:bookmarkEnd w:id="5"/>
    <w:p>
      <w:pPr>
        <w:ind w:left="920" w:right="40"/>
        <w:spacing w:after="0" w:line="244" w:lineRule="auto"/>
        <w:rPr>
          <w:sz w:val="20"/>
          <w:szCs w:val="20"/>
          <w:color w:val="auto"/>
        </w:rPr>
      </w:pPr>
      <w:r>
        <w:rPr>
          <w:rFonts w:ascii="Times New Roman" w:cs="Times New Roman" w:eastAsia="Times New Roman" w:hAnsi="Times New Roman"/>
          <w:sz w:val="21"/>
          <w:szCs w:val="21"/>
          <w:color w:val="auto"/>
        </w:rPr>
        <w:t>of the date hereof, aggregating to a beneficial ownership of 227,832,579 shares. The number of shares of Common Stock issuable upon conversion of the Series A Convertible Preferred Stock and Series B Convertible Preferred Stock as of the date hereof reflects increases in the compounded returns on the shares of Series A Convertible Preferred Stock and Series B Convertible Preferred Stock in accordance with the terms thereof. The Ayar securities and the shares of Common Stock held directly by PIF represent approximately 60.77% of the Issuer's issued and outstanding shares Common Stock. PIF disclaims beneficial ownership of the Ayar securities except to the extent of its pecuniary interest therein. * Ayar directly owns 227,028,440 shares of Common Stock, including the shares of Common Stock issuable upon conversion of the Convertible Preferred Stock as of the date hereof, and has shared voting power over such shares, which represent approximately 60.56% of the Issuer's issued and outstanding shares of Common Stock.</w:t>
      </w:r>
    </w:p>
    <w:p>
      <w:pPr>
        <w:spacing w:after="0" w:line="2" w:lineRule="exact"/>
        <w:rPr>
          <w:sz w:val="20"/>
          <w:szCs w:val="20"/>
          <w:color w:val="auto"/>
        </w:rPr>
      </w:pPr>
    </w:p>
    <w:p>
      <w:pPr>
        <w:ind w:left="920" w:right="120"/>
        <w:spacing w:after="0" w:line="231" w:lineRule="auto"/>
        <w:rPr>
          <w:sz w:val="20"/>
          <w:szCs w:val="20"/>
          <w:color w:val="auto"/>
        </w:rPr>
      </w:pPr>
      <w:r>
        <w:rPr>
          <w:rFonts w:ascii="Times New Roman" w:cs="Times New Roman" w:eastAsia="Times New Roman" w:hAnsi="Times New Roman"/>
          <w:sz w:val="22"/>
          <w:szCs w:val="22"/>
          <w:color w:val="auto"/>
        </w:rPr>
        <w:t>* Mr. Alnowaiser, as the co-manager of Ayar, has shared voting power over 227,028,440 shares of Common Stock held by Ayar, including the shares of Common Stock issuable upon conversion of the Convertible Preferred Stock as of the date hereof. In addition, Mr. Alnowaiser has sole voting and dispositive power over 232,427 shares of Common Stock held in his name. Accordingly, Mr. Alnowaiser may be deemed the beneficial owner of an aggregate of 227,260,868 shares of Common Stock, representing approximately 60.62% of the Issuer's issued and outstanding shares of Common Stock. Mr. Alnowaiser disclaims beneficial ownership of any securities held by Ayar. * Mr. Alsalman, as the co-manager of Ayar, has shared voting power over 227,028,440 shares of Common Stock held by Ayar, including the shares of Common Stock issuable upon conversion of the Convertible Preferred Stock as of the date hereof. In addition, Mr. Alsalman has sole voting and dispositive power over 40,145 shares of Common Stock held in his name. Accordingly, Mr. Alsalman may be deemed the beneficial owner of an aggregate of 227,068,586 shares of Common Stock, representing approximately 60.57% of the Issuer's issued and outstanding shares of Common Stock. Mr. Alsalman disclaims beneficial ownership of any securities held by Ayar. The percentages set forth in this Item 5(a) are based on 324,168,457 shares of Common Stock issued and outstanding as of October 30, 2025, as provided by the Issuer. The amounts above do not include any shares deliverable in the future to Ayar pursuant to the prepaid forward transactions reported in Amendment No. 7 or this Amendment No. 8. All share numbers reported herein give effect to the 1-for-10 reverse stock split of Lucid's shares of Class A common stock effective on August 29, 2025. Each of the Reporting Persons may be deemed to be a member of a group with respect to the Issuer or securities of the Issuer for the purposes of Section 13(d) or 13(g) of the Act. Each of the Reporting Persons disclaims beneficial ownership of all of the shares of Common Stock included in this report, except to the extent of any pecuniary interests therein, and the filing of this report shall not be construed as an admission that any such person or entity is the beneficial owner of any such securities for purposes of Section 13(d) or 13(g) of the Act, or for any other purpose.</w:t>
      </w:r>
    </w:p>
    <w:p>
      <w:pPr>
        <w:spacing w:after="0" w:line="19"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section (a)</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Ayar entered into the Forward Stock Purchase Transaction Agreement, agreeing to purchase an aggregate of</w:t>
      </w:r>
    </w:p>
    <w:p>
      <w:pPr>
        <w:spacing w:after="0" w:line="14" w:lineRule="exact"/>
        <w:rPr>
          <w:rFonts w:ascii="Times New Roman" w:cs="Times New Roman" w:eastAsia="Times New Roman" w:hAnsi="Times New Roman"/>
          <w:sz w:val="22"/>
          <w:szCs w:val="22"/>
          <w:color w:val="auto"/>
        </w:rPr>
      </w:pPr>
    </w:p>
    <w:p>
      <w:pPr>
        <w:ind w:left="920" w:right="340" w:hanging="912"/>
        <w:spacing w:after="0" w:line="237"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37,477,050 shares of Common Stock for $16.99 per share, to be delivered in the future, no later than November 1, 2031.</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60"/>
        <w:spacing w:after="0" w:line="234" w:lineRule="auto"/>
        <w:rPr>
          <w:sz w:val="20"/>
          <w:szCs w:val="20"/>
          <w:color w:val="auto"/>
        </w:rPr>
      </w:pPr>
      <w:r>
        <w:rPr>
          <w:rFonts w:ascii="Times New Roman" w:cs="Times New Roman" w:eastAsia="Times New Roman" w:hAnsi="Times New Roman"/>
          <w:sz w:val="22"/>
          <w:szCs w:val="22"/>
          <w:color w:val="auto"/>
        </w:rPr>
        <w:t>The response to Item 4 of this Schedule 13D is incorporated by reference herein. Sixth IRA Amendment In connection with the prepaid forward transaction, the Issuer entered into an amendment to the Investor Rights Agreement (the "Sixth IRA Amendment"). Pursuant to the Sixth IRA Amendment, Ayar will be entitled to certain registration rights, including demand, piggy-back and shelf registration rights, with respect to (i) the shares of Lucid's common stock to be delivered to Ayar pursuant to the prepaid forward transaction Ayar entered into in connection with the Issuer's private offering of its 5.00% Convertible Senior Notes due 2030 in April 2025 and (ii) the shares of Lucid's common stock to be delivered to Ayar pursuant to the prepaid forward transaction described in this Amendment No. 8. The description of the Sixth IRA Amendment does not purport to be complete and is qualified in its entirety by reference to the full text of the Sixth IRA Amendment included as Exhibit 18 hereto.</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340" w:firstLine="6"/>
        <w:spacing w:after="0" w:line="255" w:lineRule="auto"/>
        <w:tabs>
          <w:tab w:leader="none" w:pos="1244"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Forward Stock Purchase Transaction Agreement dated November 11, 2025 between Citibank, N.A. and Ayar Third Investment Company 18. Amendment No. 6 to the Investors Rights Agreement by and among Lucid Group, Inc., Ayar Third Investment Company and the other parties thereto (filed as Exhibit 10.1 to Lucid Group, Inc.'s Current Report on Form 8-K filed with the SEC on November 17, 2025, and incorporated herein by reference).</w:t>
      </w:r>
    </w:p>
    <w:p>
      <w:pPr>
        <w:spacing w:after="0" w:line="2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Ayar Third Investment Co</w:t>
      </w:r>
    </w:p>
    <w:p>
      <w:pPr>
        <w:spacing w:after="0" w:line="152" w:lineRule="exact"/>
        <w:rPr>
          <w:sz w:val="20"/>
          <w:szCs w:val="20"/>
          <w:color w:val="auto"/>
        </w:rPr>
      </w:pPr>
    </w:p>
    <w:p>
      <w:pPr>
        <w:ind w:left="39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Turqi A. Alnowaiser</w:t>
      </w:r>
    </w:p>
    <w:p>
      <w:pPr>
        <w:spacing w:after="0" w:line="4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Name/Title: Turqi A. Alnowaiser, Manager</w:t>
      </w:r>
    </w:p>
    <w:p>
      <w:pPr>
        <w:spacing w:after="0" w:line="44" w:lineRule="exact"/>
        <w:rPr>
          <w:sz w:val="20"/>
          <w:szCs w:val="20"/>
          <w:color w:val="auto"/>
        </w:rPr>
      </w:pPr>
    </w:p>
    <w:p>
      <w:pPr>
        <w:ind w:left="3940"/>
        <w:spacing w:after="0"/>
        <w:tabs>
          <w:tab w:leader="none" w:pos="5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11/25/2025</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PUBLIC INVESTMENT FUND</w:t>
      </w:r>
    </w:p>
    <w:p>
      <w:pPr>
        <w:spacing w:after="0" w:line="152" w:lineRule="exact"/>
        <w:rPr>
          <w:sz w:val="20"/>
          <w:szCs w:val="20"/>
          <w:color w:val="auto"/>
        </w:rPr>
      </w:pPr>
    </w:p>
    <w:p>
      <w:pPr>
        <w:ind w:left="414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Yasir O. AlRumayyan</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Name/Title: Yasir O. AlRumayyan, Governor</w:t>
      </w:r>
    </w:p>
    <w:p>
      <w:pPr>
        <w:sectPr>
          <w:pgSz w:w="11900" w:h="16838" w:orient="portrait"/>
          <w:cols w:equalWidth="0" w:num="1">
            <w:col w:w="11140"/>
          </w:cols>
          <w:pgMar w:left="360" w:top="111" w:right="399" w:bottom="0" w:gutter="0" w:footer="0" w:header="0"/>
        </w:sectPr>
      </w:pPr>
    </w:p>
    <w:bookmarkStart w:id="6" w:name="page7"/>
    <w:bookmarkEnd w:id="6"/>
    <w:p>
      <w:pPr>
        <w:jc w:val="both"/>
        <w:ind w:left="306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11/25/2025</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Turqi A. Alnowaiser</w:t>
      </w:r>
    </w:p>
    <w:p>
      <w:pPr>
        <w:spacing w:after="0" w:line="152" w:lineRule="exact"/>
        <w:rPr>
          <w:sz w:val="20"/>
          <w:szCs w:val="20"/>
          <w:color w:val="auto"/>
        </w:rPr>
      </w:pPr>
    </w:p>
    <w:p>
      <w:pPr>
        <w:ind w:left="1980"/>
        <w:spacing w:after="0"/>
        <w:tabs>
          <w:tab w:leader="none" w:pos="3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Turqi Alnowaiser</w:t>
      </w:r>
    </w:p>
    <w:p>
      <w:pPr>
        <w:spacing w:after="0" w:line="4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Name/Title: Turqi Alnowaiser</w:t>
      </w:r>
    </w:p>
    <w:p>
      <w:pPr>
        <w:spacing w:after="0" w:line="44" w:lineRule="exact"/>
        <w:rPr>
          <w:sz w:val="20"/>
          <w:szCs w:val="20"/>
          <w:color w:val="auto"/>
        </w:rPr>
      </w:pPr>
    </w:p>
    <w:p>
      <w:pPr>
        <w:ind w:left="1980"/>
        <w:spacing w:after="0"/>
        <w:tabs>
          <w:tab w:leader="none" w:pos="3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11/25/2025</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Yasir Alsalman</w:t>
      </w:r>
    </w:p>
    <w:p>
      <w:pPr>
        <w:spacing w:after="0" w:line="152" w:lineRule="exact"/>
        <w:rPr>
          <w:sz w:val="20"/>
          <w:szCs w:val="20"/>
          <w:color w:val="auto"/>
        </w:rPr>
      </w:pPr>
    </w:p>
    <w:p>
      <w:pPr>
        <w:ind w:left="180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Yasir Alsalman</w:t>
      </w:r>
    </w:p>
    <w:p>
      <w:pPr>
        <w:spacing w:after="0" w:line="4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Name/Title: Yasir Alsalman</w:t>
      </w:r>
    </w:p>
    <w:p>
      <w:pPr>
        <w:spacing w:after="0" w:line="44" w:lineRule="exact"/>
        <w:rPr>
          <w:sz w:val="20"/>
          <w:szCs w:val="20"/>
          <w:color w:val="auto"/>
        </w:rPr>
      </w:pPr>
    </w:p>
    <w:p>
      <w:pPr>
        <w:ind w:left="180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11/25/2025</w:t>
      </w:r>
    </w:p>
    <w:p>
      <w:pPr>
        <w:sectPr>
          <w:pgSz w:w="11900" w:h="16838" w:orient="portrait"/>
          <w:cols w:equalWidth="0" w:num="1">
            <w:col w:w="9019"/>
          </w:cols>
          <w:pgMar w:left="1440" w:top="111" w:right="1440"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17</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color w:val="auto"/>
        </w:rPr>
        <w:t>Ayar Third Investment Company</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Prince Turki bin Abdul Aziz Al-Awal Road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P.O. Box 6847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Riyadh 11452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Kingdom of Saudi Arabia</w:t>
      </w:r>
    </w:p>
    <w:p>
      <w:pPr>
        <w:spacing w:after="0" w:line="9"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color w:val="auto"/>
        </w:rPr>
        <w:t>Attention:</w:t>
        <w:tab/>
        <w:t>Turqi Alnowaiser</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Yasir Alsalman</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From:</w:t>
      </w:r>
      <w:r>
        <w:rPr>
          <w:sz w:val="20"/>
          <w:szCs w:val="20"/>
          <w:color w:val="auto"/>
        </w:rPr>
        <w:tab/>
      </w:r>
      <w:r>
        <w:rPr>
          <w:rFonts w:ascii="Times New Roman" w:cs="Times New Roman" w:eastAsia="Times New Roman" w:hAnsi="Times New Roman"/>
          <w:sz w:val="17"/>
          <w:szCs w:val="17"/>
          <w:color w:val="auto"/>
        </w:rPr>
        <w:t>Citibank, N.A.</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10013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Equity Derivatives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color w:val="auto"/>
        </w:rPr>
        <w:t>Forward Stock Purchase Transaction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November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 / Madam:</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The purpose of this letter agreement (this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is to confirm the terms and conditions of the transaction entered into between Citibank, N.A.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and Ayar Third Investment Company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on the Trade Date specified below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This letter agreement constitutes a “Confirmation” as referred to in the ISDA Master Agreement specified below. Each party further agrees that this Confirmation together with the Master Agreement evidence a complete binding agreement between Counterparty and Dealer as to the subject matter and terms of the Transaction to which this Confirmation relates and shall supersede all prior or contemporaneous written or oral communications with respect thereto.</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The definitions and provisions contained in the 2006 ISDA Definitions (the “</w:t>
      </w:r>
      <w:r>
        <w:rPr>
          <w:rFonts w:ascii="Times New Roman" w:cs="Times New Roman" w:eastAsia="Times New Roman" w:hAnsi="Times New Roman"/>
          <w:sz w:val="18"/>
          <w:szCs w:val="18"/>
          <w:b w:val="1"/>
          <w:bCs w:val="1"/>
          <w:color w:val="auto"/>
        </w:rPr>
        <w:t>Swap Definitions</w:t>
      </w:r>
      <w:r>
        <w:rPr>
          <w:rFonts w:ascii="Times New Roman" w:cs="Times New Roman" w:eastAsia="Times New Roman" w:hAnsi="Times New Roman"/>
          <w:sz w:val="18"/>
          <w:szCs w:val="18"/>
          <w:color w:val="auto"/>
        </w:rPr>
        <w:t>”) and the 2002 ISDA Equity Derivatives Definitions (the “</w:t>
      </w:r>
      <w:r>
        <w:rPr>
          <w:rFonts w:ascii="Times New Roman" w:cs="Times New Roman" w:eastAsia="Times New Roman" w:hAnsi="Times New Roman"/>
          <w:sz w:val="18"/>
          <w:szCs w:val="18"/>
          <w:b w:val="1"/>
          <w:bCs w:val="1"/>
          <w:color w:val="auto"/>
        </w:rPr>
        <w:t>Equity Definitions</w:t>
      </w:r>
      <w:r>
        <w:rPr>
          <w:rFonts w:ascii="Times New Roman" w:cs="Times New Roman" w:eastAsia="Times New Roman" w:hAnsi="Times New Roman"/>
          <w:sz w:val="18"/>
          <w:szCs w:val="18"/>
          <w:color w:val="auto"/>
        </w:rPr>
        <w:t>” and together with the Swap Definitions, the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in each case as published by the International Swaps and Derivatives Association, Inc. (“</w:t>
      </w:r>
      <w:r>
        <w:rPr>
          <w:rFonts w:ascii="Times New Roman" w:cs="Times New Roman" w:eastAsia="Times New Roman" w:hAnsi="Times New Roman"/>
          <w:sz w:val="18"/>
          <w:szCs w:val="18"/>
          <w:b w:val="1"/>
          <w:bCs w:val="1"/>
          <w:color w:val="auto"/>
        </w:rPr>
        <w:t>ISDA</w:t>
      </w:r>
      <w:r>
        <w:rPr>
          <w:rFonts w:ascii="Times New Roman" w:cs="Times New Roman" w:eastAsia="Times New Roman" w:hAnsi="Times New Roman"/>
          <w:sz w:val="18"/>
          <w:szCs w:val="18"/>
          <w:color w:val="auto"/>
        </w:rPr>
        <w:t>”), are incorporated into this Confirmation. In the event of any inconsistency between the Swap Definitions and the Equity Definitions, the Equity Definitions shall govern and in the event of any inconsistency between the Definitions and this Confirmation, this Confirmation shall govern.</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this Confirmation, Dealer and Issuer have entered into a letter agreement dated as of the date hereof in which Issuer makes certain representations, warranties and covenants to Dealer (the “</w:t>
      </w:r>
      <w:r>
        <w:rPr>
          <w:rFonts w:ascii="Times New Roman" w:cs="Times New Roman" w:eastAsia="Times New Roman" w:hAnsi="Times New Roman"/>
          <w:sz w:val="18"/>
          <w:szCs w:val="18"/>
          <w:b w:val="1"/>
          <w:bCs w:val="1"/>
          <w:color w:val="auto"/>
        </w:rPr>
        <w:t>Issuer Letter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7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1.             This Confirmation evidences a complete binding agreement between Counterparty and Dealer as to the terms of the Transaction to which this Confirmation relates. This Confirmation (notwithstanding anything to the contrary herein) shall be subject to an agreement in the form of the 2002 ISDA Master Agreement (the “</w:t>
      </w:r>
      <w:r>
        <w:rPr>
          <w:rFonts w:ascii="Times New Roman" w:cs="Times New Roman" w:eastAsia="Times New Roman" w:hAnsi="Times New Roman"/>
          <w:sz w:val="18"/>
          <w:szCs w:val="18"/>
          <w:b w:val="1"/>
          <w:bCs w:val="1"/>
          <w:color w:val="auto"/>
        </w:rPr>
        <w:t>Master Agreement</w:t>
      </w:r>
      <w:r>
        <w:rPr>
          <w:rFonts w:ascii="Times New Roman" w:cs="Times New Roman" w:eastAsia="Times New Roman" w:hAnsi="Times New Roman"/>
          <w:sz w:val="18"/>
          <w:szCs w:val="18"/>
          <w:color w:val="auto"/>
        </w:rPr>
        <w:t>”) as if Dealer and Counterparty had executed an agreement in such form (but without any Schedule except for</w:t>
      </w:r>
    </w:p>
    <w:p>
      <w:pPr>
        <w:spacing w:after="0" w:line="1" w:lineRule="exact"/>
        <w:rPr>
          <w:sz w:val="20"/>
          <w:szCs w:val="20"/>
          <w:color w:val="auto"/>
        </w:rPr>
      </w:pPr>
    </w:p>
    <w:p>
      <w:pPr>
        <w:jc w:val="both"/>
        <w:ind w:firstLine="8"/>
        <w:spacing w:after="0" w:line="251" w:lineRule="auto"/>
        <w:tabs>
          <w:tab w:leader="none" w:pos="2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laws of the State of New York as the governing law (without reference to choice of law doctrine) and (ii) the election that the “Cross-Default” provisions of Section 5(a)(vi) of the Master Agreement shall apply to Dealer with (a) a “Threshold Amount” of 3% of the shareholders’ equity of Dealer’s ultimate parent on the Trade Date, (b) “Specified Indebtedness” having the meaning set forth in Section 14 of the Master Agreement, except that it shall not include any obligation in respect of deposits received in the ordinary course of Dealer’s banking business, (c) the phrase “, or becoming capable at such time of being declared,” being deleted from clause (1) of such Section 5(a)(vi) of the Master Agreement, and (d) the following sentence being added to the end of Section 5(a)(vi) of the Master Agreement: “Notwithstanding the foregoing, a default under subsection (2) hereof shall not constitute an Event of Default if (i) the default was caused solely by error or omission of an administrative or operational nature; (ii) funds were available to enable the relevant party to make payment when due; and (iii) the payment is made within two Local Business Days of such party’s receipt of written notice of its failure to pay.”) on the Trade Date. In the event of any inconsistency between the provisions of the Master Agreement and this Confirmation, this Confirmation will prevail for the purpose of the Transaction to which this Confirmation relates. The parties hereby agree that no transaction other than the Transaction to which this Confirmation relates shall be governed by the Master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t>2.             The Transaction constitutes a Share Forward Transaction for purposes of the Equity Definitions. The terms of the particular Transaction to which this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Confirmation relates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General Terms:</w:t>
            </w:r>
          </w:p>
        </w:tc>
        <w:tc>
          <w:tcPr>
            <w:tcW w:w="8540" w:type="dxa"/>
            <w:vAlign w:val="bottom"/>
          </w:tcPr>
          <w:p>
            <w:pPr>
              <w:spacing w:after="0"/>
              <w:rPr>
                <w:sz w:val="20"/>
                <w:szCs w:val="20"/>
                <w:color w:val="auto"/>
              </w:rPr>
            </w:pPr>
          </w:p>
        </w:tc>
      </w:tr>
      <w:tr>
        <w:trPr>
          <w:trHeight w:val="392"/>
        </w:trPr>
        <w:tc>
          <w:tcPr>
            <w:tcW w:w="2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Date:</w:t>
            </w:r>
          </w:p>
        </w:tc>
        <w:tc>
          <w:tcPr>
            <w:tcW w:w="8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November 11, 2025</w:t>
            </w:r>
          </w:p>
        </w:tc>
      </w:tr>
      <w:tr>
        <w:trPr>
          <w:trHeight w:val="392"/>
        </w:trPr>
        <w:tc>
          <w:tcPr>
            <w:tcW w:w="2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Effective Date:</w:t>
            </w:r>
          </w:p>
        </w:tc>
        <w:tc>
          <w:tcPr>
            <w:tcW w:w="8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November 17, 2025, subject to cancellation of the Transaction as provided in Section 7(c).</w:t>
            </w:r>
          </w:p>
        </w:tc>
      </w:tr>
      <w:tr>
        <w:trPr>
          <w:trHeight w:val="391"/>
        </w:trPr>
        <w:tc>
          <w:tcPr>
            <w:tcW w:w="2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Seller:</w:t>
            </w:r>
          </w:p>
        </w:tc>
        <w:tc>
          <w:tcPr>
            <w:tcW w:w="8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Dealer</w:t>
            </w:r>
          </w:p>
        </w:tc>
      </w:tr>
      <w:tr>
        <w:trPr>
          <w:trHeight w:val="392"/>
        </w:trPr>
        <w:tc>
          <w:tcPr>
            <w:tcW w:w="2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Buyer:</w:t>
            </w:r>
          </w:p>
        </w:tc>
        <w:tc>
          <w:tcPr>
            <w:tcW w:w="8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Counterparty</w:t>
            </w:r>
          </w:p>
        </w:tc>
      </w:tr>
      <w:tr>
        <w:trPr>
          <w:trHeight w:val="369"/>
        </w:trPr>
        <w:tc>
          <w:tcPr>
            <w:tcW w:w="2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w:t>
            </w:r>
          </w:p>
        </w:tc>
        <w:tc>
          <w:tcPr>
            <w:tcW w:w="8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Class A Common Stock of Lucid Group, Inc.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par value USD0.0001 per share (Ticker Symbol:</w:t>
            </w:r>
          </w:p>
        </w:tc>
      </w:tr>
      <w:tr>
        <w:trPr>
          <w:trHeight w:val="238"/>
        </w:trPr>
        <w:tc>
          <w:tcPr>
            <w:tcW w:w="2700" w:type="dxa"/>
            <w:vAlign w:val="bottom"/>
          </w:tcPr>
          <w:p>
            <w:pPr>
              <w:spacing w:after="0"/>
              <w:rPr>
                <w:sz w:val="20"/>
                <w:szCs w:val="20"/>
                <w:color w:val="auto"/>
              </w:rPr>
            </w:pPr>
          </w:p>
        </w:tc>
        <w:tc>
          <w:tcPr>
            <w:tcW w:w="8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LCID</w:t>
            </w:r>
            <w:r>
              <w:rPr>
                <w:rFonts w:ascii="Times New Roman" w:cs="Times New Roman" w:eastAsia="Times New Roman" w:hAnsi="Times New Roman"/>
                <w:sz w:val="18"/>
                <w:szCs w:val="18"/>
                <w:color w:val="auto"/>
              </w:rPr>
              <w:t>”).</w:t>
            </w:r>
          </w:p>
        </w:tc>
      </w:tr>
      <w:tr>
        <w:trPr>
          <w:trHeight w:val="373"/>
        </w:trPr>
        <w:tc>
          <w:tcPr>
            <w:tcW w:w="2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Number of Shares:</w:t>
            </w:r>
          </w:p>
        </w:tc>
        <w:tc>
          <w:tcPr>
            <w:tcW w:w="8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Initially 37,477,050 Shares. On each Settlement Date and on each Cash Settlement Payment Date, the Number</w:t>
            </w:r>
          </w:p>
        </w:tc>
      </w:tr>
      <w:tr>
        <w:trPr>
          <w:trHeight w:val="216"/>
        </w:trPr>
        <w:tc>
          <w:tcPr>
            <w:tcW w:w="2700" w:type="dxa"/>
            <w:vAlign w:val="bottom"/>
          </w:tcPr>
          <w:p>
            <w:pPr>
              <w:spacing w:after="0"/>
              <w:rPr>
                <w:sz w:val="18"/>
                <w:szCs w:val="18"/>
                <w:color w:val="auto"/>
              </w:rPr>
            </w:pPr>
          </w:p>
        </w:tc>
        <w:tc>
          <w:tcPr>
            <w:tcW w:w="8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 Shares shall be reduced by the Daily Number of Shares for the Valuation Date corresponding to such</w:t>
            </w:r>
          </w:p>
        </w:tc>
      </w:tr>
      <w:tr>
        <w:trPr>
          <w:trHeight w:val="234"/>
        </w:trPr>
        <w:tc>
          <w:tcPr>
            <w:tcW w:w="2700" w:type="dxa"/>
            <w:vAlign w:val="bottom"/>
          </w:tcPr>
          <w:p>
            <w:pPr>
              <w:spacing w:after="0"/>
              <w:rPr>
                <w:sz w:val="20"/>
                <w:szCs w:val="20"/>
                <w:color w:val="auto"/>
              </w:rPr>
            </w:pPr>
          </w:p>
        </w:tc>
        <w:tc>
          <w:tcPr>
            <w:tcW w:w="8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Settlement Date or Cash Settlement Payment Date, as the case may be.</w:t>
            </w:r>
          </w:p>
        </w:tc>
      </w:tr>
      <w:tr>
        <w:trPr>
          <w:trHeight w:val="373"/>
        </w:trPr>
        <w:tc>
          <w:tcPr>
            <w:tcW w:w="2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Daily Number of Shares:</w:t>
            </w:r>
          </w:p>
        </w:tc>
        <w:tc>
          <w:tcPr>
            <w:tcW w:w="85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For any Valuation Date occurring prior to the Note Maturity Date, the number of Shares specified by Dealer in</w:t>
            </w:r>
          </w:p>
        </w:tc>
      </w:tr>
      <w:tr>
        <w:trPr>
          <w:trHeight w:val="216"/>
        </w:trPr>
        <w:tc>
          <w:tcPr>
            <w:tcW w:w="2700" w:type="dxa"/>
            <w:vAlign w:val="bottom"/>
          </w:tcPr>
          <w:p>
            <w:pPr>
              <w:spacing w:after="0"/>
              <w:rPr>
                <w:sz w:val="18"/>
                <w:szCs w:val="18"/>
                <w:color w:val="auto"/>
              </w:rPr>
            </w:pPr>
          </w:p>
        </w:tc>
        <w:tc>
          <w:tcPr>
            <w:tcW w:w="8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related Settlement Notice (as defined below in the provisions opposite the caption “Valuation Dates”),</w:t>
            </w:r>
          </w:p>
        </w:tc>
      </w:tr>
      <w:tr>
        <w:trPr>
          <w:trHeight w:val="216"/>
        </w:trPr>
        <w:tc>
          <w:tcPr>
            <w:tcW w:w="2700" w:type="dxa"/>
            <w:vAlign w:val="bottom"/>
          </w:tcPr>
          <w:p>
            <w:pPr>
              <w:spacing w:after="0"/>
              <w:rPr>
                <w:sz w:val="18"/>
                <w:szCs w:val="18"/>
                <w:color w:val="auto"/>
              </w:rPr>
            </w:pPr>
          </w:p>
        </w:tc>
        <w:tc>
          <w:tcPr>
            <w:tcW w:w="8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which shall not exceed the Number of Shares on such Valuation Date, and for the Valuation Date occurring on</w:t>
            </w:r>
          </w:p>
        </w:tc>
      </w:tr>
      <w:tr>
        <w:trPr>
          <w:trHeight w:val="234"/>
        </w:trPr>
        <w:tc>
          <w:tcPr>
            <w:tcW w:w="2700" w:type="dxa"/>
            <w:vAlign w:val="bottom"/>
          </w:tcPr>
          <w:p>
            <w:pPr>
              <w:spacing w:after="0"/>
              <w:rPr>
                <w:sz w:val="20"/>
                <w:szCs w:val="20"/>
                <w:color w:val="auto"/>
              </w:rPr>
            </w:pPr>
          </w:p>
        </w:tc>
        <w:tc>
          <w:tcPr>
            <w:tcW w:w="8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Note Maturity Date, if any, the Number of Shares as of such Valuation Date.</w:t>
            </w:r>
          </w:p>
        </w:tc>
      </w:tr>
      <w:tr>
        <w:trPr>
          <w:trHeight w:val="392"/>
        </w:trPr>
        <w:tc>
          <w:tcPr>
            <w:tcW w:w="2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Forward Price:</w:t>
            </w:r>
          </w:p>
        </w:tc>
        <w:tc>
          <w:tcPr>
            <w:tcW w:w="8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USD16.99</w:t>
            </w:r>
          </w:p>
        </w:tc>
      </w:tr>
      <w:tr>
        <w:trPr>
          <w:trHeight w:val="392"/>
        </w:trPr>
        <w:tc>
          <w:tcPr>
            <w:tcW w:w="2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Prepayment:</w:t>
            </w:r>
          </w:p>
        </w:tc>
        <w:tc>
          <w:tcPr>
            <w:tcW w:w="8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Applicable</w:t>
            </w:r>
          </w:p>
        </w:tc>
      </w:tr>
      <w:tr>
        <w:trPr>
          <w:trHeight w:val="391"/>
        </w:trPr>
        <w:tc>
          <w:tcPr>
            <w:tcW w:w="2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Prepayment Amount:</w:t>
            </w:r>
          </w:p>
        </w:tc>
        <w:tc>
          <w:tcPr>
            <w:tcW w:w="8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USD636,735,079.50</w:t>
            </w:r>
          </w:p>
        </w:tc>
      </w:tr>
      <w:tr>
        <w:trPr>
          <w:trHeight w:val="392"/>
        </w:trPr>
        <w:tc>
          <w:tcPr>
            <w:tcW w:w="2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Prepayment Date:</w:t>
            </w:r>
          </w:p>
        </w:tc>
        <w:tc>
          <w:tcPr>
            <w:tcW w:w="8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November 25, 2025, so long as no termination of the Transaction has occurred as provided in Section 7(c).</w:t>
            </w:r>
          </w:p>
        </w:tc>
      </w:tr>
      <w:tr>
        <w:trPr>
          <w:trHeight w:val="392"/>
        </w:trPr>
        <w:tc>
          <w:tcPr>
            <w:tcW w:w="2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 Maturity Date:</w:t>
            </w:r>
          </w:p>
        </w:tc>
        <w:tc>
          <w:tcPr>
            <w:tcW w:w="8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November 1, 2031</w:t>
            </w:r>
          </w:p>
        </w:tc>
      </w:tr>
      <w:tr>
        <w:trPr>
          <w:trHeight w:val="391"/>
        </w:trPr>
        <w:tc>
          <w:tcPr>
            <w:tcW w:w="2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Exchange:</w:t>
            </w:r>
          </w:p>
        </w:tc>
        <w:tc>
          <w:tcPr>
            <w:tcW w:w="8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392"/>
        </w:trPr>
        <w:tc>
          <w:tcPr>
            <w:tcW w:w="2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Related Exchange(s):</w:t>
            </w:r>
          </w:p>
        </w:tc>
        <w:tc>
          <w:tcPr>
            <w:tcW w:w="8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All Exchanges.</w:t>
            </w:r>
          </w:p>
        </w:tc>
      </w:tr>
      <w:tr>
        <w:trPr>
          <w:trHeight w:val="373"/>
        </w:trPr>
        <w:tc>
          <w:tcPr>
            <w:tcW w:w="2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Calculation Agent:</w:t>
            </w:r>
          </w:p>
        </w:tc>
        <w:tc>
          <w:tcPr>
            <w:tcW w:w="8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xml:space="preserve">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following the occurrence and during the continuance of an Event of Default pursuant to</w:t>
            </w:r>
          </w:p>
        </w:tc>
      </w:tr>
      <w:tr>
        <w:trPr>
          <w:trHeight w:val="216"/>
        </w:trPr>
        <w:tc>
          <w:tcPr>
            <w:tcW w:w="2700" w:type="dxa"/>
            <w:vAlign w:val="bottom"/>
          </w:tcPr>
          <w:p>
            <w:pPr>
              <w:spacing w:after="0"/>
              <w:rPr>
                <w:sz w:val="18"/>
                <w:szCs w:val="18"/>
                <w:color w:val="auto"/>
              </w:rPr>
            </w:pPr>
          </w:p>
        </w:tc>
        <w:tc>
          <w:tcPr>
            <w:tcW w:w="8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5(a)(vii) of the Master Agreement with respect to which Dealer is the sole Defaulting Party,</w:t>
            </w:r>
          </w:p>
        </w:tc>
      </w:tr>
      <w:tr>
        <w:trPr>
          <w:trHeight w:val="216"/>
        </w:trPr>
        <w:tc>
          <w:tcPr>
            <w:tcW w:w="2700" w:type="dxa"/>
            <w:vAlign w:val="bottom"/>
          </w:tcPr>
          <w:p>
            <w:pPr>
              <w:spacing w:after="0"/>
              <w:rPr>
                <w:sz w:val="18"/>
                <w:szCs w:val="18"/>
                <w:color w:val="auto"/>
              </w:rPr>
            </w:pPr>
          </w:p>
        </w:tc>
        <w:tc>
          <w:tcPr>
            <w:tcW w:w="8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Counterparty shall have the right to designate a nationally recognized third party dealer in over-the-counter</w:t>
            </w:r>
          </w:p>
        </w:tc>
      </w:tr>
      <w:tr>
        <w:trPr>
          <w:trHeight w:val="216"/>
        </w:trPr>
        <w:tc>
          <w:tcPr>
            <w:tcW w:w="2700" w:type="dxa"/>
            <w:vAlign w:val="bottom"/>
          </w:tcPr>
          <w:p>
            <w:pPr>
              <w:spacing w:after="0"/>
              <w:rPr>
                <w:sz w:val="18"/>
                <w:szCs w:val="18"/>
                <w:color w:val="auto"/>
              </w:rPr>
            </w:pPr>
          </w:p>
        </w:tc>
        <w:tc>
          <w:tcPr>
            <w:tcW w:w="8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corporate equity derivatives to replace Dealer as the Calculation Agent, and the parties shall work in good</w:t>
            </w:r>
          </w:p>
        </w:tc>
      </w:tr>
      <w:tr>
        <w:trPr>
          <w:trHeight w:val="234"/>
        </w:trPr>
        <w:tc>
          <w:tcPr>
            <w:tcW w:w="2700" w:type="dxa"/>
            <w:vAlign w:val="bottom"/>
          </w:tcPr>
          <w:p>
            <w:pPr>
              <w:spacing w:after="0"/>
              <w:rPr>
                <w:sz w:val="20"/>
                <w:szCs w:val="20"/>
                <w:color w:val="auto"/>
              </w:rPr>
            </w:pPr>
          </w:p>
        </w:tc>
        <w:tc>
          <w:tcPr>
            <w:tcW w:w="8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faith to execute any appropriate documentation required by such replacement Calculation Agent.</w:t>
            </w:r>
          </w:p>
        </w:tc>
      </w:tr>
      <w:tr>
        <w:trPr>
          <w:trHeight w:val="702"/>
        </w:trPr>
        <w:tc>
          <w:tcPr>
            <w:tcW w:w="27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Following any adjustment, determination or calculation by the Calculation Agent hereunder, upon a written</w:t>
            </w:r>
          </w:p>
        </w:tc>
      </w:tr>
      <w:tr>
        <w:trPr>
          <w:trHeight w:val="216"/>
        </w:trPr>
        <w:tc>
          <w:tcPr>
            <w:tcW w:w="28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request by Counterparty, the Calculation Agent will promptly (but in any event within five Scheduled Trading</w:t>
            </w:r>
          </w:p>
        </w:tc>
      </w:tr>
      <w:tr>
        <w:trPr>
          <w:trHeight w:val="216"/>
        </w:trPr>
        <w:tc>
          <w:tcPr>
            <w:tcW w:w="28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Days) provide to Counterparty in writing a report (in a commonly used file format for the storage and</w:t>
            </w:r>
          </w:p>
        </w:tc>
      </w:tr>
      <w:tr>
        <w:trPr>
          <w:trHeight w:val="216"/>
        </w:trPr>
        <w:tc>
          <w:tcPr>
            <w:tcW w:w="28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manipulation of financial data) displaying in reasonable detail the basis for such adjustment, determination or</w:t>
            </w:r>
          </w:p>
        </w:tc>
      </w:tr>
      <w:tr>
        <w:trPr>
          <w:trHeight w:val="216"/>
        </w:trPr>
        <w:tc>
          <w:tcPr>
            <w:tcW w:w="28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calculation (including any assumptions used in making such adjustment, determination or calculation), it being</w:t>
            </w:r>
          </w:p>
        </w:tc>
      </w:tr>
      <w:tr>
        <w:trPr>
          <w:trHeight w:val="216"/>
        </w:trPr>
        <w:tc>
          <w:tcPr>
            <w:tcW w:w="28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understood that in no event will the Calculation Agent be obligated to share with Counterparty any proprietary</w:t>
            </w:r>
          </w:p>
        </w:tc>
      </w:tr>
      <w:tr>
        <w:trPr>
          <w:trHeight w:val="216"/>
        </w:trPr>
        <w:tc>
          <w:tcPr>
            <w:tcW w:w="28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or confidential data or information or any proprietary or confidential models used by it in making such</w:t>
            </w:r>
          </w:p>
        </w:tc>
      </w:tr>
      <w:tr>
        <w:trPr>
          <w:trHeight w:val="216"/>
        </w:trPr>
        <w:tc>
          <w:tcPr>
            <w:tcW w:w="28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adjustment, determination or calculation or any information that is subject to an obligation not to disclose such</w:t>
            </w:r>
          </w:p>
        </w:tc>
      </w:tr>
      <w:tr>
        <w:trPr>
          <w:trHeight w:val="234"/>
        </w:trPr>
        <w:tc>
          <w:tcPr>
            <w:tcW w:w="2820" w:type="dxa"/>
            <w:vAlign w:val="bottom"/>
          </w:tcPr>
          <w:p>
            <w:pPr>
              <w:spacing w:after="0"/>
              <w:rPr>
                <w:sz w:val="20"/>
                <w:szCs w:val="20"/>
                <w:color w:val="auto"/>
              </w:rPr>
            </w:pPr>
          </w:p>
        </w:tc>
        <w:tc>
          <w:tcPr>
            <w:tcW w:w="8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information.</w:t>
            </w:r>
          </w:p>
        </w:tc>
      </w:tr>
      <w:tr>
        <w:trPr>
          <w:trHeight w:val="39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Settlement Terms:</w:t>
            </w:r>
          </w:p>
        </w:tc>
        <w:tc>
          <w:tcPr>
            <w:tcW w:w="8420" w:type="dxa"/>
            <w:vAlign w:val="bottom"/>
          </w:tcPr>
          <w:p>
            <w:pPr>
              <w:spacing w:after="0"/>
              <w:rPr>
                <w:sz w:val="24"/>
                <w:szCs w:val="24"/>
                <w:color w:val="auto"/>
              </w:rPr>
            </w:pPr>
          </w:p>
        </w:tc>
      </w:tr>
      <w:tr>
        <w:trPr>
          <w:trHeight w:val="392"/>
        </w:trPr>
        <w:tc>
          <w:tcPr>
            <w:tcW w:w="2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Default Settlement Method:</w:t>
            </w:r>
          </w:p>
        </w:tc>
        <w:tc>
          <w:tcPr>
            <w:tcW w:w="8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Physical Settlement</w:t>
            </w:r>
          </w:p>
        </w:tc>
      </w:tr>
      <w:tr>
        <w:trPr>
          <w:trHeight w:val="373"/>
        </w:trPr>
        <w:tc>
          <w:tcPr>
            <w:tcW w:w="2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Settlement Method Election:</w:t>
            </w:r>
          </w:p>
        </w:tc>
        <w:tc>
          <w:tcPr>
            <w:tcW w:w="8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if Counterparty is electing a Settlement Method other than the Default</w:t>
            </w:r>
          </w:p>
        </w:tc>
      </w:tr>
      <w:tr>
        <w:trPr>
          <w:trHeight w:val="216"/>
        </w:trPr>
        <w:tc>
          <w:tcPr>
            <w:tcW w:w="28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Settlement Method, such Settlement Method Election will be effective only if Counterparty represents and</w:t>
            </w:r>
          </w:p>
        </w:tc>
      </w:tr>
      <w:tr>
        <w:trPr>
          <w:trHeight w:val="216"/>
        </w:trPr>
        <w:tc>
          <w:tcPr>
            <w:tcW w:w="28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warrants to Dealer in writing on the date of such Settlement Method Election that (i) Counterparty is not in</w:t>
            </w:r>
          </w:p>
        </w:tc>
      </w:tr>
      <w:tr>
        <w:trPr>
          <w:trHeight w:val="216"/>
        </w:trPr>
        <w:tc>
          <w:tcPr>
            <w:tcW w:w="28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possession of any material non-public information regarding Issuer or the Shares and (ii) such election is being</w:t>
            </w:r>
          </w:p>
        </w:tc>
      </w:tr>
      <w:tr>
        <w:trPr>
          <w:trHeight w:val="216"/>
        </w:trPr>
        <w:tc>
          <w:tcPr>
            <w:tcW w:w="28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made in good faith and not as part of a plan or scheme to evade compliance with the federal securities laws</w:t>
            </w:r>
          </w:p>
        </w:tc>
      </w:tr>
      <w:tr>
        <w:trPr>
          <w:trHeight w:val="216"/>
        </w:trPr>
        <w:tc>
          <w:tcPr>
            <w:tcW w:w="28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and (y) if Counterparty is electing Cash Settlement and if, as of the Scheduled Trading Day immediately</w:t>
            </w:r>
          </w:p>
        </w:tc>
      </w:tr>
      <w:tr>
        <w:trPr>
          <w:trHeight w:val="216"/>
        </w:trPr>
        <w:tc>
          <w:tcPr>
            <w:tcW w:w="28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following the date on which Dealer delivers a Settlement Notice to Counterparty, the Rule 144 Disposition</w:t>
            </w:r>
          </w:p>
        </w:tc>
      </w:tr>
      <w:tr>
        <w:trPr>
          <w:trHeight w:val="216"/>
        </w:trPr>
        <w:tc>
          <w:tcPr>
            <w:tcW w:w="28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Conditions are not satisfied with respect the relevant Daily Number of Shares, Cash Settlement shall apply</w:t>
            </w:r>
          </w:p>
        </w:tc>
      </w:tr>
      <w:tr>
        <w:trPr>
          <w:trHeight w:val="216"/>
        </w:trPr>
        <w:tc>
          <w:tcPr>
            <w:tcW w:w="28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only with respect to the number of Shares for which the Rule 144 Disposition Conditions are so satisfied (if</w:t>
            </w:r>
          </w:p>
        </w:tc>
      </w:tr>
      <w:tr>
        <w:trPr>
          <w:trHeight w:val="234"/>
        </w:trPr>
        <w:tc>
          <w:tcPr>
            <w:tcW w:w="2820" w:type="dxa"/>
            <w:vAlign w:val="bottom"/>
          </w:tcPr>
          <w:p>
            <w:pPr>
              <w:spacing w:after="0"/>
              <w:rPr>
                <w:sz w:val="20"/>
                <w:szCs w:val="20"/>
                <w:color w:val="auto"/>
              </w:rPr>
            </w:pPr>
          </w:p>
        </w:tc>
        <w:tc>
          <w:tcPr>
            <w:tcW w:w="8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any), and Physical Settlement shall apply with respect to the remaining Daily Number of Shares.</w:t>
            </w:r>
          </w:p>
        </w:tc>
      </w:tr>
      <w:tr>
        <w:trPr>
          <w:trHeight w:val="414"/>
        </w:trPr>
        <w:tc>
          <w:tcPr>
            <w:tcW w:w="2820" w:type="dxa"/>
            <w:vAlign w:val="bottom"/>
          </w:tcPr>
          <w:p>
            <w:pPr>
              <w:spacing w:after="0"/>
              <w:rPr>
                <w:sz w:val="24"/>
                <w:szCs w:val="24"/>
                <w:color w:val="auto"/>
              </w:rPr>
            </w:pPr>
          </w:p>
        </w:tc>
        <w:tc>
          <w:tcPr>
            <w:tcW w:w="8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Without  limiting  the  generality  of  clause  (x)  of  the  immediately  preceding  paragraph,  Counterparty</w:t>
            </w:r>
          </w:p>
        </w:tc>
      </w:tr>
      <w:tr>
        <w:trPr>
          <w:trHeight w:val="212"/>
        </w:trPr>
        <w:tc>
          <w:tcPr>
            <w:tcW w:w="28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acknowledges its responsibilities under applicable securities laws, and in particular Sections 9 and 10(b) of the</w:t>
            </w:r>
          </w:p>
        </w:tc>
      </w:tr>
      <w:tr>
        <w:trPr>
          <w:trHeight w:val="220"/>
        </w:trPr>
        <w:tc>
          <w:tcPr>
            <w:tcW w:w="28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the rules and regulations</w:t>
            </w:r>
          </w:p>
        </w:tc>
      </w:tr>
      <w:tr>
        <w:trPr>
          <w:trHeight w:val="216"/>
        </w:trPr>
        <w:tc>
          <w:tcPr>
            <w:tcW w:w="28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promulgated thereunder in respect of such election. For the avoidance of doubt, for any Settlement Method</w:t>
            </w:r>
          </w:p>
        </w:tc>
      </w:tr>
      <w:tr>
        <w:trPr>
          <w:trHeight w:val="216"/>
        </w:trPr>
        <w:tc>
          <w:tcPr>
            <w:tcW w:w="28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Election, Counterparty may elect Cash Settlement with respect to all or any portion of the Daily Number of</w:t>
            </w:r>
          </w:p>
        </w:tc>
      </w:tr>
      <w:tr>
        <w:trPr>
          <w:trHeight w:val="216"/>
        </w:trPr>
        <w:tc>
          <w:tcPr>
            <w:tcW w:w="28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Shares and/or Physical Settlement with respect to all or any portion of the Daily Number of Shares (subject to</w:t>
            </w:r>
          </w:p>
        </w:tc>
      </w:tr>
      <w:tr>
        <w:trPr>
          <w:trHeight w:val="234"/>
        </w:trPr>
        <w:tc>
          <w:tcPr>
            <w:tcW w:w="2820" w:type="dxa"/>
            <w:vAlign w:val="bottom"/>
          </w:tcPr>
          <w:p>
            <w:pPr>
              <w:spacing w:after="0"/>
              <w:rPr>
                <w:sz w:val="20"/>
                <w:szCs w:val="20"/>
                <w:color w:val="auto"/>
              </w:rPr>
            </w:pPr>
          </w:p>
        </w:tc>
        <w:tc>
          <w:tcPr>
            <w:tcW w:w="8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limitations set forth in the second immediately preceding paragraph).</w:t>
            </w:r>
          </w:p>
        </w:tc>
      </w:tr>
      <w:tr>
        <w:trPr>
          <w:trHeight w:val="392"/>
        </w:trPr>
        <w:tc>
          <w:tcPr>
            <w:tcW w:w="2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Electing Party:</w:t>
            </w:r>
          </w:p>
        </w:tc>
        <w:tc>
          <w:tcPr>
            <w:tcW w:w="8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Counterparty</w:t>
            </w:r>
          </w:p>
        </w:tc>
      </w:tr>
      <w:tr>
        <w:trPr>
          <w:trHeight w:val="702"/>
        </w:trPr>
        <w:tc>
          <w:tcPr>
            <w:tcW w:w="282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Rule 144 Disposition Conditions:</w:t>
            </w: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With respect to the number of Shares for which Cash Settlement has been elected as the Settlement</w:t>
            </w:r>
          </w:p>
        </w:tc>
      </w:tr>
      <w:tr>
        <w:trPr>
          <w:trHeight w:val="216"/>
        </w:trPr>
        <w:tc>
          <w:tcPr>
            <w:tcW w:w="318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Method, the “Rule 144 Disposition Conditions” shall be satisfied if (1) such number of Shares could be</w:t>
            </w:r>
          </w:p>
        </w:tc>
      </w:tr>
      <w:tr>
        <w:trPr>
          <w:trHeight w:val="212"/>
        </w:trPr>
        <w:tc>
          <w:tcPr>
            <w:tcW w:w="318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sold in compliance with limitation set forth in Rule 144(e) under the Securities Act of 1933, as amended</w:t>
            </w:r>
          </w:p>
        </w:tc>
      </w:tr>
      <w:tr>
        <w:trPr>
          <w:trHeight w:val="220"/>
        </w:trPr>
        <w:tc>
          <w:tcPr>
            <w:tcW w:w="3180" w:type="dxa"/>
            <w:vAlign w:val="bottom"/>
          </w:tcPr>
          <w:p>
            <w:pPr>
              <w:spacing w:after="0"/>
              <w:rPr>
                <w:sz w:val="19"/>
                <w:szCs w:val="19"/>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(assuming (w) such limitation applied to the sale of Shares by Dealer (or any</w:t>
            </w:r>
          </w:p>
        </w:tc>
      </w:tr>
      <w:tr>
        <w:trPr>
          <w:trHeight w:val="216"/>
        </w:trPr>
        <w:tc>
          <w:tcPr>
            <w:tcW w:w="318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counterparty to Dealer) in respect of the unwind of Dealer’s Hedge Position in connection with such Cash</w:t>
            </w:r>
          </w:p>
        </w:tc>
      </w:tr>
      <w:tr>
        <w:trPr>
          <w:trHeight w:val="216"/>
        </w:trPr>
        <w:tc>
          <w:tcPr>
            <w:tcW w:w="318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Settlement, (x) all other sales of Shares by Dealer (or any counterparty to Dealer) in respect of the unwind</w:t>
            </w:r>
          </w:p>
        </w:tc>
      </w:tr>
      <w:tr>
        <w:trPr>
          <w:trHeight w:val="216"/>
        </w:trPr>
        <w:tc>
          <w:tcPr>
            <w:tcW w:w="318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of Dealer’s Hedge Position in connection with the Cash Settlement of the Transaction and Dealer’s</w:t>
            </w:r>
          </w:p>
        </w:tc>
      </w:tr>
      <w:tr>
        <w:trPr>
          <w:trHeight w:val="216"/>
        </w:trPr>
        <w:tc>
          <w:tcPr>
            <w:tcW w:w="318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“Hedge Position” (as such term is defined in the confirmation for the Prior Prepaid Forward) in</w:t>
            </w:r>
          </w:p>
        </w:tc>
      </w:tr>
      <w:tr>
        <w:trPr>
          <w:trHeight w:val="216"/>
        </w:trPr>
        <w:tc>
          <w:tcPr>
            <w:tcW w:w="318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connection with “Cash Settlement” (as such term is defined in the confirmation for the Prior Prepaid</w:t>
            </w:r>
          </w:p>
        </w:tc>
      </w:tr>
      <w:tr>
        <w:trPr>
          <w:trHeight w:val="216"/>
        </w:trPr>
        <w:tc>
          <w:tcPr>
            <w:tcW w:w="318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Forward) of the “Transaction” (as such term is defined in the confirmation for the Prior Prepaid Forward)</w:t>
            </w:r>
          </w:p>
        </w:tc>
      </w:tr>
      <w:tr>
        <w:trPr>
          <w:trHeight w:val="216"/>
        </w:trPr>
        <w:tc>
          <w:tcPr>
            <w:tcW w:w="318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were also subject to such limitation (and would be aggregated with the sale of Shares by Dealer (or any</w:t>
            </w:r>
          </w:p>
        </w:tc>
      </w:tr>
      <w:tr>
        <w:trPr>
          <w:trHeight w:val="216"/>
        </w:trPr>
        <w:tc>
          <w:tcPr>
            <w:tcW w:w="318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counterparty to Dealer) in respect of the unwind of Dealer’s Hedge Position in connection with such Cash</w:t>
            </w:r>
          </w:p>
        </w:tc>
      </w:tr>
      <w:tr>
        <w:trPr>
          <w:trHeight w:val="216"/>
        </w:trPr>
        <w:tc>
          <w:tcPr>
            <w:tcW w:w="318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Settlement for purposes of such limitation), (y) Counterparty has complied with its obligations as set forth</w:t>
            </w:r>
          </w:p>
        </w:tc>
      </w:tr>
      <w:tr>
        <w:trPr>
          <w:trHeight w:val="216"/>
        </w:trPr>
        <w:tc>
          <w:tcPr>
            <w:tcW w:w="318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 Section 6(q) and (z) all sales described in Section 6(q) of which Dealer has been provided</w:t>
            </w:r>
          </w:p>
        </w:tc>
      </w:tr>
      <w:tr>
        <w:trPr>
          <w:trHeight w:val="216"/>
        </w:trPr>
        <w:tc>
          <w:tcPr>
            <w:tcW w:w="318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contemporaneous notice by Counterparty were aggregated with the sale of Shares by Dealer (or any</w:t>
            </w:r>
          </w:p>
        </w:tc>
      </w:tr>
      <w:tr>
        <w:trPr>
          <w:trHeight w:val="216"/>
        </w:trPr>
        <w:tc>
          <w:tcPr>
            <w:tcW w:w="318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counterparty to Dealer) in respect of the unwind of Dealer’s Hedge Position in connection with such Cash</w:t>
            </w:r>
          </w:p>
        </w:tc>
      </w:tr>
      <w:tr>
        <w:trPr>
          <w:trHeight w:val="212"/>
        </w:trPr>
        <w:tc>
          <w:tcPr>
            <w:tcW w:w="318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Settlement for purposes of such limitation, pursuant to Rule 144(e) and applicable U.S. Securities and</w:t>
            </w:r>
          </w:p>
        </w:tc>
      </w:tr>
      <w:tr>
        <w:trPr>
          <w:trHeight w:val="220"/>
        </w:trPr>
        <w:tc>
          <w:tcPr>
            <w:tcW w:w="3180" w:type="dxa"/>
            <w:vAlign w:val="bottom"/>
          </w:tcPr>
          <w:p>
            <w:pPr>
              <w:spacing w:after="0"/>
              <w:rPr>
                <w:sz w:val="19"/>
                <w:szCs w:val="19"/>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guidance with respect to such Rule) and (2) on the Scheduled Trading</w:t>
            </w:r>
          </w:p>
        </w:tc>
      </w:tr>
      <w:tr>
        <w:trPr>
          <w:trHeight w:val="216"/>
        </w:trPr>
        <w:tc>
          <w:tcPr>
            <w:tcW w:w="318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Day immediately following the date on which Dealer delivers a Settlement Notice to Counterparty,</w:t>
            </w:r>
          </w:p>
        </w:tc>
      </w:tr>
      <w:tr>
        <w:trPr>
          <w:trHeight w:val="216"/>
        </w:trPr>
        <w:tc>
          <w:tcPr>
            <w:tcW w:w="318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Counterparty has represented and warranted to Dealer in writing that the condition set forth in</w:t>
            </w:r>
          </w:p>
        </w:tc>
      </w:tr>
      <w:tr>
        <w:trPr>
          <w:trHeight w:val="216"/>
        </w:trPr>
        <w:tc>
          <w:tcPr>
            <w:tcW w:w="318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Rule 144(c) under the Securities Act has been satisfied with respect to Issuer as of such Scheduled</w:t>
            </w:r>
          </w:p>
        </w:tc>
      </w:tr>
      <w:tr>
        <w:trPr>
          <w:trHeight w:val="234"/>
        </w:trPr>
        <w:tc>
          <w:tcPr>
            <w:tcW w:w="3180" w:type="dxa"/>
            <w:vAlign w:val="bottom"/>
          </w:tcPr>
          <w:p>
            <w:pPr>
              <w:spacing w:after="0"/>
              <w:rPr>
                <w:sz w:val="20"/>
                <w:szCs w:val="20"/>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Trading Day.</w:t>
            </w:r>
          </w:p>
        </w:tc>
      </w:tr>
      <w:tr>
        <w:trPr>
          <w:trHeight w:val="373"/>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Prior Prepaid Forward:</w:t>
            </w: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prepaid forward transaction relating to the Shares entered into between Dealer and Counterparty on</w:t>
            </w:r>
          </w:p>
        </w:tc>
      </w:tr>
      <w:tr>
        <w:trPr>
          <w:trHeight w:val="234"/>
        </w:trPr>
        <w:tc>
          <w:tcPr>
            <w:tcW w:w="3180" w:type="dxa"/>
            <w:vAlign w:val="bottom"/>
          </w:tcPr>
          <w:p>
            <w:pPr>
              <w:spacing w:after="0"/>
              <w:rPr>
                <w:sz w:val="20"/>
                <w:szCs w:val="20"/>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April 2, 2025.</w:t>
            </w:r>
          </w:p>
        </w:tc>
      </w:tr>
      <w:tr>
        <w:trPr>
          <w:trHeight w:val="373"/>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Settlement Method Election Date:</w:t>
            </w: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 any Valuation Date set forth in clause (a) of such definition, the Scheduled Trading Day prior to the</w:t>
            </w:r>
          </w:p>
        </w:tc>
      </w:tr>
      <w:tr>
        <w:trPr>
          <w:trHeight w:val="216"/>
        </w:trPr>
        <w:tc>
          <w:tcPr>
            <w:tcW w:w="318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relevant Valuation Date, and for any Valuation Date set forth in clause (b) of such definition, August 1,</w:t>
            </w:r>
          </w:p>
        </w:tc>
      </w:tr>
      <w:tr>
        <w:trPr>
          <w:trHeight w:val="234"/>
        </w:trPr>
        <w:tc>
          <w:tcPr>
            <w:tcW w:w="3180" w:type="dxa"/>
            <w:vAlign w:val="bottom"/>
          </w:tcPr>
          <w:p>
            <w:pPr>
              <w:spacing w:after="0"/>
              <w:rPr>
                <w:sz w:val="20"/>
                <w:szCs w:val="20"/>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2031.</w:t>
            </w:r>
          </w:p>
        </w:tc>
      </w:tr>
      <w:tr>
        <w:trPr>
          <w:trHeight w:val="373"/>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Physical Settlement:</w:t>
            </w: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 lieu of Section 9.2(a)(iii) of the Equity Definitions, Dealer will deliver to Counterparty the Daily</w:t>
            </w:r>
          </w:p>
        </w:tc>
      </w:tr>
      <w:tr>
        <w:trPr>
          <w:trHeight w:val="234"/>
        </w:trPr>
        <w:tc>
          <w:tcPr>
            <w:tcW w:w="3180" w:type="dxa"/>
            <w:vAlign w:val="bottom"/>
          </w:tcPr>
          <w:p>
            <w:pPr>
              <w:spacing w:after="0"/>
              <w:rPr>
                <w:sz w:val="20"/>
                <w:szCs w:val="20"/>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Number of Shares for the relevant Valuation Date on the related Settlement Date.</w:t>
            </w:r>
          </w:p>
        </w:tc>
      </w:tr>
      <w:tr>
        <w:trPr>
          <w:trHeight w:val="391"/>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Settlement Date:</w:t>
            </w: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date that is one Settlement Cycle following the relevant Valuation Date.</w:t>
            </w:r>
          </w:p>
        </w:tc>
      </w:tr>
      <w:tr>
        <w:trPr>
          <w:trHeight w:val="373"/>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Settlement:</w:t>
            </w: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 lieu of Sections 8.4 and 8.5 of the Equity Definitions, Dealer will deliver to Counterparty the relevant</w:t>
            </w:r>
          </w:p>
        </w:tc>
      </w:tr>
      <w:tr>
        <w:trPr>
          <w:trHeight w:val="234"/>
        </w:trPr>
        <w:tc>
          <w:tcPr>
            <w:tcW w:w="3180" w:type="dxa"/>
            <w:vAlign w:val="bottom"/>
          </w:tcPr>
          <w:p>
            <w:pPr>
              <w:spacing w:after="0"/>
              <w:rPr>
                <w:sz w:val="20"/>
                <w:szCs w:val="20"/>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Cash Settlement Amount on the related Cash Settlement Payment Date.</w:t>
            </w:r>
          </w:p>
        </w:tc>
      </w:tr>
      <w:tr>
        <w:trPr>
          <w:trHeight w:val="392"/>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Settlement Currency:</w:t>
            </w: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USD.</w:t>
            </w:r>
          </w:p>
        </w:tc>
      </w:tr>
      <w:tr>
        <w:trPr>
          <w:trHeight w:val="371"/>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Settlement Amount:</w:t>
            </w: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With respect to any Valuation Date for which Cash Settlement is applicable, an amount in USD equal to</w:t>
            </w:r>
          </w:p>
        </w:tc>
      </w:tr>
      <w:tr>
        <w:trPr>
          <w:trHeight w:val="218"/>
        </w:trPr>
        <w:tc>
          <w:tcPr>
            <w:tcW w:w="318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xml:space="preserve">(i) the Daily Number of Shares for such Valuation Date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Cash Settlement Reference</w:t>
            </w:r>
          </w:p>
        </w:tc>
      </w:tr>
      <w:tr>
        <w:trPr>
          <w:trHeight w:val="234"/>
        </w:trPr>
        <w:tc>
          <w:tcPr>
            <w:tcW w:w="3180" w:type="dxa"/>
            <w:vAlign w:val="bottom"/>
          </w:tcPr>
          <w:p>
            <w:pPr>
              <w:spacing w:after="0"/>
              <w:rPr>
                <w:sz w:val="20"/>
                <w:szCs w:val="20"/>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Price for such Valuation Date.</w:t>
            </w:r>
          </w:p>
        </w:tc>
      </w:tr>
      <w:tr>
        <w:trPr>
          <w:trHeight w:val="702"/>
        </w:trPr>
        <w:tc>
          <w:tcPr>
            <w:tcW w:w="318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Settlement Reference Price:</w:t>
            </w: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 any Valuation Date for which Cash Settlement is applicable, the volume weighted average price per</w:t>
            </w:r>
          </w:p>
        </w:tc>
      </w:tr>
      <w:tr>
        <w:trPr>
          <w:trHeight w:val="216"/>
        </w:trPr>
        <w:tc>
          <w:tcPr>
            <w:tcW w:w="316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Share at which Dealer unwinds its Hedge Position, in a commercially reasonable manner, in respect of</w:t>
            </w:r>
          </w:p>
        </w:tc>
      </w:tr>
      <w:tr>
        <w:trPr>
          <w:trHeight w:val="214"/>
        </w:trPr>
        <w:tc>
          <w:tcPr>
            <w:tcW w:w="316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Daily Number of Shares for such Valuation Date, as determined by the Calculation Agent in good faith</w:t>
            </w:r>
          </w:p>
        </w:tc>
      </w:tr>
      <w:tr>
        <w:trPr>
          <w:trHeight w:val="236"/>
        </w:trPr>
        <w:tc>
          <w:tcPr>
            <w:tcW w:w="3160" w:type="dxa"/>
            <w:vAlign w:val="bottom"/>
          </w:tcPr>
          <w:p>
            <w:pPr>
              <w:spacing w:after="0"/>
              <w:rPr>
                <w:sz w:val="20"/>
                <w:szCs w:val="20"/>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and a commercially reasonable manner,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Commission Amount.</w:t>
            </w:r>
          </w:p>
        </w:tc>
      </w:tr>
      <w:tr>
        <w:trPr>
          <w:trHeight w:val="392"/>
        </w:trPr>
        <w:tc>
          <w:tcPr>
            <w:tcW w:w="3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Commission Amount:</w:t>
            </w: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USD0.01</w:t>
            </w:r>
          </w:p>
        </w:tc>
      </w:tr>
      <w:tr>
        <w:trPr>
          <w:trHeight w:val="369"/>
        </w:trPr>
        <w:tc>
          <w:tcPr>
            <w:tcW w:w="3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Valuation Dates:</w:t>
            </w: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 Any Scheduled Trading Day following the Effective Date designated by Dealer in a written notice (a</w:t>
            </w:r>
          </w:p>
        </w:tc>
      </w:tr>
      <w:tr>
        <w:trPr>
          <w:trHeight w:val="220"/>
        </w:trPr>
        <w:tc>
          <w:tcPr>
            <w:tcW w:w="3160" w:type="dxa"/>
            <w:vAlign w:val="bottom"/>
          </w:tcPr>
          <w:p>
            <w:pPr>
              <w:spacing w:after="0"/>
              <w:rPr>
                <w:sz w:val="19"/>
                <w:szCs w:val="19"/>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Notice</w:t>
            </w:r>
            <w:r>
              <w:rPr>
                <w:rFonts w:ascii="Times New Roman" w:cs="Times New Roman" w:eastAsia="Times New Roman" w:hAnsi="Times New Roman"/>
                <w:sz w:val="18"/>
                <w:szCs w:val="18"/>
                <w:color w:val="auto"/>
              </w:rPr>
              <w:t>”) that is delivered to Counterparty at least five (5) Scheduled Trading Days prior to</w:t>
            </w:r>
          </w:p>
        </w:tc>
      </w:tr>
      <w:tr>
        <w:trPr>
          <w:trHeight w:val="216"/>
        </w:trPr>
        <w:tc>
          <w:tcPr>
            <w:tcW w:w="316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such Valuation Date, specifying (i) the Daily Number of Shares for such Valuation Date and (ii) if</w:t>
            </w:r>
          </w:p>
        </w:tc>
      </w:tr>
      <w:tr>
        <w:trPr>
          <w:trHeight w:val="234"/>
        </w:trPr>
        <w:tc>
          <w:tcPr>
            <w:tcW w:w="3160" w:type="dxa"/>
            <w:vAlign w:val="bottom"/>
          </w:tcPr>
          <w:p>
            <w:pPr>
              <w:spacing w:after="0"/>
              <w:rPr>
                <w:sz w:val="20"/>
                <w:szCs w:val="20"/>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Physical Settlement is applicable, the related Settlement Date and (b) the Note Maturity Date.</w:t>
            </w:r>
          </w:p>
        </w:tc>
      </w:tr>
      <w:tr>
        <w:trPr>
          <w:trHeight w:val="410"/>
        </w:trPr>
        <w:tc>
          <w:tcPr>
            <w:tcW w:w="3160" w:type="dxa"/>
            <w:vAlign w:val="bottom"/>
          </w:tcPr>
          <w:p>
            <w:pPr>
              <w:spacing w:after="0"/>
              <w:rPr>
                <w:sz w:val="24"/>
                <w:szCs w:val="24"/>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If on any Exchange Business Day, fewer than 20% of Issuer’s 7.00% Convertible Senior Notes due 2031</w:t>
            </w:r>
          </w:p>
        </w:tc>
      </w:tr>
      <w:tr>
        <w:trPr>
          <w:trHeight w:val="220"/>
        </w:trPr>
        <w:tc>
          <w:tcPr>
            <w:tcW w:w="3160" w:type="dxa"/>
            <w:vAlign w:val="bottom"/>
          </w:tcPr>
          <w:p>
            <w:pPr>
              <w:spacing w:after="0"/>
              <w:rPr>
                <w:sz w:val="19"/>
                <w:szCs w:val="19"/>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issued pursuant to the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dated as of</w:t>
            </w:r>
          </w:p>
        </w:tc>
      </w:tr>
      <w:tr>
        <w:trPr>
          <w:trHeight w:val="216"/>
        </w:trPr>
        <w:tc>
          <w:tcPr>
            <w:tcW w:w="316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November 11, 2025, among Issuer and Citigroup Global Markets Inc., Goldman Sachs &amp; Co. LLC and</w:t>
            </w:r>
          </w:p>
        </w:tc>
      </w:tr>
      <w:tr>
        <w:trPr>
          <w:trHeight w:val="212"/>
        </w:trPr>
        <w:tc>
          <w:tcPr>
            <w:tcW w:w="316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BofA Securities, Inc., as representatives of the Initial Purchasers party thereto, remain outstanding, and</w:t>
            </w:r>
          </w:p>
        </w:tc>
      </w:tr>
      <w:tr>
        <w:trPr>
          <w:trHeight w:val="216"/>
        </w:trPr>
        <w:tc>
          <w:tcPr>
            <w:tcW w:w="316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Dealer has received written notice from Counterparty or Issuer of such fact (such notice, an “</w:t>
            </w:r>
            <w:r>
              <w:rPr>
                <w:rFonts w:ascii="Times New Roman" w:cs="Times New Roman" w:eastAsia="Times New Roman" w:hAnsi="Times New Roman"/>
                <w:sz w:val="18"/>
                <w:szCs w:val="18"/>
                <w:b w:val="1"/>
                <w:bCs w:val="1"/>
                <w:color w:val="auto"/>
              </w:rPr>
              <w:t>Early</w:t>
            </w:r>
          </w:p>
        </w:tc>
      </w:tr>
      <w:tr>
        <w:trPr>
          <w:trHeight w:val="220"/>
        </w:trPr>
        <w:tc>
          <w:tcPr>
            <w:tcW w:w="3160" w:type="dxa"/>
            <w:vAlign w:val="bottom"/>
          </w:tcPr>
          <w:p>
            <w:pPr>
              <w:spacing w:after="0"/>
              <w:rPr>
                <w:sz w:val="19"/>
                <w:szCs w:val="19"/>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Settlement Notice</w:t>
            </w:r>
            <w:r>
              <w:rPr>
                <w:rFonts w:ascii="Times New Roman" w:cs="Times New Roman" w:eastAsia="Times New Roman" w:hAnsi="Times New Roman"/>
                <w:sz w:val="18"/>
                <w:szCs w:val="18"/>
                <w:color w:val="auto"/>
              </w:rPr>
              <w:t>”), then, following the date on which Dealer receives such Early Settlement Notice,</w:t>
            </w:r>
          </w:p>
        </w:tc>
      </w:tr>
      <w:tr>
        <w:trPr>
          <w:trHeight w:val="214"/>
        </w:trPr>
        <w:tc>
          <w:tcPr>
            <w:tcW w:w="316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Dealer shall deliver a Settlement Notice to Counterparty designating a Valuation Date and related</w:t>
            </w:r>
          </w:p>
        </w:tc>
      </w:tr>
      <w:tr>
        <w:trPr>
          <w:trHeight w:val="218"/>
        </w:trPr>
        <w:tc>
          <w:tcPr>
            <w:tcW w:w="316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Settlement Date with respect to a Daily Number of Shares equal to the Number of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tc>
      </w:tr>
      <w:tr>
        <w:trPr>
          <w:trHeight w:val="216"/>
        </w:trPr>
        <w:tc>
          <w:tcPr>
            <w:tcW w:w="316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Valuation Date designated by Dealer in any such Settlement Notice shall be no later than the date that</w:t>
            </w:r>
          </w:p>
        </w:tc>
      </w:tr>
      <w:tr>
        <w:trPr>
          <w:trHeight w:val="234"/>
        </w:trPr>
        <w:tc>
          <w:tcPr>
            <w:tcW w:w="3160" w:type="dxa"/>
            <w:vAlign w:val="bottom"/>
          </w:tcPr>
          <w:p>
            <w:pPr>
              <w:spacing w:after="0"/>
              <w:rPr>
                <w:sz w:val="20"/>
                <w:szCs w:val="20"/>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is 90 calendar days following the date on which Dealer receives such Early Settlement Notice.</w:t>
            </w:r>
          </w:p>
        </w:tc>
      </w:tr>
      <w:tr>
        <w:trPr>
          <w:trHeight w:val="373"/>
        </w:trPr>
        <w:tc>
          <w:tcPr>
            <w:tcW w:w="3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Settlement Valuation Date:</w:t>
            </w: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With respect to any Cash Settlement of the Transaction, in whole or in part, the date on which Dealer has</w:t>
            </w:r>
          </w:p>
        </w:tc>
      </w:tr>
      <w:tr>
        <w:trPr>
          <w:trHeight w:val="216"/>
        </w:trPr>
        <w:tc>
          <w:tcPr>
            <w:tcW w:w="316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completed the unwind of its Hedge Position in connection with such Cash Settlement. Dealer shall notify</w:t>
            </w:r>
          </w:p>
        </w:tc>
      </w:tr>
      <w:tr>
        <w:trPr>
          <w:trHeight w:val="216"/>
        </w:trPr>
        <w:tc>
          <w:tcPr>
            <w:tcW w:w="316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Counterparty in writing of each Cash Settlement Valuation Date on or promptly following such date, and</w:t>
            </w:r>
          </w:p>
        </w:tc>
      </w:tr>
      <w:tr>
        <w:trPr>
          <w:trHeight w:val="216"/>
        </w:trPr>
        <w:tc>
          <w:tcPr>
            <w:tcW w:w="316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Dealer shall use commercially reasonable efforts to cause such notice to be delivered to Counterparty on</w:t>
            </w:r>
          </w:p>
        </w:tc>
      </w:tr>
      <w:tr>
        <w:trPr>
          <w:trHeight w:val="234"/>
        </w:trPr>
        <w:tc>
          <w:tcPr>
            <w:tcW w:w="3160" w:type="dxa"/>
            <w:vAlign w:val="bottom"/>
          </w:tcPr>
          <w:p>
            <w:pPr>
              <w:spacing w:after="0"/>
              <w:rPr>
                <w:sz w:val="20"/>
                <w:szCs w:val="20"/>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or prior to the related Cash Settlement Payment Date.</w:t>
            </w:r>
          </w:p>
        </w:tc>
      </w:tr>
      <w:tr>
        <w:trPr>
          <w:trHeight w:val="373"/>
        </w:trPr>
        <w:tc>
          <w:tcPr>
            <w:tcW w:w="3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Settlement Payment Date:</w:t>
            </w: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 any Cash Settlement Valuation Date, the date that is one Settlement Cycle immediately following</w:t>
            </w:r>
          </w:p>
        </w:tc>
      </w:tr>
      <w:tr>
        <w:trPr>
          <w:trHeight w:val="234"/>
        </w:trPr>
        <w:tc>
          <w:tcPr>
            <w:tcW w:w="3160" w:type="dxa"/>
            <w:vAlign w:val="bottom"/>
          </w:tcPr>
          <w:p>
            <w:pPr>
              <w:spacing w:after="0"/>
              <w:rPr>
                <w:sz w:val="20"/>
                <w:szCs w:val="20"/>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such Cash Settlement Valuation Date.</w:t>
            </w:r>
          </w:p>
        </w:tc>
      </w:tr>
      <w:tr>
        <w:trPr>
          <w:trHeight w:val="373"/>
        </w:trPr>
        <w:tc>
          <w:tcPr>
            <w:tcW w:w="3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 Disruption Event:</w:t>
            </w: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definition of “Market Disruption Event” in Section 6.3(a) of the Equity Definitions is hereby</w:t>
            </w:r>
          </w:p>
        </w:tc>
      </w:tr>
      <w:tr>
        <w:trPr>
          <w:trHeight w:val="216"/>
        </w:trPr>
        <w:tc>
          <w:tcPr>
            <w:tcW w:w="316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amended (A) by deleting the words “at any time during the one hour period that ends at the relevant</w:t>
            </w:r>
          </w:p>
        </w:tc>
      </w:tr>
      <w:tr>
        <w:trPr>
          <w:trHeight w:val="216"/>
        </w:trPr>
        <w:tc>
          <w:tcPr>
            <w:tcW w:w="316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Valuation Time, Latest Exercise Time, Knock-in Valuation Time or Knock-out Valuation Time, as the case</w:t>
            </w:r>
          </w:p>
        </w:tc>
      </w:tr>
      <w:tr>
        <w:trPr>
          <w:trHeight w:val="216"/>
        </w:trPr>
        <w:tc>
          <w:tcPr>
            <w:tcW w:w="316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may be” and inserting the words “at any time on any Valuation Date” after the word “material,” in the</w:t>
            </w:r>
          </w:p>
        </w:tc>
      </w:tr>
      <w:tr>
        <w:trPr>
          <w:trHeight w:val="216"/>
        </w:trPr>
        <w:tc>
          <w:tcPr>
            <w:tcW w:w="316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third line thereof, and (B) by replacing the words “or (iii) an Early Closure.” therein with “(iii) an Early</w:t>
            </w:r>
          </w:p>
        </w:tc>
      </w:tr>
      <w:tr>
        <w:trPr>
          <w:trHeight w:val="234"/>
        </w:trPr>
        <w:tc>
          <w:tcPr>
            <w:tcW w:w="3160" w:type="dxa"/>
            <w:vAlign w:val="bottom"/>
          </w:tcPr>
          <w:p>
            <w:pPr>
              <w:spacing w:after="0"/>
              <w:rPr>
                <w:sz w:val="20"/>
                <w:szCs w:val="20"/>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Closure, or (iv) a Regulatory Disruption.”</w:t>
            </w:r>
          </w:p>
        </w:tc>
      </w:tr>
      <w:tr>
        <w:trPr>
          <w:trHeight w:val="414"/>
        </w:trPr>
        <w:tc>
          <w:tcPr>
            <w:tcW w:w="3160" w:type="dxa"/>
            <w:vAlign w:val="bottom"/>
          </w:tcPr>
          <w:p>
            <w:pPr>
              <w:spacing w:after="0"/>
              <w:rPr>
                <w:sz w:val="24"/>
                <w:szCs w:val="24"/>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6.3(d) of the Equity Definitions is hereby amended by deleting the remainder of the provision</w:t>
            </w:r>
          </w:p>
        </w:tc>
      </w:tr>
      <w:tr>
        <w:trPr>
          <w:trHeight w:val="234"/>
        </w:trPr>
        <w:tc>
          <w:tcPr>
            <w:tcW w:w="3160" w:type="dxa"/>
            <w:vAlign w:val="bottom"/>
          </w:tcPr>
          <w:p>
            <w:pPr>
              <w:spacing w:after="0"/>
              <w:rPr>
                <w:sz w:val="20"/>
                <w:szCs w:val="20"/>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following the term “Scheduled Closing Time” in the fourth line thereof.</w:t>
            </w:r>
          </w:p>
        </w:tc>
      </w:tr>
      <w:tr>
        <w:trPr>
          <w:trHeight w:val="702"/>
        </w:trPr>
        <w:tc>
          <w:tcPr>
            <w:tcW w:w="316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Regulatory Disruption:</w:t>
            </w:r>
          </w:p>
        </w:tc>
        <w:tc>
          <w:tcPr>
            <w:tcW w:w="8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Any event that Dealer, in its reasonable discretion and in good faith, determines makes it advisable with</w:t>
            </w:r>
          </w:p>
        </w:tc>
      </w:tr>
      <w:tr>
        <w:trPr>
          <w:trHeight w:val="216"/>
        </w:trPr>
        <w:tc>
          <w:tcPr>
            <w:tcW w:w="2980" w:type="dxa"/>
            <w:vAlign w:val="bottom"/>
          </w:tcPr>
          <w:p>
            <w:pPr>
              <w:spacing w:after="0"/>
              <w:rPr>
                <w:sz w:val="18"/>
                <w:szCs w:val="18"/>
                <w:color w:val="auto"/>
              </w:rPr>
            </w:pPr>
          </w:p>
        </w:tc>
        <w:tc>
          <w:tcPr>
            <w:tcW w:w="8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regard to any legal, regulatory or self-regulatory requirements or related policies and procedures</w:t>
            </w:r>
          </w:p>
        </w:tc>
      </w:tr>
      <w:tr>
        <w:trPr>
          <w:trHeight w:val="216"/>
        </w:trPr>
        <w:tc>
          <w:tcPr>
            <w:tcW w:w="2980" w:type="dxa"/>
            <w:vAlign w:val="bottom"/>
          </w:tcPr>
          <w:p>
            <w:pPr>
              <w:spacing w:after="0"/>
              <w:rPr>
                <w:sz w:val="18"/>
                <w:szCs w:val="18"/>
                <w:color w:val="auto"/>
              </w:rPr>
            </w:pPr>
          </w:p>
        </w:tc>
        <w:tc>
          <w:tcPr>
            <w:tcW w:w="8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applicable to Dealer, including any requirements, policies or procedures which Dealer determines could</w:t>
            </w:r>
          </w:p>
        </w:tc>
      </w:tr>
      <w:tr>
        <w:trPr>
          <w:trHeight w:val="216"/>
        </w:trPr>
        <w:tc>
          <w:tcPr>
            <w:tcW w:w="2980" w:type="dxa"/>
            <w:vAlign w:val="bottom"/>
          </w:tcPr>
          <w:p>
            <w:pPr>
              <w:spacing w:after="0"/>
              <w:rPr>
                <w:sz w:val="18"/>
                <w:szCs w:val="18"/>
                <w:color w:val="auto"/>
              </w:rPr>
            </w:pPr>
          </w:p>
        </w:tc>
        <w:tc>
          <w:tcPr>
            <w:tcW w:w="8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apply in relation to any Hedge Positions hereunder, to refrain from or decrease any market activity in</w:t>
            </w:r>
          </w:p>
        </w:tc>
      </w:tr>
      <w:tr>
        <w:trPr>
          <w:trHeight w:val="216"/>
        </w:trPr>
        <w:tc>
          <w:tcPr>
            <w:tcW w:w="2980" w:type="dxa"/>
            <w:vAlign w:val="bottom"/>
          </w:tcPr>
          <w:p>
            <w:pPr>
              <w:spacing w:after="0"/>
              <w:rPr>
                <w:sz w:val="18"/>
                <w:szCs w:val="18"/>
                <w:color w:val="auto"/>
              </w:rPr>
            </w:pPr>
          </w:p>
        </w:tc>
        <w:tc>
          <w:tcPr>
            <w:tcW w:w="8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connection with the Transaction. Dealer shall notify Counterparty as soon as reasonably practicable that a</w:t>
            </w:r>
          </w:p>
        </w:tc>
      </w:tr>
      <w:tr>
        <w:trPr>
          <w:trHeight w:val="234"/>
        </w:trPr>
        <w:tc>
          <w:tcPr>
            <w:tcW w:w="2980" w:type="dxa"/>
            <w:vAlign w:val="bottom"/>
          </w:tcPr>
          <w:p>
            <w:pPr>
              <w:spacing w:after="0"/>
              <w:rPr>
                <w:sz w:val="20"/>
                <w:szCs w:val="20"/>
                <w:color w:val="auto"/>
              </w:rPr>
            </w:pPr>
          </w:p>
        </w:tc>
        <w:tc>
          <w:tcPr>
            <w:tcW w:w="8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Regulatory Disruption has occurred and the Valuation Dates affected by it.</w:t>
            </w:r>
          </w:p>
        </w:tc>
      </w:tr>
      <w:tr>
        <w:trPr>
          <w:trHeight w:val="39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8260" w:type="dxa"/>
            <w:vAlign w:val="bottom"/>
          </w:tcPr>
          <w:p>
            <w:pPr>
              <w:spacing w:after="0"/>
              <w:rPr>
                <w:sz w:val="24"/>
                <w:szCs w:val="24"/>
                <w:color w:val="auto"/>
              </w:rPr>
            </w:pPr>
          </w:p>
        </w:tc>
      </w:tr>
      <w:tr>
        <w:trPr>
          <w:trHeight w:val="373"/>
        </w:trPr>
        <w:tc>
          <w:tcPr>
            <w:tcW w:w="2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 Payment:</w:t>
            </w:r>
          </w:p>
        </w:tc>
        <w:tc>
          <w:tcPr>
            <w:tcW w:w="8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 lieu of Section 9.2(a)(iii) of the Equity Definitions, Dealer will pay to Counterparty the Dividend</w:t>
            </w:r>
          </w:p>
        </w:tc>
      </w:tr>
      <w:tr>
        <w:trPr>
          <w:trHeight w:val="234"/>
        </w:trPr>
        <w:tc>
          <w:tcPr>
            <w:tcW w:w="2980" w:type="dxa"/>
            <w:vAlign w:val="bottom"/>
          </w:tcPr>
          <w:p>
            <w:pPr>
              <w:spacing w:after="0"/>
              <w:rPr>
                <w:sz w:val="20"/>
                <w:szCs w:val="20"/>
                <w:color w:val="auto"/>
              </w:rPr>
            </w:pPr>
          </w:p>
        </w:tc>
        <w:tc>
          <w:tcPr>
            <w:tcW w:w="8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Amount on the second Currency Business Day immediately following the Dividend Payment Date.</w:t>
            </w:r>
          </w:p>
        </w:tc>
      </w:tr>
      <w:tr>
        <w:trPr>
          <w:trHeight w:val="373"/>
        </w:trPr>
        <w:tc>
          <w:tcPr>
            <w:tcW w:w="2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 Amount:</w:t>
            </w:r>
          </w:p>
        </w:tc>
        <w:tc>
          <w:tcPr>
            <w:tcW w:w="8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 100% of the per Share amount (net of any taxes payable by Dealer (including, without limitation, any</w:t>
            </w:r>
          </w:p>
        </w:tc>
      </w:tr>
      <w:tr>
        <w:trPr>
          <w:trHeight w:val="216"/>
        </w:trPr>
        <w:tc>
          <w:tcPr>
            <w:tcW w:w="2980" w:type="dxa"/>
            <w:vAlign w:val="bottom"/>
          </w:tcPr>
          <w:p>
            <w:pPr>
              <w:spacing w:after="0"/>
              <w:rPr>
                <w:sz w:val="18"/>
                <w:szCs w:val="18"/>
                <w:color w:val="auto"/>
              </w:rPr>
            </w:pPr>
          </w:p>
        </w:tc>
        <w:tc>
          <w:tcPr>
            <w:tcW w:w="8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withholding, including for avoidance of doubt backup withholding, that Dealer reasonably determines to</w:t>
            </w:r>
          </w:p>
        </w:tc>
      </w:tr>
      <w:tr>
        <w:trPr>
          <w:trHeight w:val="216"/>
        </w:trPr>
        <w:tc>
          <w:tcPr>
            <w:tcW w:w="2980" w:type="dxa"/>
            <w:vAlign w:val="bottom"/>
          </w:tcPr>
          <w:p>
            <w:pPr>
              <w:spacing w:after="0"/>
              <w:rPr>
                <w:sz w:val="18"/>
                <w:szCs w:val="18"/>
                <w:color w:val="auto"/>
              </w:rPr>
            </w:pPr>
          </w:p>
        </w:tc>
        <w:tc>
          <w:tcPr>
            <w:tcW w:w="8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be necessary or prudent with respect thereto)) of any cash dividend or distribution declared by the Issuer</w:t>
            </w:r>
          </w:p>
        </w:tc>
      </w:tr>
      <w:tr>
        <w:trPr>
          <w:trHeight w:val="214"/>
        </w:trPr>
        <w:tc>
          <w:tcPr>
            <w:tcW w:w="2980" w:type="dxa"/>
            <w:vAlign w:val="bottom"/>
          </w:tcPr>
          <w:p>
            <w:pPr>
              <w:spacing w:after="0"/>
              <w:rPr>
                <w:sz w:val="18"/>
                <w:szCs w:val="18"/>
                <w:color w:val="auto"/>
              </w:rPr>
            </w:pPr>
          </w:p>
        </w:tc>
        <w:tc>
          <w:tcPr>
            <w:tcW w:w="8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 holders of record of a Share on any record date occurring during the period from, and including, the</w:t>
            </w:r>
          </w:p>
        </w:tc>
      </w:tr>
      <w:tr>
        <w:trPr>
          <w:trHeight w:val="216"/>
        </w:trPr>
        <w:tc>
          <w:tcPr>
            <w:tcW w:w="2980" w:type="dxa"/>
            <w:vAlign w:val="bottom"/>
          </w:tcPr>
          <w:p>
            <w:pPr>
              <w:spacing w:after="0"/>
              <w:rPr>
                <w:sz w:val="18"/>
                <w:szCs w:val="18"/>
                <w:color w:val="auto"/>
              </w:rPr>
            </w:pPr>
          </w:p>
        </w:tc>
        <w:tc>
          <w:tcPr>
            <w:tcW w:w="8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 xml:space="preserve">Effective Date to, but excluding, the final Settlement Date,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number of Shares equal</w:t>
            </w:r>
          </w:p>
        </w:tc>
      </w:tr>
      <w:tr>
        <w:trPr>
          <w:trHeight w:val="218"/>
        </w:trPr>
        <w:tc>
          <w:tcPr>
            <w:tcW w:w="2980" w:type="dxa"/>
            <w:vAlign w:val="bottom"/>
          </w:tcPr>
          <w:p>
            <w:pPr>
              <w:spacing w:after="0"/>
              <w:rPr>
                <w:sz w:val="18"/>
                <w:szCs w:val="18"/>
                <w:color w:val="auto"/>
              </w:rPr>
            </w:pPr>
          </w:p>
        </w:tc>
        <w:tc>
          <w:tcPr>
            <w:tcW w:w="8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 xml:space="preserve">to (i) the Number of Shares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number of any Hedge Shares in respect of which Dealer has</w:t>
            </w:r>
          </w:p>
        </w:tc>
      </w:tr>
      <w:tr>
        <w:trPr>
          <w:trHeight w:val="216"/>
        </w:trPr>
        <w:tc>
          <w:tcPr>
            <w:tcW w:w="2980" w:type="dxa"/>
            <w:vAlign w:val="bottom"/>
          </w:tcPr>
          <w:p>
            <w:pPr>
              <w:spacing w:after="0"/>
              <w:rPr>
                <w:sz w:val="18"/>
                <w:szCs w:val="18"/>
                <w:color w:val="auto"/>
              </w:rPr>
            </w:pPr>
          </w:p>
        </w:tc>
        <w:tc>
          <w:tcPr>
            <w:tcW w:w="82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unwound its Hedge Position in connection with any Cash Settlement of the Transaction on or prior to such</w:t>
            </w:r>
          </w:p>
        </w:tc>
      </w:tr>
      <w:tr>
        <w:trPr>
          <w:trHeight w:val="216"/>
        </w:trPr>
        <w:tc>
          <w:tcPr>
            <w:tcW w:w="2980" w:type="dxa"/>
            <w:vAlign w:val="bottom"/>
          </w:tcPr>
          <w:p>
            <w:pPr>
              <w:spacing w:after="0"/>
              <w:rPr>
                <w:sz w:val="18"/>
                <w:szCs w:val="18"/>
                <w:color w:val="auto"/>
              </w:rPr>
            </w:pPr>
          </w:p>
        </w:tc>
        <w:tc>
          <w:tcPr>
            <w:tcW w:w="8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record date and for which the relevant Cash Settlement Payment Date has not yet occurred (after giving</w:t>
            </w:r>
          </w:p>
        </w:tc>
      </w:tr>
      <w:tr>
        <w:trPr>
          <w:trHeight w:val="234"/>
        </w:trPr>
        <w:tc>
          <w:tcPr>
            <w:tcW w:w="2980" w:type="dxa"/>
            <w:vAlign w:val="bottom"/>
          </w:tcPr>
          <w:p>
            <w:pPr>
              <w:spacing w:after="0"/>
              <w:rPr>
                <w:sz w:val="20"/>
                <w:szCs w:val="20"/>
                <w:color w:val="auto"/>
              </w:rPr>
            </w:pPr>
          </w:p>
        </w:tc>
        <w:tc>
          <w:tcPr>
            <w:tcW w:w="8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effect to any reduction on such record date, if such record date is a Settlement Date).</w:t>
            </w:r>
          </w:p>
        </w:tc>
      </w:tr>
      <w:tr>
        <w:trPr>
          <w:trHeight w:val="391"/>
        </w:trPr>
        <w:tc>
          <w:tcPr>
            <w:tcW w:w="2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 Payment Date:</w:t>
            </w:r>
          </w:p>
        </w:tc>
        <w:tc>
          <w:tcPr>
            <w:tcW w:w="8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Each date on which the relevant Dividend Amount is paid by the Issuer to shareholders of record.</w:t>
            </w:r>
          </w:p>
        </w:tc>
      </w:tr>
      <w:tr>
        <w:trPr>
          <w:trHeight w:val="39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Share Adjustments:</w:t>
            </w:r>
          </w:p>
        </w:tc>
        <w:tc>
          <w:tcPr>
            <w:tcW w:w="8260" w:type="dxa"/>
            <w:vAlign w:val="bottom"/>
          </w:tcPr>
          <w:p>
            <w:pPr>
              <w:spacing w:after="0"/>
              <w:rPr>
                <w:sz w:val="24"/>
                <w:szCs w:val="24"/>
                <w:color w:val="auto"/>
              </w:rPr>
            </w:pPr>
          </w:p>
        </w:tc>
      </w:tr>
      <w:tr>
        <w:trPr>
          <w:trHeight w:val="373"/>
        </w:trPr>
        <w:tc>
          <w:tcPr>
            <w:tcW w:w="2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Method of Adjustment:</w:t>
            </w:r>
          </w:p>
        </w:tc>
        <w:tc>
          <w:tcPr>
            <w:tcW w:w="8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Calculation Agent Adjustment. For the avoidance of doubt, the payment of any cash dividend or</w:t>
            </w:r>
          </w:p>
        </w:tc>
      </w:tr>
      <w:tr>
        <w:trPr>
          <w:trHeight w:val="216"/>
        </w:trPr>
        <w:tc>
          <w:tcPr>
            <w:tcW w:w="2980" w:type="dxa"/>
            <w:vAlign w:val="bottom"/>
          </w:tcPr>
          <w:p>
            <w:pPr>
              <w:spacing w:after="0"/>
              <w:rPr>
                <w:sz w:val="18"/>
                <w:szCs w:val="18"/>
                <w:color w:val="auto"/>
              </w:rPr>
            </w:pPr>
          </w:p>
        </w:tc>
        <w:tc>
          <w:tcPr>
            <w:tcW w:w="8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distribution on the Shares by Issuer shall not constitute a Potential Adjustment Event but instead shall be</w:t>
            </w:r>
          </w:p>
        </w:tc>
      </w:tr>
      <w:tr>
        <w:trPr>
          <w:trHeight w:val="234"/>
        </w:trPr>
        <w:tc>
          <w:tcPr>
            <w:tcW w:w="2980" w:type="dxa"/>
            <w:vAlign w:val="bottom"/>
          </w:tcPr>
          <w:p>
            <w:pPr>
              <w:spacing w:after="0"/>
              <w:rPr>
                <w:sz w:val="20"/>
                <w:szCs w:val="20"/>
                <w:color w:val="auto"/>
              </w:rPr>
            </w:pPr>
          </w:p>
        </w:tc>
        <w:tc>
          <w:tcPr>
            <w:tcW w:w="8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governed by the provisions set forth under the heading “Dividends” above.</w:t>
            </w:r>
          </w:p>
        </w:tc>
      </w:tr>
      <w:tr>
        <w:trPr>
          <w:trHeight w:val="39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Extraordinary Events:</w:t>
            </w:r>
          </w:p>
        </w:tc>
        <w:tc>
          <w:tcPr>
            <w:tcW w:w="8260" w:type="dxa"/>
            <w:vAlign w:val="bottom"/>
          </w:tcPr>
          <w:p>
            <w:pPr>
              <w:spacing w:after="0"/>
              <w:rPr>
                <w:sz w:val="24"/>
                <w:szCs w:val="24"/>
                <w:color w:val="auto"/>
              </w:rPr>
            </w:pPr>
          </w:p>
        </w:tc>
      </w:tr>
      <w:tr>
        <w:trPr>
          <w:trHeight w:val="37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New Shares:</w:t>
            </w:r>
          </w:p>
        </w:tc>
        <w:tc>
          <w:tcPr>
            <w:tcW w:w="8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 the definition of New Shares in Section 12.1(i) of the Equity Definitions, the text in clause (i) shall be</w:t>
            </w:r>
          </w:p>
        </w:tc>
      </w:tr>
      <w:tr>
        <w:trPr>
          <w:trHeight w:val="216"/>
        </w:trPr>
        <w:tc>
          <w:tcPr>
            <w:tcW w:w="2980" w:type="dxa"/>
            <w:vAlign w:val="bottom"/>
          </w:tcPr>
          <w:p>
            <w:pPr>
              <w:spacing w:after="0"/>
              <w:rPr>
                <w:sz w:val="18"/>
                <w:szCs w:val="18"/>
                <w:color w:val="auto"/>
              </w:rPr>
            </w:pPr>
          </w:p>
        </w:tc>
        <w:tc>
          <w:tcPr>
            <w:tcW w:w="8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deleted in its entirety and replaced with “publicly quoted, traded or listed on any of the New York Stock</w:t>
            </w:r>
          </w:p>
        </w:tc>
      </w:tr>
      <w:tr>
        <w:trPr>
          <w:trHeight w:val="216"/>
        </w:trPr>
        <w:tc>
          <w:tcPr>
            <w:tcW w:w="2980" w:type="dxa"/>
            <w:vAlign w:val="bottom"/>
          </w:tcPr>
          <w:p>
            <w:pPr>
              <w:spacing w:after="0"/>
              <w:rPr>
                <w:sz w:val="18"/>
                <w:szCs w:val="18"/>
                <w:color w:val="auto"/>
              </w:rPr>
            </w:pPr>
          </w:p>
        </w:tc>
        <w:tc>
          <w:tcPr>
            <w:tcW w:w="8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Exchange, The Nasdaq Global Select Market or The Nasdaq Global Market (or their respective</w:t>
            </w:r>
          </w:p>
        </w:tc>
      </w:tr>
      <w:tr>
        <w:trPr>
          <w:trHeight w:val="234"/>
        </w:trPr>
        <w:tc>
          <w:tcPr>
            <w:tcW w:w="2980" w:type="dxa"/>
            <w:vAlign w:val="bottom"/>
          </w:tcPr>
          <w:p>
            <w:pPr>
              <w:spacing w:after="0"/>
              <w:rPr>
                <w:sz w:val="20"/>
                <w:szCs w:val="20"/>
                <w:color w:val="auto"/>
              </w:rPr>
            </w:pPr>
          </w:p>
        </w:tc>
        <w:tc>
          <w:tcPr>
            <w:tcW w:w="8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successors)”.</w:t>
            </w:r>
          </w:p>
        </w:tc>
      </w:tr>
      <w:tr>
        <w:trPr>
          <w:trHeight w:val="39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Consequences of Merger Events:</w:t>
            </w:r>
          </w:p>
        </w:tc>
        <w:tc>
          <w:tcPr>
            <w:tcW w:w="8260" w:type="dxa"/>
            <w:vAlign w:val="bottom"/>
          </w:tcPr>
          <w:p>
            <w:pPr>
              <w:spacing w:after="0"/>
              <w:rPr>
                <w:sz w:val="24"/>
                <w:szCs w:val="24"/>
                <w:color w:val="auto"/>
              </w:rPr>
            </w:pPr>
          </w:p>
        </w:tc>
      </w:tr>
      <w:tr>
        <w:trPr>
          <w:trHeight w:val="392"/>
        </w:trPr>
        <w:tc>
          <w:tcPr>
            <w:tcW w:w="2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Share-for-Share:</w:t>
            </w:r>
          </w:p>
        </w:tc>
        <w:tc>
          <w:tcPr>
            <w:tcW w:w="8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Calculation Agent Adjustment</w:t>
            </w:r>
          </w:p>
        </w:tc>
      </w:tr>
      <w:tr>
        <w:trPr>
          <w:trHeight w:val="391"/>
        </w:trPr>
        <w:tc>
          <w:tcPr>
            <w:tcW w:w="2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Share-for-Other:</w:t>
            </w:r>
          </w:p>
        </w:tc>
        <w:tc>
          <w:tcPr>
            <w:tcW w:w="8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Calculation Agent Adjustment or Cancellation and Payment, at the sole election of Dealer</w:t>
            </w:r>
          </w:p>
        </w:tc>
      </w:tr>
      <w:tr>
        <w:trPr>
          <w:trHeight w:val="702"/>
        </w:trPr>
        <w:tc>
          <w:tcPr>
            <w:tcW w:w="298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Share-for-Combined:</w:t>
            </w: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Calculation Agent Adjustment or Cancellation and Payment, at the sole election of Dealer</w:t>
            </w:r>
          </w:p>
        </w:tc>
      </w:tr>
      <w:tr>
        <w:trPr>
          <w:trHeight w:val="39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Consequences of Tender Offers:</w:t>
            </w:r>
          </w:p>
        </w:tc>
        <w:tc>
          <w:tcPr>
            <w:tcW w:w="7940" w:type="dxa"/>
            <w:vAlign w:val="bottom"/>
          </w:tcPr>
          <w:p>
            <w:pPr>
              <w:spacing w:after="0"/>
              <w:rPr>
                <w:sz w:val="24"/>
                <w:szCs w:val="24"/>
                <w:color w:val="auto"/>
              </w:rPr>
            </w:pPr>
          </w:p>
        </w:tc>
      </w:tr>
      <w:tr>
        <w:trPr>
          <w:trHeight w:val="391"/>
        </w:trPr>
        <w:tc>
          <w:tcPr>
            <w:tcW w:w="3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Share-for-Share:</w:t>
            </w: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Calculation Agent Adjustment</w:t>
            </w:r>
          </w:p>
        </w:tc>
      </w:tr>
      <w:tr>
        <w:trPr>
          <w:trHeight w:val="392"/>
        </w:trPr>
        <w:tc>
          <w:tcPr>
            <w:tcW w:w="3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Share-for-Other:</w:t>
            </w: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Calculation Agent Adjustment</w:t>
            </w:r>
          </w:p>
        </w:tc>
      </w:tr>
      <w:tr>
        <w:trPr>
          <w:trHeight w:val="392"/>
        </w:trPr>
        <w:tc>
          <w:tcPr>
            <w:tcW w:w="3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Share-for-Combined:</w:t>
            </w: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Calculation Agent Adjustment</w:t>
            </w:r>
          </w:p>
        </w:tc>
      </w:tr>
      <w:tr>
        <w:trPr>
          <w:trHeight w:val="37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Calculation Agent Adjustment:</w:t>
            </w: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If, with respect to a Merger Event or a Tender Offer, (i) the consideration for the Shares includes (or, at</w:t>
            </w:r>
          </w:p>
        </w:tc>
      </w:tr>
      <w:tr>
        <w:trPr>
          <w:trHeight w:val="216"/>
        </w:trPr>
        <w:tc>
          <w:tcPr>
            <w:tcW w:w="330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option of a holder of Shares, may include) shares of an entity or person that is not a corporation or is</w:t>
            </w:r>
          </w:p>
        </w:tc>
      </w:tr>
      <w:tr>
        <w:trPr>
          <w:trHeight w:val="216"/>
        </w:trPr>
        <w:tc>
          <w:tcPr>
            <w:tcW w:w="330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 organized under the laws of the United States, any State thereof or the District of Columbia or (ii) the</w:t>
            </w:r>
          </w:p>
        </w:tc>
      </w:tr>
      <w:tr>
        <w:trPr>
          <w:trHeight w:val="216"/>
        </w:trPr>
        <w:tc>
          <w:tcPr>
            <w:tcW w:w="330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Issuer following such Merger Event or Tender Offer will not be a corporation organized under the laws of</w:t>
            </w:r>
          </w:p>
        </w:tc>
      </w:tr>
      <w:tr>
        <w:trPr>
          <w:trHeight w:val="216"/>
        </w:trPr>
        <w:tc>
          <w:tcPr>
            <w:tcW w:w="330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United States, any State thereof or the District of Columbia, then, in either case, Cancellation and</w:t>
            </w:r>
          </w:p>
        </w:tc>
      </w:tr>
      <w:tr>
        <w:trPr>
          <w:trHeight w:val="234"/>
        </w:trPr>
        <w:tc>
          <w:tcPr>
            <w:tcW w:w="330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 may apply at Dealer’s sole election.</w:t>
            </w:r>
          </w:p>
        </w:tc>
      </w:tr>
      <w:tr>
        <w:trPr>
          <w:trHeight w:val="39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Composition of Combined Consideration:</w:t>
            </w: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7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Nationalization, Insolvency or Delisting:</w:t>
            </w: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 xml:space="preserve">Cancellation and Payment; </w:t>
            </w:r>
            <w:r>
              <w:rPr>
                <w:rFonts w:ascii="Times New Roman" w:cs="Times New Roman" w:eastAsia="Times New Roman" w:hAnsi="Times New Roman"/>
                <w:sz w:val="18"/>
                <w:szCs w:val="18"/>
                <w:i w:val="1"/>
                <w:iCs w:val="1"/>
                <w:color w:val="auto"/>
                <w:w w:val="99"/>
              </w:rPr>
              <w:t>provided</w:t>
            </w:r>
            <w:r>
              <w:rPr>
                <w:rFonts w:ascii="Times New Roman" w:cs="Times New Roman" w:eastAsia="Times New Roman" w:hAnsi="Times New Roman"/>
                <w:sz w:val="18"/>
                <w:szCs w:val="18"/>
                <w:color w:val="auto"/>
                <w:w w:val="99"/>
              </w:rPr>
              <w:t xml:space="preserve"> that, in addition to the provisions of Section 12.6(a)(iii) of the Equity</w:t>
            </w:r>
          </w:p>
        </w:tc>
      </w:tr>
      <w:tr>
        <w:trPr>
          <w:trHeight w:val="216"/>
        </w:trPr>
        <w:tc>
          <w:tcPr>
            <w:tcW w:w="330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Definitions, it will also constitute a Delisting if the Exchange is located in the United States and the</w:t>
            </w:r>
          </w:p>
        </w:tc>
      </w:tr>
      <w:tr>
        <w:trPr>
          <w:trHeight w:val="216"/>
        </w:trPr>
        <w:tc>
          <w:tcPr>
            <w:tcW w:w="330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Shares are not immediately re-listed, re-traded or re-quoted on any of the New York Stock Exchange, The</w:t>
            </w:r>
          </w:p>
        </w:tc>
      </w:tr>
      <w:tr>
        <w:trPr>
          <w:trHeight w:val="216"/>
        </w:trPr>
        <w:tc>
          <w:tcPr>
            <w:tcW w:w="330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Nasdaq Global Select Market or The Nasdaq Global Market (or their respective successors); if the Shares</w:t>
            </w:r>
          </w:p>
        </w:tc>
      </w:tr>
      <w:tr>
        <w:trPr>
          <w:trHeight w:val="216"/>
        </w:trPr>
        <w:tc>
          <w:tcPr>
            <w:tcW w:w="330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are immediately re-listed, re-traded or re-quoted on any of the New York Stock Exchange, The Nasdaq</w:t>
            </w:r>
          </w:p>
        </w:tc>
      </w:tr>
      <w:tr>
        <w:trPr>
          <w:trHeight w:val="216"/>
        </w:trPr>
        <w:tc>
          <w:tcPr>
            <w:tcW w:w="330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Global Select Market or The Nasdaq Global Market (or their respective successors), such exchange or</w:t>
            </w:r>
          </w:p>
        </w:tc>
      </w:tr>
      <w:tr>
        <w:trPr>
          <w:trHeight w:val="216"/>
        </w:trPr>
        <w:tc>
          <w:tcPr>
            <w:tcW w:w="330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quotation system shall thereafter be deemed to be the Exchange.  For purposes of this Confirmation</w:t>
            </w:r>
          </w:p>
        </w:tc>
      </w:tr>
      <w:tr>
        <w:trPr>
          <w:trHeight w:val="216"/>
        </w:trPr>
        <w:tc>
          <w:tcPr>
            <w:tcW w:w="330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 the phrase “will be cancelled” in the first line of Section 12.6(c)(ii) of the Equity Definitions shall be</w:t>
            </w:r>
          </w:p>
        </w:tc>
      </w:tr>
      <w:tr>
        <w:trPr>
          <w:trHeight w:val="216"/>
        </w:trPr>
        <w:tc>
          <w:tcPr>
            <w:tcW w:w="330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replaced with the phrase “may be cancelled by Dealer” and (y) the words “if so cancelled” shall be</w:t>
            </w:r>
          </w:p>
        </w:tc>
      </w:tr>
      <w:tr>
        <w:trPr>
          <w:trHeight w:val="216"/>
        </w:trPr>
        <w:tc>
          <w:tcPr>
            <w:tcW w:w="330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inserted immediately following the word “and” in the second line of Section 12.6(c)(ii) of the Equity</w:t>
            </w:r>
          </w:p>
        </w:tc>
      </w:tr>
      <w:tr>
        <w:trPr>
          <w:trHeight w:val="234"/>
        </w:trPr>
        <w:tc>
          <w:tcPr>
            <w:tcW w:w="330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Definitions.</w:t>
            </w:r>
          </w:p>
        </w:tc>
      </w:tr>
      <w:tr>
        <w:trPr>
          <w:trHeight w:val="391"/>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Additional Disruption Events:</w:t>
            </w:r>
          </w:p>
        </w:tc>
        <w:tc>
          <w:tcPr>
            <w:tcW w:w="7940" w:type="dxa"/>
            <w:vAlign w:val="bottom"/>
          </w:tcPr>
          <w:p>
            <w:pPr>
              <w:spacing w:after="0"/>
              <w:rPr>
                <w:sz w:val="24"/>
                <w:szCs w:val="24"/>
                <w:color w:val="auto"/>
              </w:rPr>
            </w:pPr>
          </w:p>
        </w:tc>
      </w:tr>
      <w:tr>
        <w:trPr>
          <w:trHeight w:val="373"/>
        </w:trPr>
        <w:tc>
          <w:tcPr>
            <w:tcW w:w="3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Law:</w:t>
            </w: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Section 12.9(a)(ii) of the Equity Definitions is hereby amended by</w:t>
            </w:r>
          </w:p>
        </w:tc>
      </w:tr>
      <w:tr>
        <w:trPr>
          <w:trHeight w:val="216"/>
        </w:trPr>
        <w:tc>
          <w:tcPr>
            <w:tcW w:w="330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 replacing the phrase “the interpretation” in the third line thereof with the phrase “, or public</w:t>
            </w:r>
          </w:p>
        </w:tc>
      </w:tr>
      <w:tr>
        <w:trPr>
          <w:trHeight w:val="216"/>
        </w:trPr>
        <w:tc>
          <w:tcPr>
            <w:tcW w:w="330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announcement of, the formal or informal interpretation”, (ii) replacing the word “Shares” where it appears</w:t>
            </w:r>
          </w:p>
        </w:tc>
      </w:tr>
      <w:tr>
        <w:trPr>
          <w:trHeight w:val="216"/>
        </w:trPr>
        <w:tc>
          <w:tcPr>
            <w:tcW w:w="330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 clause (X) thereof with the words “Hedge Positions” and (iii) replacing the parenthetical beginning</w:t>
            </w:r>
          </w:p>
        </w:tc>
      </w:tr>
      <w:tr>
        <w:trPr>
          <w:trHeight w:val="216"/>
        </w:trPr>
        <w:tc>
          <w:tcPr>
            <w:tcW w:w="330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after the word “regulation” in the second line thereof with the words “(including, for the avoidance of</w:t>
            </w:r>
          </w:p>
        </w:tc>
      </w:tr>
      <w:tr>
        <w:trPr>
          <w:trHeight w:val="216"/>
        </w:trPr>
        <w:tc>
          <w:tcPr>
            <w:tcW w:w="330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doubt and without limitation, (x) any tax law or (y) adoption, effectiveness or promulgation of new</w:t>
            </w:r>
          </w:p>
        </w:tc>
      </w:tr>
      <w:tr>
        <w:trPr>
          <w:trHeight w:val="216"/>
        </w:trPr>
        <w:tc>
          <w:tcPr>
            <w:tcW w:w="330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regulations authorized or mandated by existing statute)” and (b) Dealer shall not terminate the Transaction</w:t>
            </w:r>
          </w:p>
        </w:tc>
      </w:tr>
      <w:tr>
        <w:trPr>
          <w:trHeight w:val="216"/>
        </w:trPr>
        <w:tc>
          <w:tcPr>
            <w:tcW w:w="330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 a Change in Law referred to in clause (Y) of Section 12.9(a)(ii) of the Equity Definitions except to the</w:t>
            </w:r>
          </w:p>
        </w:tc>
      </w:tr>
      <w:tr>
        <w:trPr>
          <w:trHeight w:val="216"/>
        </w:trPr>
        <w:tc>
          <w:tcPr>
            <w:tcW w:w="330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extent such Change in Law is generally applicable in similar situations and applied to the Transaction in a</w:t>
            </w:r>
          </w:p>
        </w:tc>
      </w:tr>
      <w:tr>
        <w:trPr>
          <w:trHeight w:val="234"/>
        </w:trPr>
        <w:tc>
          <w:tcPr>
            <w:tcW w:w="330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non-discriminatory manner.</w:t>
            </w:r>
          </w:p>
        </w:tc>
      </w:tr>
      <w:tr>
        <w:trPr>
          <w:trHeight w:val="702"/>
        </w:trPr>
        <w:tc>
          <w:tcPr>
            <w:tcW w:w="33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4" w:name="page15"/>
    <w:bookmarkEnd w:id="14"/>
    <w:p>
      <w:pPr>
        <w:ind w:left="340"/>
        <w:spacing w:after="0"/>
        <w:rPr>
          <w:sz w:val="20"/>
          <w:szCs w:val="20"/>
          <w:color w:val="auto"/>
        </w:rPr>
      </w:pPr>
      <w:r>
        <w:rPr>
          <w:rFonts w:ascii="Times New Roman" w:cs="Times New Roman" w:eastAsia="Times New Roman" w:hAnsi="Times New Roman"/>
          <w:sz w:val="17"/>
          <w:szCs w:val="17"/>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196" w:lineRule="exact"/>
        <w:rPr>
          <w:sz w:val="20"/>
          <w:szCs w:val="20"/>
          <w:color w:val="auto"/>
        </w:rPr>
      </w:pPr>
    </w:p>
    <w:p>
      <w:pPr>
        <w:sectPr>
          <w:pgSz w:w="11900" w:h="16838" w:orient="portrait"/>
          <w:cols w:equalWidth="0" w:num="2">
            <w:col w:w="2440" w:space="720"/>
            <w:col w:w="8080"/>
          </w:cols>
          <w:pgMar w:left="320" w:top="931" w:right="339" w:bottom="1440" w:gutter="0" w:footer="0" w:header="0"/>
        </w:sectPr>
      </w:pPr>
    </w:p>
    <w:p>
      <w:pPr>
        <w:ind w:left="340"/>
        <w:spacing w:after="0"/>
        <w:rPr>
          <w:sz w:val="20"/>
          <w:szCs w:val="20"/>
          <w:color w:val="auto"/>
        </w:rPr>
      </w:pPr>
      <w:r>
        <w:rPr>
          <w:rFonts w:ascii="Times New Roman" w:cs="Times New Roman" w:eastAsia="Times New Roman" w:hAnsi="Times New Roman"/>
          <w:sz w:val="17"/>
          <w:szCs w:val="17"/>
          <w:color w:val="auto"/>
        </w:rPr>
        <w:t>Hedging Disruption: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96" w:lineRule="exact"/>
        <w:rPr>
          <w:sz w:val="20"/>
          <w:szCs w:val="20"/>
          <w:color w:val="auto"/>
        </w:rPr>
      </w:pPr>
    </w:p>
    <w:p>
      <w:pPr>
        <w:sectPr>
          <w:pgSz w:w="11900" w:h="16838" w:orient="portrait"/>
          <w:cols w:equalWidth="0" w:num="2">
            <w:col w:w="2440" w:space="720"/>
            <w:col w:w="8080"/>
          </w:cols>
          <w:pgMar w:left="320" w:top="931"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Increased Cost of Hedging: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96" w:lineRule="exact"/>
        <w:rPr>
          <w:sz w:val="20"/>
          <w:szCs w:val="20"/>
          <w:color w:val="auto"/>
        </w:rPr>
      </w:pPr>
    </w:p>
    <w:p>
      <w:pPr>
        <w:sectPr>
          <w:pgSz w:w="11900" w:h="16838" w:orient="portrait"/>
          <w:cols w:equalWidth="0" w:num="2">
            <w:col w:w="2440" w:space="720"/>
            <w:col w:w="8080"/>
          </w:cols>
          <w:pgMar w:left="320" w:top="931"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Loss of Stock Borrow: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96" w:lineRule="exact"/>
        <w:rPr>
          <w:sz w:val="20"/>
          <w:szCs w:val="20"/>
          <w:color w:val="auto"/>
        </w:rPr>
      </w:pPr>
    </w:p>
    <w:p>
      <w:pPr>
        <w:sectPr>
          <w:pgSz w:w="11900" w:h="16838" w:orient="portrait"/>
          <w:cols w:equalWidth="0" w:num="2">
            <w:col w:w="2440" w:space="720"/>
            <w:col w:w="8080"/>
          </w:cols>
          <w:pgMar w:left="320" w:top="931"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Increased Cost of Stock Borrow: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96" w:lineRule="exact"/>
        <w:rPr>
          <w:sz w:val="20"/>
          <w:szCs w:val="20"/>
          <w:color w:val="auto"/>
        </w:rPr>
      </w:pPr>
    </w:p>
    <w:p>
      <w:pPr>
        <w:sectPr>
          <w:pgSz w:w="11900" w:h="16838" w:orient="portrait"/>
          <w:cols w:equalWidth="0" w:num="2">
            <w:col w:w="2700" w:space="460"/>
            <w:col w:w="8080"/>
          </w:cols>
          <w:pgMar w:left="320" w:top="931"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Hedging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For all applicable Disruption Events, Dealer.</w:t>
      </w:r>
    </w:p>
    <w:p>
      <w:pPr>
        <w:spacing w:after="0" w:line="194" w:lineRule="exact"/>
        <w:rPr>
          <w:sz w:val="20"/>
          <w:szCs w:val="20"/>
          <w:color w:val="auto"/>
        </w:rPr>
      </w:pPr>
    </w:p>
    <w:p>
      <w:pPr>
        <w:sectPr>
          <w:pgSz w:w="11900" w:h="16838" w:orient="portrait"/>
          <w:cols w:equalWidth="0" w:num="2">
            <w:col w:w="2440" w:space="720"/>
            <w:col w:w="8080"/>
          </w:cols>
          <w:pgMar w:left="320" w:top="931" w:right="339" w:bottom="1440" w:gutter="0" w:footer="0" w:header="0"/>
          <w:type w:val="continuous"/>
        </w:sectPr>
      </w:pP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Determining Party:</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For all applicable Extraordinary Events,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when making any determination or calculation as “Determining Party,” Dealer shall be bound by the same obligations relating to required acts of the Calculation Agent as set forth in Section 1.40 of the Equity Definitions and this Confirmation as if Determining Party were the Calculation Agent.</w:t>
      </w:r>
    </w:p>
    <w:p>
      <w:pPr>
        <w:spacing w:after="0" w:line="182" w:lineRule="exact"/>
        <w:rPr>
          <w:sz w:val="20"/>
          <w:szCs w:val="20"/>
          <w:color w:val="auto"/>
        </w:rPr>
      </w:pPr>
    </w:p>
    <w:p>
      <w:pPr>
        <w:sectPr>
          <w:pgSz w:w="11900" w:h="16838" w:orient="portrait"/>
          <w:cols w:equalWidth="0" w:num="2">
            <w:col w:w="2440" w:space="720"/>
            <w:col w:w="8080"/>
          </w:cols>
          <w:pgMar w:left="320" w:top="931" w:right="339" w:bottom="1440" w:gutter="0" w:footer="0" w:header="0"/>
          <w:type w:val="continuous"/>
        </w:sectPr>
      </w:pPr>
    </w:p>
    <w:p>
      <w:pPr>
        <w:jc w:val="both"/>
        <w:ind w:left="3160"/>
        <w:spacing w:after="0" w:line="254" w:lineRule="auto"/>
        <w:rPr>
          <w:sz w:val="20"/>
          <w:szCs w:val="20"/>
          <w:color w:val="auto"/>
        </w:rPr>
      </w:pPr>
      <w:r>
        <w:rPr>
          <w:rFonts w:ascii="Times New Roman" w:cs="Times New Roman" w:eastAsia="Times New Roman" w:hAnsi="Times New Roman"/>
          <w:sz w:val="18"/>
          <w:szCs w:val="18"/>
          <w:color w:val="auto"/>
        </w:rPr>
        <w:t>Following any determination or calculation by Determining Party hereunder, upon a written request by Counterparty, Determining Party will promptly (but in any event within five Scheduled Trading Days) provide to Counterparty in writing a report (in a commonly used file format for the storage and manipulation of financial data) displaying in reasonable detail the basis for such determination or calculation (including any assumptions used in making such determination or calculation), it being understood that in no event will Determining Party be obligated to share with Counterparty any proprietary or confidential data or information or any proprietary or confidential models used by it in making such determination or calculation or any information that is subject to an obligation not to disclose such information.</w:t>
      </w:r>
    </w:p>
    <w:p>
      <w:pPr>
        <w:sectPr>
          <w:pgSz w:w="11900" w:h="16838" w:orient="portrait"/>
          <w:cols w:equalWidth="0" w:num="1">
            <w:col w:w="11240"/>
          </w:cols>
          <w:pgMar w:left="320" w:top="931" w:right="339"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Non-Reliance:</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196" w:lineRule="exact"/>
        <w:rPr>
          <w:sz w:val="20"/>
          <w:szCs w:val="20"/>
          <w:color w:val="auto"/>
        </w:rPr>
      </w:pPr>
    </w:p>
    <w:p>
      <w:pPr>
        <w:sectPr>
          <w:pgSz w:w="11900" w:h="16838" w:orient="portrait"/>
          <w:cols w:equalWidth="0" w:num="2">
            <w:col w:w="2440" w:space="720"/>
            <w:col w:w="8080"/>
          </w:cols>
          <w:pgMar w:left="320" w:top="931"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Agreements and Acknowledgements Regarding Hedging Activities: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411" w:lineRule="exact"/>
        <w:rPr>
          <w:sz w:val="20"/>
          <w:szCs w:val="20"/>
          <w:color w:val="auto"/>
        </w:rPr>
      </w:pPr>
    </w:p>
    <w:p>
      <w:pPr>
        <w:sectPr>
          <w:pgSz w:w="11900" w:h="16838" w:orient="portrait"/>
          <w:cols w:equalWidth="0" w:num="2">
            <w:col w:w="2660" w:space="500"/>
            <w:col w:w="8080"/>
          </w:cols>
          <w:pgMar w:left="320" w:top="93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Additional Acknowledgements: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211" w:lineRule="exact"/>
        <w:rPr>
          <w:sz w:val="20"/>
          <w:szCs w:val="20"/>
          <w:color w:val="auto"/>
        </w:rPr>
      </w:pPr>
    </w:p>
    <w:p>
      <w:pPr>
        <w:sectPr>
          <w:pgSz w:w="11900" w:h="16838" w:orient="portrait"/>
          <w:cols w:equalWidth="0" w:num="2">
            <w:col w:w="2440" w:space="720"/>
            <w:col w:w="8080"/>
          </w:cols>
          <w:pgMar w:left="320" w:top="931" w:right="339" w:bottom="1440" w:gutter="0" w:footer="0" w:header="0"/>
          <w:type w:val="continuous"/>
        </w:sectPr>
      </w:pPr>
    </w:p>
    <w:p>
      <w:pPr>
        <w:spacing w:after="0" w:line="25"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Details:</w:t>
      </w:r>
    </w:p>
    <w:p>
      <w:pPr>
        <w:spacing w:after="0" w:line="225" w:lineRule="exact"/>
        <w:rPr>
          <w:rFonts w:ascii="Times New Roman" w:cs="Times New Roman" w:eastAsia="Times New Roman" w:hAnsi="Times New Roman"/>
          <w:sz w:val="18"/>
          <w:szCs w:val="18"/>
          <w:color w:val="auto"/>
        </w:rPr>
      </w:pPr>
    </w:p>
    <w:p>
      <w:pPr>
        <w:ind w:left="1620" w:right="7100" w:hanging="964"/>
        <w:spacing w:after="0" w:line="500" w:lineRule="auto"/>
        <w:tabs>
          <w:tab w:leader="none" w:pos="129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payments to Counterparty: To be provided by Counterparty.</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Account for delivery of Shares to Counterparty:</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 be provided by Counterparty.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5" w:name="page16"/>
    <w:bookmarkEnd w:id="15"/>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payments to Dealer: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Bank: Citibank NA New York</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ABA#: CITIUS33 (or ABA: 021000089)</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 Citibank New York</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 00167679</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Ref: NY Swap Operations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Account for delivery of Shares from Dealer:</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 be provided by Dealer.</w:t>
      </w:r>
    </w:p>
    <w:p>
      <w:pPr>
        <w:spacing w:after="0" w:line="225"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Office of Counterparty for the Transaction is: Inapplicable, Counterparty is not a Multibranch Party.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Office of Dealer for the Transaction is: New York, New York</w:t>
      </w:r>
    </w:p>
    <w:p>
      <w:pPr>
        <w:spacing w:after="0" w:line="22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For purposes of this Confirmation:</w:t>
      </w:r>
    </w:p>
    <w:p>
      <w:pPr>
        <w:spacing w:after="0" w:line="225" w:lineRule="exact"/>
        <w:rPr>
          <w:rFonts w:ascii="Times New Roman" w:cs="Times New Roman" w:eastAsia="Times New Roman" w:hAnsi="Times New Roman"/>
          <w:sz w:val="18"/>
          <w:szCs w:val="18"/>
          <w:color w:val="auto"/>
        </w:rPr>
      </w:pPr>
    </w:p>
    <w:p>
      <w:pPr>
        <w:ind w:left="1300" w:right="5880" w:hanging="644"/>
        <w:spacing w:after="0" w:line="261"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Counterparty: Ayar Third Investment Company</w:t>
      </w:r>
    </w:p>
    <w:p>
      <w:pPr>
        <w:ind w:left="1300" w:right="68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Prince Turki bin Abdul Aziz Al-Awal Road P.O. Box 6847</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Riyadh 11452</w:t>
      </w:r>
    </w:p>
    <w:p>
      <w:pPr>
        <w:spacing w:after="0" w:line="9" w:lineRule="exact"/>
        <w:rPr>
          <w:rFonts w:ascii="Times New Roman" w:cs="Times New Roman" w:eastAsia="Times New Roman" w:hAnsi="Times New Roman"/>
          <w:sz w:val="18"/>
          <w:szCs w:val="18"/>
          <w:color w:val="auto"/>
        </w:rPr>
      </w:pPr>
    </w:p>
    <w:p>
      <w:pPr>
        <w:ind w:left="1300" w:right="77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Kingdom of Saudi Arabia Attention: Turqi Alnowaiser</w:t>
      </w:r>
    </w:p>
    <w:p>
      <w:pPr>
        <w:ind w:left="2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Yasir Alsalman</w:t>
      </w:r>
    </w:p>
    <w:p>
      <w:pPr>
        <w:spacing w:after="0" w:line="206" w:lineRule="exact"/>
        <w:rPr>
          <w:rFonts w:ascii="Times New Roman" w:cs="Times New Roman" w:eastAsia="Times New Roman" w:hAnsi="Times New Roman"/>
          <w:sz w:val="18"/>
          <w:szCs w:val="18"/>
          <w:color w:val="auto"/>
        </w:rPr>
      </w:pPr>
    </w:p>
    <w:p>
      <w:pPr>
        <w:ind w:left="1960" w:right="6940" w:hanging="648"/>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talnowaiser@pif.gov.sa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yalsalman@pif.gov.sa lightning.investment@pif.gov.sa lightning.legal@pif.gov.sa Intl.operations@pif.gov.sa</w:t>
      </w:r>
    </w:p>
    <w:p>
      <w:pPr>
        <w:spacing w:after="0" w:line="167" w:lineRule="exact"/>
        <w:rPr>
          <w:rFonts w:ascii="Times New Roman" w:cs="Times New Roman" w:eastAsia="Times New Roman" w:hAnsi="Times New Roman"/>
          <w:sz w:val="18"/>
          <w:szCs w:val="18"/>
          <w:color w:val="auto"/>
        </w:rPr>
      </w:pPr>
    </w:p>
    <w:p>
      <w:pPr>
        <w:ind w:left="1300" w:right="6340" w:hanging="644"/>
        <w:spacing w:after="0" w:line="53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Dealer: Citibank, N.A.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Attention:</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 Derivatives</w:t>
            </w:r>
          </w:p>
        </w:tc>
      </w:tr>
      <w:tr>
        <w:trPr>
          <w:trHeight w:val="216"/>
        </w:trPr>
        <w:tc>
          <w:tcPr>
            <w:tcW w:w="25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Telephone No.:</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(212) 723-7310</w:t>
            </w:r>
          </w:p>
        </w:tc>
      </w:tr>
      <w:tr>
        <w:trPr>
          <w:trHeight w:val="216"/>
        </w:trPr>
        <w:tc>
          <w:tcPr>
            <w:tcW w:w="25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Email:</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eric.natelson@citi.com</w:t>
            </w:r>
          </w:p>
        </w:tc>
      </w:tr>
      <w:tr>
        <w:trPr>
          <w:trHeight w:val="216"/>
        </w:trPr>
        <w:tc>
          <w:tcPr>
            <w:tcW w:w="2500" w:type="dxa"/>
            <w:vAlign w:val="bottom"/>
          </w:tcPr>
          <w:p>
            <w:pPr>
              <w:spacing w:after="0"/>
              <w:rPr>
                <w:sz w:val="18"/>
                <w:szCs w:val="18"/>
                <w:color w:val="auto"/>
              </w:rPr>
            </w:pP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theodore.finkelstein@citi.com</w:t>
            </w:r>
          </w:p>
        </w:tc>
      </w:tr>
      <w:tr>
        <w:trPr>
          <w:trHeight w:val="216"/>
        </w:trPr>
        <w:tc>
          <w:tcPr>
            <w:tcW w:w="2500" w:type="dxa"/>
            <w:vAlign w:val="bottom"/>
          </w:tcPr>
          <w:p>
            <w:pPr>
              <w:spacing w:after="0"/>
              <w:rPr>
                <w:sz w:val="18"/>
                <w:szCs w:val="18"/>
                <w:color w:val="auto"/>
              </w:rPr>
            </w:pP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bianca.gotuaco@citi.com</w:t>
            </w:r>
          </w:p>
        </w:tc>
      </w:tr>
      <w:tr>
        <w:trPr>
          <w:trHeight w:val="216"/>
        </w:trPr>
        <w:tc>
          <w:tcPr>
            <w:tcW w:w="2500" w:type="dxa"/>
            <w:vAlign w:val="bottom"/>
          </w:tcPr>
          <w:p>
            <w:pPr>
              <w:spacing w:after="0"/>
              <w:rPr>
                <w:sz w:val="18"/>
                <w:szCs w:val="18"/>
                <w:color w:val="auto"/>
              </w:rPr>
            </w:pP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vincent.folliot@citi.com</w:t>
            </w:r>
          </w:p>
        </w:tc>
      </w:tr>
      <w:tr>
        <w:trPr>
          <w:trHeight w:val="216"/>
        </w:trPr>
        <w:tc>
          <w:tcPr>
            <w:tcW w:w="2500" w:type="dxa"/>
            <w:vAlign w:val="bottom"/>
          </w:tcPr>
          <w:p>
            <w:pPr>
              <w:spacing w:after="0"/>
              <w:rPr>
                <w:sz w:val="18"/>
                <w:szCs w:val="18"/>
                <w:color w:val="auto"/>
              </w:rPr>
            </w:pP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ben.price@citi.com</w:t>
            </w:r>
          </w:p>
        </w:tc>
      </w:tr>
      <w:tr>
        <w:trPr>
          <w:trHeight w:val="216"/>
        </w:trPr>
        <w:tc>
          <w:tcPr>
            <w:tcW w:w="2500" w:type="dxa"/>
            <w:vAlign w:val="bottom"/>
          </w:tcPr>
          <w:p>
            <w:pPr>
              <w:spacing w:after="0"/>
              <w:rPr>
                <w:sz w:val="18"/>
                <w:szCs w:val="18"/>
                <w:color w:val="auto"/>
              </w:rPr>
            </w:pP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ali.farhan@citi.com</w:t>
            </w:r>
          </w:p>
        </w:tc>
      </w:tr>
      <w:tr>
        <w:trPr>
          <w:trHeight w:val="216"/>
        </w:trPr>
        <w:tc>
          <w:tcPr>
            <w:tcW w:w="2500" w:type="dxa"/>
            <w:vAlign w:val="bottom"/>
          </w:tcPr>
          <w:p>
            <w:pPr>
              <w:spacing w:after="0"/>
              <w:rPr>
                <w:sz w:val="18"/>
                <w:szCs w:val="18"/>
                <w:color w:val="auto"/>
              </w:rPr>
            </w:pP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eq.us.corporates.middle.office@citi.com</w:t>
            </w:r>
          </w:p>
        </w:tc>
      </w:tr>
      <w:tr>
        <w:trPr>
          <w:trHeight w:val="234"/>
        </w:trPr>
        <w:tc>
          <w:tcPr>
            <w:tcW w:w="2500" w:type="dxa"/>
            <w:vAlign w:val="bottom"/>
          </w:tcPr>
          <w:p>
            <w:pPr>
              <w:spacing w:after="0"/>
              <w:rPr>
                <w:sz w:val="20"/>
                <w:szCs w:val="20"/>
                <w:color w:val="auto"/>
              </w:rPr>
            </w:pP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eq.us.ses.notifications@citi.com</w:t>
            </w:r>
          </w:p>
        </w:tc>
      </w:tr>
      <w:tr>
        <w:trPr>
          <w:trHeight w:val="675"/>
        </w:trPr>
        <w:tc>
          <w:tcPr>
            <w:tcW w:w="250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6" w:name="page17"/>
    <w:bookmarkEnd w:id="16"/>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Warranties and Agreements of Counterparty.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representations set forth in the Master Agreement, Counterparty represents and warrants to, and agrees with, Dealer, on the date hereof, that:</w:t>
      </w:r>
    </w:p>
    <w:p>
      <w:pPr>
        <w:spacing w:after="0" w:line="162"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(a)   (i) It is not entering into the Transaction on behalf of or for the accounts of any other person or entity, and will not transfer or assign its obligations under the Transaction or any portion of such obligations to any other person or entity except in compliance with applicable laws and the terms of the Transaction; (ii) it understands that the Transaction is subject to complex risks which may arise without warning and may at times be volatile, and that losses may occur quickly and in unanticipated magnitude; (iii) it is authorized to enter into the Transaction and such action does not violate any laws of its jurisdiction of incorporation, organization or residence (including, but not limited to, any applicable position or exercise limits set by any self-regulatory organization, either acting alone or in concert with others) or the terms of any agreement to which it is a party; (iv) it has consulted with its legal advisor(s) and has reached its own conclusions about the Transaction, and any legal, regulatory, tax, accounting or economic consequences arising from the Transaction; (v) it has concluded that the Transaction is suitable in light of its own investment objectives, financial condition and expertise; and (vi) neither Dealer nor any of its affiliates has advised it with respect to any legal, regulatory, tax, accounting or economic consequences arising from the Transaction, and neither Dealer nor any of its affiliates is acting as agent, or advisor for Counterparty in connection with the Transaction.</w:t>
      </w:r>
    </w:p>
    <w:p>
      <w:pPr>
        <w:spacing w:after="0" w:line="194"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(b)   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USD50 million.</w:t>
      </w:r>
    </w:p>
    <w:p>
      <w:pPr>
        <w:spacing w:after="0" w:line="1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(d)   Counterparty is not entering into the Transaction or amending or taking any action in respect of this Transaction to create actual or apparent trading activity in the Shares (or any security convertible into or exchangeable for the Shares) or to raise or depress or otherwise manipulate the price of the Shares (or any security convertible into or exchangeable for the Shares) or otherwise in violation of the Exchange Act.</w:t>
      </w:r>
    </w:p>
    <w:p>
      <w:pPr>
        <w:spacing w:after="0" w:line="176"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(e)    Counterparty is not, on the Trade Date, engaged in a distribution, as such term is used in Regulation M under the Exchange Act of any securities of Issuer, other than a distribution meeting the requirements of the exception set forth in Rules 101(b)(10) and 102(b)(7) of Regulation M. Counterparty shall not, engage in any such distribution until the second Scheduled Trading Day immediately following the Effective Date. Counterparty shall not (x) at any time during the period beginning on, and including, the 32nd Scheduled Trading Day immediately preceding the Note Maturity Date and ending on, and including, the second Scheduled Trading Day immediately following the last day of the “Observation Period” (as defined in clause</w:t>
      </w:r>
    </w:p>
    <w:p>
      <w:pPr>
        <w:spacing w:after="0" w:line="3" w:lineRule="exact"/>
        <w:rPr>
          <w:sz w:val="20"/>
          <w:szCs w:val="20"/>
          <w:color w:val="auto"/>
        </w:rPr>
      </w:pPr>
    </w:p>
    <w:p>
      <w:pPr>
        <w:jc w:val="both"/>
        <w:ind w:firstLine="8"/>
        <w:spacing w:after="0" w:line="250" w:lineRule="auto"/>
        <w:tabs>
          <w:tab w:leader="none" w:pos="3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such definition in the indenture for the Notes), (y) if the Applicability Conditions are satisfied, at any time during the period beginning on, and including, the date on which Issuer or any subsidiary or affiliate thereof repurchases, redeems or exchanges any of the Notes pursuant to the terms thereof, commences a tender offer for the Notes or enters into any agreement to repurchase, redeem or exchange the Notes, and ending on, and including, the 30th Exchange Business Day immediately following the consummation of such tender offer, repurchase, redemption or exchange or (z) upon the occurrence of a “Make-Whole Fundamental Change” (as defined in the indenture for the Notes), at any time during the period beginning on, and including, the corresponding “Make-Whole Fundamental Change Effective Date” (as defined in the indenture for the Notes) and ending on, and including, the 30th Exchange Business Day immediately following the last day of the “Make-Whole Fundamental Change Conversion Period” (as defined in the indenture for the Notes) that occurs in connection with such Make-Whole Fundamental Change (any period described in clause (x), (y) or (z) a “</w:t>
      </w:r>
      <w:r>
        <w:rPr>
          <w:rFonts w:ascii="Times New Roman" w:cs="Times New Roman" w:eastAsia="Times New Roman" w:hAnsi="Times New Roman"/>
          <w:sz w:val="18"/>
          <w:szCs w:val="18"/>
          <w:b w:val="1"/>
          <w:bCs w:val="1"/>
          <w:color w:val="auto"/>
        </w:rPr>
        <w:t>Prohibited Period</w:t>
      </w:r>
      <w:r>
        <w:rPr>
          <w:rFonts w:ascii="Times New Roman" w:cs="Times New Roman" w:eastAsia="Times New Roman" w:hAnsi="Times New Roman"/>
          <w:sz w:val="18"/>
          <w:szCs w:val="18"/>
          <w:color w:val="auto"/>
        </w:rPr>
        <w:t>”), engage in any such distribution, other than a distribution meeting the requirements of one of the exceptions set forth in Rule 101(b) and Rule 102(b) of Regulation M. The parties acknowledge that pursuant to the Issuer Letter Agreement, Issuer has agreed to give contemporaneous written notice to Dealer and Counterparty upon (1) Issuer or any of Issuer’s subsidiaries or affiliates repurchasing, redeeming or exchanging the Notes pursuant to their terms, commencing a tender offer for the Notes or entering into any agreement to repurchase, redeem or exchange the Notes or (2) the occurrence of any Make-Whole Fundamental Change, and Dealer shall give prompt written notice to Counterparty of the Calculation Agent’s determination of the date on which Dealer has completed any purchase of Shares to unwind its Hedge Positions as a result any of the events described in clause (z) of the immediately preceding sentence. By 5:00 p.m. (New York City) time on the Scheduled Trading Day following (1) any repurchase, redemption, exchange or expiration of a tender offer, in each case, described in clause (y) of the second immediately preceding sentence or (2) any “Conversion Date” (as defined in the indenture for the Notes) that occurs in connection with any Make-Whole Fundamental Change. “</w:t>
      </w:r>
      <w:r>
        <w:rPr>
          <w:rFonts w:ascii="Times New Roman" w:cs="Times New Roman" w:eastAsia="Times New Roman" w:hAnsi="Times New Roman"/>
          <w:sz w:val="18"/>
          <w:szCs w:val="18"/>
          <w:b w:val="1"/>
          <w:bCs w:val="1"/>
          <w:color w:val="auto"/>
        </w:rPr>
        <w:t>Applicability Conditions</w:t>
      </w:r>
      <w:r>
        <w:rPr>
          <w:rFonts w:ascii="Times New Roman" w:cs="Times New Roman" w:eastAsia="Times New Roman" w:hAnsi="Times New Roman"/>
          <w:sz w:val="18"/>
          <w:szCs w:val="18"/>
          <w:color w:val="auto"/>
        </w:rPr>
        <w:t>” means (x) in connection with any unwind activity with respect to its Hedge Positions as a result of the relevant repurchase, redemption, exchange or tender offer, Dealer would be required to purchase Shares and (y) if Dealer were to modify the unwind activity described in clause (x) such that it would not be required to purchase Shares, Dealer would either be unable to maintain a commercially reasonable Hedge Position in connection with, and as a result of, such repurchase, redemption, exchange or tender offer or Dealer would incur a material, incremental cost or expense to maintain a commercially reasonable Hedge Position in connection with, and as a result of, such repurchase, redemption, exchange or tender offer.</w:t>
      </w:r>
    </w:p>
    <w:p>
      <w:pPr>
        <w:spacing w:after="0" w:line="20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(g)   Counterparty has all necessary power and authority to execute, deliver and perform its obligations in respect of the Transaction; such execution, delivery and performance have been duly authorized by all necessary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189"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(h)   On and immediately after the Trade Date and the Prepayment Date, (A) the value of the total assets of Counterparty is greater than the sum of the total liabilities, (B) the capital of Counterparty is adequate to conduct the business of Counterparty, and Counterparty’s entry into the Transaction will not impair its capital, (C) Counterparty has the ability to pay its debts and obligations as such debts mature and does not intend to, or does not believe that it will, incur debt beyond its ability to pay as such debts mature, (D) Counterparty is not “insolvent” (as such term is defined under Section 101(32) of the U.S. Bankruptcy Code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and (E) Counterparty would be able to purchase the aggregate Shares with an aggregate purchase price equal to the Prepayment Amount in compliance with the laws of the jurisdiction of Counterparty’s incorporation.</w:t>
      </w:r>
    </w:p>
    <w:p>
      <w:pPr>
        <w:spacing w:after="0" w:line="18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(i)     Counterparty has made, or will make in a timely manner, any filings required to be made by it with the SEC, any securities exchange or any other regulatory body with respect to the Transaction contemplated hereby.</w:t>
      </w:r>
    </w:p>
    <w:p>
      <w:pPr>
        <w:spacing w:after="0" w:line="162"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(j)     Neither the execution and delivery of this Confirmation nor the incurrence or performance of obligations of Counterparty hereunder will conflict with or result in a breach of the certificate of incorporation or by-laws (or any equivalent documents) of Counterparty, or any applicable law or regulation, or any order, writ, injunction or decree of any court or governmental authority or agency, or any agreement or instrument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83"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(k)    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or state securities laws.</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(l)     Counterparty is not and, after giving effect to the transactions contemplated in this Confirmation, will not be required to register as an “investment company” as such term is defined in the Investment Company Act of 1940, as amended.</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(m)   Counterparty is an “eligible contract participant” (as such term is defined in Section 1a(18) of the Commodity Exchange Act, as amended, other than a person that is an eligible contract participant under Section 1a(18)(C) of the Commodity Exchange Act).</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(o)   On the Trade Date and on any day during a Prohibited Period, Counterparty shall not,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w:t>
      </w:r>
    </w:p>
    <w:p>
      <w:pPr>
        <w:spacing w:after="0" w:line="180"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(p)   Counterparty acknowledges that the offer and sale of the Transaction to it is intended to be exempt from registration under the Securities Act, by virtue of Section 4(a)(2) thereof. Accordingly, Counterparty represents and warrants to Dealer that (i) it has the financial ability to bear the economic risk of its investment in the Transaction and is able to bear a total loss of its investment, (ii) it is an “accredited investor” as that term is defined in Regulation D as promulgated under the Securities Act, (iii) it is entering into the Transaction for its own account without a view to the distribution or resale thereof and (iv) the assignment, transfer or other disposition of the Transaction has not been and will not be registered under the Securities Act and is restricted under this Confirmation, the Securities Act and state securities laws.</w:t>
      </w:r>
    </w:p>
    <w:p>
      <w:pPr>
        <w:spacing w:after="0" w:line="187"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(q)   Unless Counterparty has provided contemporaneous written notice of such sales of Shares to Dealer, Counterparty shall not make any sales of Shares pursuant to Rule 144 (“</w:t>
      </w:r>
      <w:r>
        <w:rPr>
          <w:rFonts w:ascii="Times New Roman" w:cs="Times New Roman" w:eastAsia="Times New Roman" w:hAnsi="Times New Roman"/>
          <w:sz w:val="18"/>
          <w:szCs w:val="18"/>
          <w:b w:val="1"/>
          <w:bCs w:val="1"/>
          <w:color w:val="auto"/>
        </w:rPr>
        <w:t>Rule 144 Sales</w:t>
      </w:r>
      <w:r>
        <w:rPr>
          <w:rFonts w:ascii="Times New Roman" w:cs="Times New Roman" w:eastAsia="Times New Roman" w:hAnsi="Times New Roman"/>
          <w:sz w:val="18"/>
          <w:szCs w:val="18"/>
          <w:color w:val="auto"/>
        </w:rPr>
        <w:t>”) during the period from, and including, the Trade Date to, but excluding, the later of (i) the final Settlement Date and (ii) the final Cash Settlement Payment Date, and Counterparty shall not permit any person or entity with whom Counterparty’s Rule 144 Sales would be aggregated pursuant to Rule 144(e) and applicable SEC guidance with respect to such Rule to make any Rule 144 Sales during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(r)    As of Trade Date and at any time that Counterparty makes an election under the Transaction, Counterparty is not in possession of any material non-public information concerning the Issuer or the Shares.</w:t>
      </w:r>
    </w:p>
    <w:p>
      <w:pPr>
        <w:spacing w:after="0" w:line="162" w:lineRule="exact"/>
        <w:rPr>
          <w:sz w:val="20"/>
          <w:szCs w:val="20"/>
          <w:color w:val="auto"/>
        </w:rPr>
      </w:pPr>
    </w:p>
    <w:p>
      <w:pPr>
        <w:jc w:val="both"/>
        <w:ind w:right="20" w:firstLine="972"/>
        <w:spacing w:after="0" w:line="266" w:lineRule="auto"/>
        <w:rPr>
          <w:sz w:val="20"/>
          <w:szCs w:val="20"/>
          <w:color w:val="auto"/>
        </w:rPr>
      </w:pPr>
      <w:r>
        <w:rPr>
          <w:rFonts w:ascii="Times New Roman" w:cs="Times New Roman" w:eastAsia="Times New Roman" w:hAnsi="Times New Roman"/>
          <w:sz w:val="18"/>
          <w:szCs w:val="18"/>
          <w:color w:val="auto"/>
        </w:rPr>
        <w:t>(s)    Counterparty understands that, notwithstanding any other relationship between Counterparty and Dealer and/or its affiliates, in connection with the Transaction, Dealer is acting as principal and is not a fiduciary or advisor in respect thereof, including the entry into the Transaction, and any future, amendment, unwind or termination thereof.</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(t)    Counterparty understands that no obligations of Dealer to it under this Confirmation will be entitled to the benefit of deposit insurance and that such obligations will not be guaranteed by any affiliate of Dealer or any governmental agency.</w:t>
      </w:r>
    </w:p>
    <w:p>
      <w:pPr>
        <w:spacing w:after="0" w:line="16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(u)   COUNTERPARTY UNDERSTANDS THAT THE TRANSACTION IS SUBJECT TO COMPLEX RISKS THAT MAY ARISE WITHOUT WARNING AND MAY AT TIMES BE VOLATILE AND THAT LOSSES MAY OCCUR QUICKLY AND IN UNANTICIPATED MAGNITUDE AND IS WILLING TO ACCEPT SUCH TERMS AND CONDITIONS AND ASSUME (FINANCIALLY AND OTHERWISE) SUCH RISKS.</w:t>
      </w:r>
    </w:p>
    <w:p>
      <w:pPr>
        <w:spacing w:after="0" w:line="180"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(v)   Counterparty confirms that it has relied on the advice of its own counsel and other advisors (to the extent it deems appropriate) with respect to any legal, tax, accounting, or regulatory consequences of the Transaction, that it has not relied on Dealer or its affiliates in any respect in connection therewith, and that it will not hold Dealer or its affiliates accountable for any such consequences.</w:t>
      </w:r>
    </w:p>
    <w:p>
      <w:pPr>
        <w:spacing w:after="0" w:line="176"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Provisions.</w:t>
      </w:r>
    </w:p>
    <w:p>
      <w:pPr>
        <w:spacing w:after="0" w:line="223"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Opinions</w:t>
      </w:r>
      <w:r>
        <w:rPr>
          <w:rFonts w:ascii="Times New Roman" w:cs="Times New Roman" w:eastAsia="Times New Roman" w:hAnsi="Times New Roman"/>
          <w:sz w:val="18"/>
          <w:szCs w:val="18"/>
          <w:color w:val="auto"/>
        </w:rPr>
        <w:t>. On or prior to the Effective Date, Counterparty shall deliver to Dealer one or more opinion(s) of counsel, dated as of the Effective Date, in form and substance reasonably satisfactory to Dealer, with respect to the matters set forth in Section 6(g), Section 6(j), Section 6(k) and Section 6(l) of this Confirmation (but subject to customary limitations, exceptions, assumptions and qualifications). Delivery of such opinion to Dealer shall be a condition precedent for the purpose of Section 2(a)(iii) of the Master Agreement with respect to each obligation of Dealer under Section 2(a)(i) of the Master Agreement.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Reserved</w:t>
      </w:r>
      <w:r>
        <w:rPr>
          <w:rFonts w:ascii="Times New Roman" w:cs="Times New Roman" w:eastAsia="Times New Roman" w:hAnsi="Times New Roman"/>
          <w:sz w:val="18"/>
          <w:szCs w:val="18"/>
          <w:i w:val="1"/>
          <w:iCs w:val="1"/>
          <w:color w:val="auto"/>
        </w:rPr>
        <w:t>]</w:t>
      </w:r>
    </w:p>
    <w:p>
      <w:pPr>
        <w:spacing w:after="0" w:line="225"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Early Unwind</w:t>
      </w:r>
      <w:r>
        <w:rPr>
          <w:rFonts w:ascii="Times New Roman" w:cs="Times New Roman" w:eastAsia="Times New Roman" w:hAnsi="Times New Roman"/>
          <w:sz w:val="18"/>
          <w:szCs w:val="18"/>
          <w:color w:val="auto"/>
        </w:rPr>
        <w:t>. In the event the sale of the “Initial Securities” (as defined in the Purchase Agreement) is not consummated pursuant to the Purchase Agreement for any reason by 12:00 p.m. (New York City time) on the Prepayment Date, or such later date as agreed upon by the parties (the Prepayment Date or such later date, the “</w:t>
      </w:r>
      <w:r>
        <w:rPr>
          <w:rFonts w:ascii="Times New Roman" w:cs="Times New Roman" w:eastAsia="Times New Roman" w:hAnsi="Times New Roman"/>
          <w:sz w:val="18"/>
          <w:szCs w:val="18"/>
          <w:b w:val="1"/>
          <w:bCs w:val="1"/>
          <w:color w:val="auto"/>
        </w:rPr>
        <w:t>Early Unwind Date</w:t>
      </w:r>
      <w:r>
        <w:rPr>
          <w:rFonts w:ascii="Times New Roman" w:cs="Times New Roman" w:eastAsia="Times New Roman" w:hAnsi="Times New Roman"/>
          <w:sz w:val="18"/>
          <w:szCs w:val="18"/>
          <w:color w:val="auto"/>
        </w:rPr>
        <w:t>”), the Transaction shall automatically terminate (the “</w:t>
      </w:r>
      <w:r>
        <w:rPr>
          <w:rFonts w:ascii="Times New Roman" w:cs="Times New Roman" w:eastAsia="Times New Roman" w:hAnsi="Times New Roman"/>
          <w:sz w:val="18"/>
          <w:szCs w:val="18"/>
          <w:b w:val="1"/>
          <w:bCs w:val="1"/>
          <w:color w:val="auto"/>
        </w:rPr>
        <w:t>Early Unwind</w:t>
      </w:r>
      <w:r>
        <w:rPr>
          <w:rFonts w:ascii="Times New Roman" w:cs="Times New Roman" w:eastAsia="Times New Roman" w:hAnsi="Times New Roman"/>
          <w:sz w:val="18"/>
          <w:szCs w:val="18"/>
          <w:color w:val="auto"/>
        </w:rPr>
        <w:t>”) on the Early Unwind Date and (i) the Transaction and all of the respective rights and obligations of Dealer and Counterparty under the Transaction (other than as described in clause (iii) hereof) shall be cancelled and terminated, (ii) each party shall be released and discharged by the other party from and agrees not to make any claim against the other party with respect to any obligations or liabilities of the other party arising out of and to be performed in connection with the Transaction (other than as described in clause (iii) hereof) either prior to or after the Early Unwind Date and (iii) to the extent either party made any payments or deliveries on or prior to the Early Unwind Date, the recipient of such payment or delivery must within one Currency Business Day repay such cash or redeliver such property, as the case may be. Each of Dealer and Counterparty represents and acknowledges to the other that upon an Early Unwind, all obligations with respect to the Transaction (other than as described in clause (iii) hereof) shall be deemed fully and finally discharged.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324"/>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Transfer or Assignment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4" w:firstLine="644"/>
        <w:spacing w:after="0" w:line="251" w:lineRule="auto"/>
        <w:tabs>
          <w:tab w:leader="none" w:pos="88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Either party may transfer or assign any of its rights or obligations under the Transaction with the prior written consent of the non-transferring party, such consent not to be unreasonably withheld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Dealer may transfer or assign its rights and obligations hereunder, in whole or in part, without Counterparty’s consent, to any affiliate of Dealer (a “</w:t>
      </w:r>
      <w:r>
        <w:rPr>
          <w:rFonts w:ascii="Times New Roman" w:cs="Times New Roman" w:eastAsia="Times New Roman" w:hAnsi="Times New Roman"/>
          <w:sz w:val="18"/>
          <w:szCs w:val="18"/>
          <w:b w:val="1"/>
          <w:bCs w:val="1"/>
          <w:color w:val="auto"/>
        </w:rPr>
        <w:t>Designated Transferee</w:t>
      </w:r>
      <w:r>
        <w:rPr>
          <w:rFonts w:ascii="Times New Roman" w:cs="Times New Roman" w:eastAsia="Times New Roman" w:hAnsi="Times New Roman"/>
          <w:sz w:val="18"/>
          <w:szCs w:val="18"/>
          <w:color w:val="auto"/>
        </w:rPr>
        <w:t xml:space="preserve">”) (A) whose obligations would be guaranteed by Dealer or Dealer’s ultimate parent or (B) that has, or whose obligations would be guaranteed by a person with, in either case under this clause (B), a rating for its long-term, unsecured and unsubordinated indebtedness at least equivalent to Dealer’s (or its guarantor’s) at the time of such transfer or assignment,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the case of this clause (B), in no event shall the credit rating of the Designated Transferee or of its guarantor (whichever is higher) be lower than A3 from Moody’s Investors Service, Inc. or its successor or A- from S&amp;P Global Ratings, a division of S&amp;P Global Inc., or its successor;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 Dealer will notify Counterparty in writing prior to or promptly after any proposed transfer or assignment to a Designated Transferee, (ii) after any such transfer or assignment, Counterparty will not, as a result of any withholding or deduction made by the transferee or assignee as a result of any tax, receive from such transferee or assignee on any payment date or delivery date under the Transaction (including in respect of any Dividend Amount) (after accounting for amounts paid under Section 2(d)(i)(4) of the Master Agreement as well as such withholding or deduction from the payment or delivery) an amount or a number of Shares, as applicable, lower than the amount or the number of Shares, as applicable, that Counterparty would have received in the absence of such transfer or assignment, (iii) Dealer shall cause the transferee or assignee to make the Payee Tax Representations and provide Counterparty with a complete and accurate U.S. Internal Revenue Service Form W-9 or W-8 (as applicable), and any other tax documentation as may be reasonably requested by Counterparty, prior to becoming a party to the Transaction to permit Counterparty to determine that the results described in clause</w:t>
      </w:r>
    </w:p>
    <w:p>
      <w:pPr>
        <w:spacing w:after="0" w:line="10"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28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 not occur upon or after such transfer or assignment and (iv) if to a transferee incorporated or organized in a jurisdiction other than the United States or United Kingdom, after giving effect to such transfer, no material adverse legal or regulatory consequence shall result to Counterparty as a result of such transfer. If at any time at which (A) the Section 16 Percentage exceeds 8.5%, (B) the Forward Equity Percentage exceeds 14.5%, or (C) the Share Amount exceeds the Applicable Share Limit (if any applies) (any such condition described in clauses (A), (B) or (C), an “</w:t>
      </w:r>
      <w:r>
        <w:rPr>
          <w:rFonts w:ascii="Times New Roman" w:cs="Times New Roman" w:eastAsia="Times New Roman" w:hAnsi="Times New Roman"/>
          <w:sz w:val="17"/>
          <w:szCs w:val="17"/>
          <w:b w:val="1"/>
          <w:bCs w:val="1"/>
          <w:color w:val="auto"/>
        </w:rPr>
        <w:t>Excess Ownership Position</w:t>
      </w:r>
      <w:r>
        <w:rPr>
          <w:rFonts w:ascii="Times New Roman" w:cs="Times New Roman" w:eastAsia="Times New Roman" w:hAnsi="Times New Roman"/>
          <w:sz w:val="17"/>
          <w:szCs w:val="17"/>
          <w:color w:val="auto"/>
        </w:rPr>
        <w:t>”), Dealer is unable after using its commercially reasonable efforts to effect a transfer or assignment of a portion of the Transaction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Times New Roman" w:cs="Times New Roman" w:eastAsia="Times New Roman" w:hAnsi="Times New Roman"/>
          <w:sz w:val="17"/>
          <w:szCs w:val="17"/>
          <w:b w:val="1"/>
          <w:bCs w:val="1"/>
          <w:color w:val="auto"/>
        </w:rPr>
        <w:t>Terminated Portion</w:t>
      </w:r>
      <w:r>
        <w:rPr>
          <w:rFonts w:ascii="Times New Roman" w:cs="Times New Roman" w:eastAsia="Times New Roman" w:hAnsi="Times New Roman"/>
          <w:sz w:val="17"/>
          <w:szCs w:val="17"/>
          <w:color w:val="auto"/>
        </w:rPr>
        <w:t>”), such that following such partial termination no Excess Ownership Position exists. In the event that Dealer so designates an Early Termination Date with respect to a portion of the Transaction, a payment shall be made pursuant to Section 6 of the Master Agreement as if (1) an Early Termination Date had been designated in respect of a Transaction having terms identical to the Transaction and a Number of Shares equal to the number of Shares underlying the Terminated Portion, (2) Counterparty were the sole Affected Party with respect to such partial termination and (3) the Terminated Portion were the sole Affected Transaction. The “</w:t>
      </w:r>
      <w:r>
        <w:rPr>
          <w:rFonts w:ascii="Times New Roman" w:cs="Times New Roman" w:eastAsia="Times New Roman" w:hAnsi="Times New Roman"/>
          <w:sz w:val="17"/>
          <w:szCs w:val="17"/>
          <w:b w:val="1"/>
          <w:bCs w:val="1"/>
          <w:color w:val="auto"/>
        </w:rPr>
        <w:t>Section 16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Percentage</w:t>
      </w:r>
      <w:r>
        <w:rPr>
          <w:rFonts w:ascii="Times New Roman" w:cs="Times New Roman" w:eastAsia="Times New Roman" w:hAnsi="Times New Roman"/>
          <w:sz w:val="17"/>
          <w:szCs w:val="17"/>
          <w:color w:val="auto"/>
        </w:rPr>
        <w:t>” as of any day is the fraction, expressed as a percentage, (A) the numerator of which is the number of Shares that Dealer and any of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affiliates or any other person subject to aggregation with Dealer for purposes of the “beneficial ownership” test under Section 13 of the Exchange Act, or any “group” (within the meaning of Section 13 of the Exchange Act) of which Dealer is or may be deemed to be a part of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w:t>
      </w:r>
    </w:p>
    <w:p>
      <w:pPr>
        <w:spacing w:after="0" w:line="205" w:lineRule="exact"/>
        <w:rPr>
          <w:rFonts w:ascii="Times New Roman" w:cs="Times New Roman" w:eastAsia="Times New Roman" w:hAnsi="Times New Roman"/>
          <w:sz w:val="17"/>
          <w:szCs w:val="17"/>
          <w:color w:val="auto"/>
        </w:rPr>
      </w:pPr>
    </w:p>
    <w:p>
      <w:pPr>
        <w:jc w:val="both"/>
        <w:ind w:left="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 denominator of which is the number of Shares outstanding on such day. The “</w:t>
      </w:r>
      <w:r>
        <w:rPr>
          <w:rFonts w:ascii="Times New Roman" w:cs="Times New Roman" w:eastAsia="Times New Roman" w:hAnsi="Times New Roman"/>
          <w:sz w:val="18"/>
          <w:szCs w:val="18"/>
          <w:b w:val="1"/>
          <w:bCs w:val="1"/>
          <w:color w:val="auto"/>
        </w:rPr>
        <w:t>Forward Equity Percentage</w:t>
      </w:r>
      <w:r>
        <w:rPr>
          <w:rFonts w:ascii="Times New Roman" w:cs="Times New Roman" w:eastAsia="Times New Roman" w:hAnsi="Times New Roman"/>
          <w:sz w:val="18"/>
          <w:szCs w:val="18"/>
          <w:color w:val="auto"/>
        </w:rPr>
        <w:t>” as of any day is the fraction, expressed as a percentage, (A) the numerator of which is the sum of (1) the Number of Shares and (2) the “Number of Shares” (as such term is defined in the confirmation for the Prior Prepaid Forward) and (B) the denominator of which is the number of Shares outstanding. The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as of any day is the number of Shares that Dealer and any person whose ownership position would be aggregated with that of Dealer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(Dealer or any such person, a “</w:t>
      </w:r>
      <w:r>
        <w:rPr>
          <w:rFonts w:ascii="Times New Roman" w:cs="Times New Roman" w:eastAsia="Times New Roman" w:hAnsi="Times New Roman"/>
          <w:sz w:val="18"/>
          <w:szCs w:val="18"/>
          <w:b w:val="1"/>
          <w:bCs w:val="1"/>
          <w:color w:val="auto"/>
        </w:rPr>
        <w:t>Dealer Person</w:t>
      </w:r>
      <w:r>
        <w:rPr>
          <w:rFonts w:ascii="Times New Roman" w:cs="Times New Roman" w:eastAsia="Times New Roman" w:hAnsi="Times New Roman"/>
          <w:sz w:val="18"/>
          <w:szCs w:val="18"/>
          <w:color w:val="auto"/>
        </w:rPr>
        <w:t>”) under any law, rule, regulation, regulatory order or organizational documents or contracts of Counterparty or Issuer that are, in each case, applicable to ownership of Shares (“</w:t>
      </w:r>
      <w:r>
        <w:rPr>
          <w:rFonts w:ascii="Times New Roman" w:cs="Times New Roman" w:eastAsia="Times New Roman" w:hAnsi="Times New Roman"/>
          <w:sz w:val="18"/>
          <w:szCs w:val="18"/>
          <w:b w:val="1"/>
          <w:bCs w:val="1"/>
          <w:color w:val="auto"/>
        </w:rPr>
        <w:t>Applicable Restrictions</w:t>
      </w:r>
      <w:r>
        <w:rPr>
          <w:rFonts w:ascii="Times New Roman" w:cs="Times New Roman" w:eastAsia="Times New Roman" w:hAnsi="Times New Roman"/>
          <w:sz w:val="18"/>
          <w:szCs w:val="18"/>
          <w:color w:val="auto"/>
        </w:rPr>
        <w:t>”), owns, beneficially owns, constructively owns, controls, holds the power to vote or otherwise meets a relevant definition of ownership under any Applicable Restriction, as determined by Dealer in its reasonable discretion. The “</w:t>
      </w:r>
      <w:r>
        <w:rPr>
          <w:rFonts w:ascii="Times New Roman" w:cs="Times New Roman" w:eastAsia="Times New Roman" w:hAnsi="Times New Roman"/>
          <w:sz w:val="18"/>
          <w:szCs w:val="18"/>
          <w:b w:val="1"/>
          <w:bCs w:val="1"/>
          <w:color w:val="auto"/>
        </w:rPr>
        <w:t>Applicable Share Limit</w:t>
      </w:r>
      <w:r>
        <w:rPr>
          <w:rFonts w:ascii="Times New Roman" w:cs="Times New Roman" w:eastAsia="Times New Roman" w:hAnsi="Times New Roman"/>
          <w:sz w:val="18"/>
          <w:szCs w:val="18"/>
          <w:color w:val="auto"/>
        </w:rPr>
        <w:t xml:space="preserve">” means a number of Shares equal to (A) the minimum number of Shares that could give rise to reporting or registration obligations or other requirements (including obtaining prior approval from any person or entity) of a Dealer Person, or could result in an adverse effect on a Dealer Person, under any Applicable Restriction, as determined by Dealer in its reasonable discretion based on the advice of counsel,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1% of the number of Shares outstanding.</w:t>
      </w:r>
    </w:p>
    <w:p>
      <w:pPr>
        <w:spacing w:after="0" w:line="192" w:lineRule="exact"/>
        <w:rPr>
          <w:rFonts w:ascii="Times New Roman" w:cs="Times New Roman" w:eastAsia="Times New Roman" w:hAnsi="Times New Roman"/>
          <w:sz w:val="17"/>
          <w:szCs w:val="17"/>
          <w:color w:val="auto"/>
        </w:rPr>
      </w:pPr>
    </w:p>
    <w:p>
      <w:pPr>
        <w:jc w:val="both"/>
        <w:ind w:left="4" w:firstLine="644"/>
        <w:spacing w:after="0" w:line="258" w:lineRule="auto"/>
        <w:tabs>
          <w:tab w:leader="none" w:pos="93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Dealer shall be discharged of its obligations to Counterparty which have been so delegated only to the extent of any such performance by such affiliate of Dealer.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419735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20" w:name="page21"/>
    <w:bookmarkEnd w:id="20"/>
    <w:p>
      <w:pPr>
        <w:jc w:val="both"/>
        <w:ind w:left="660" w:firstLine="644"/>
        <w:spacing w:after="0" w:line="258" w:lineRule="auto"/>
        <w:tabs>
          <w:tab w:leader="none" w:pos="1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Confirmation to the contrary requiring or allowing Counterparty to purchase, sell, receive or deliver any Shares or other securities, or make or receive any payment in cash, to or from Dealer, Counterparty may designate any of its affiliates to purchase, sell, receive or deliver such Shares or other securities, or to make or receive such payment in cash, and otherwise to perform Counterparty’s obligations in respect of the Transaction and any such designee may assume such obligations. Counterparty shall be discharged of its obligations to Dealer which have been so delegated only to the extent of any such performance by such affiliate of Counterparty.</w:t>
      </w:r>
    </w:p>
    <w:p>
      <w:pPr>
        <w:spacing w:after="0" w:line="181"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Staggered Settlement</w:t>
      </w:r>
      <w:r>
        <w:rPr>
          <w:rFonts w:ascii="Times New Roman" w:cs="Times New Roman" w:eastAsia="Times New Roman" w:hAnsi="Times New Roman"/>
          <w:sz w:val="18"/>
          <w:szCs w:val="18"/>
          <w:color w:val="auto"/>
        </w:rPr>
        <w:t>. If Dealer reasonably determines that it would not be practicable or advisable to deliver, or to acquire Shares to deliver, any or all of the Shares to be delivered by Dealer on any Settlement Date for the Transaction, Dealer may, by notice to Counterparty on or prior to such Settlement Date (a “</w:t>
      </w:r>
      <w:r>
        <w:rPr>
          <w:rFonts w:ascii="Times New Roman" w:cs="Times New Roman" w:eastAsia="Times New Roman" w:hAnsi="Times New Roman"/>
          <w:sz w:val="18"/>
          <w:szCs w:val="18"/>
          <w:b w:val="1"/>
          <w:bCs w:val="1"/>
          <w:color w:val="auto"/>
        </w:rPr>
        <w:t>Nominal Settlement Date</w:t>
      </w:r>
      <w:r>
        <w:rPr>
          <w:rFonts w:ascii="Times New Roman" w:cs="Times New Roman" w:eastAsia="Times New Roman" w:hAnsi="Times New Roman"/>
          <w:sz w:val="18"/>
          <w:szCs w:val="18"/>
          <w:color w:val="auto"/>
        </w:rPr>
        <w:t>”), elect to deliver the Daily Number of Shares otherwise deliverable on such Nominal Settlement Date on two or more dates (each, a “</w:t>
      </w:r>
      <w:r>
        <w:rPr>
          <w:rFonts w:ascii="Times New Roman" w:cs="Times New Roman" w:eastAsia="Times New Roman" w:hAnsi="Times New Roman"/>
          <w:sz w:val="18"/>
          <w:szCs w:val="18"/>
          <w:b w:val="1"/>
          <w:bCs w:val="1"/>
          <w:color w:val="auto"/>
        </w:rPr>
        <w:t>Staggered Settlement Date</w:t>
      </w:r>
      <w:r>
        <w:rPr>
          <w:rFonts w:ascii="Times New Roman" w:cs="Times New Roman" w:eastAsia="Times New Roman" w:hAnsi="Times New Roman"/>
          <w:sz w:val="18"/>
          <w:szCs w:val="18"/>
          <w:color w:val="auto"/>
        </w:rPr>
        <w:t>”) or at two or more times on a Nominal Settlement Date as follows:</w:t>
      </w:r>
    </w:p>
    <w:p>
      <w:pPr>
        <w:spacing w:after="0" w:line="182" w:lineRule="exact"/>
        <w:rPr>
          <w:sz w:val="20"/>
          <w:szCs w:val="20"/>
          <w:color w:val="auto"/>
        </w:rPr>
      </w:pPr>
    </w:p>
    <w:p>
      <w:pPr>
        <w:jc w:val="both"/>
        <w:ind w:left="1300" w:hanging="644"/>
        <w:spacing w:after="0" w:line="26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notice, Dealer will specify to Counterparty the related Staggered Settlement Dates (the first of which will be such Nominal Settlement Date and the last of which will be no later than the twentieth (20th) Exchange Business Day following such Nominal Settlement Date) and the number of Shares that it will deliver on each Staggered Settlement Date or delivery times;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that Dealer will deliver to Counterparty hereunder on all such Staggered Settlement Dates or delivery times will equal the number of Shares that Dealer would otherwise be required to deliver on such Nominal Settlement Date;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Physical Settlement terms will apply on each Staggered Settlement Date, except that the Daily Number of Shares otherwise deliverable on such Nominal Settlement Date will be allocated among such Staggered Settlement Dates or delivery times as specified by Dealer in the notice referred to in clause (1) above.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solely in connection with a Staggered Settlement Date, Dealer shall be entitled to deliver Shares to Counterparty from time to time prior to the date on which Dealer would be obligated to deliver them to Counterparty pursuant to the Physical Settlement terms set forth above, and Counterparty agrees to credit all such early deliveries against Dealer’s obligations hereunder in the direct order in which such obligations arise. No such early delivery of Shares will accelerate or otherwise affect any of Counterparty’s obligations to Dealer hereunder.</w:t>
      </w:r>
    </w:p>
    <w:p>
      <w:pPr>
        <w:spacing w:after="0" w:line="178"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Calculations and Payment Date upon Early Termination.</w:t>
      </w:r>
      <w:r>
        <w:rPr>
          <w:rFonts w:ascii="Times New Roman" w:cs="Times New Roman" w:eastAsia="Times New Roman" w:hAnsi="Times New Roman"/>
          <w:sz w:val="18"/>
          <w:szCs w:val="18"/>
          <w:color w:val="auto"/>
        </w:rPr>
        <w:t xml:space="preserve"> The parties acknowledge and agree that in calculating a Close-out Amount pursuant to Section 6 of the Master Agreement or a Cancellation Amount pursuant to Section 12.8 of the Equity Definitions Dealer may (but need not) determine losses and gains without reference to actual losses and gains incurred or realized but based on expected losses and gains assuming a commercially reasonable (including without limitation with regard to reasonable legal and regulatory guidelines) “risk bid”, “private placement” discount and/or “volume weighted” valuations were used to determine loss or gain to avoid awaiting the delay associated with closing out any commercially reasonable hedge or related trading position in a commercially reasonable manner prior to or promptly following the designation of an Early Termination Date or other date of cancellation.</w:t>
      </w:r>
    </w:p>
    <w:p>
      <w:pPr>
        <w:spacing w:after="0" w:line="183"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Special Provisions for Merger Transactions</w:t>
      </w:r>
      <w:r>
        <w:rPr>
          <w:rFonts w:ascii="Times New Roman" w:cs="Times New Roman" w:eastAsia="Times New Roman" w:hAnsi="Times New Roman"/>
          <w:sz w:val="18"/>
          <w:szCs w:val="18"/>
          <w:color w:val="auto"/>
        </w:rPr>
        <w:t>. Notwithstanding anything to the contrary in this Confirmation, Counterparty agrees that (x) it will not during any Prohibited Period make any public announcement (as defined in Rule 165(f) under the Securities Act) of any merger, acquisition or similar transaction involving a recapitalization of Issuer as contemplated by Rule 10b-18(a)(13)(iv) under the Exchange Act (for the avoidance of doubt, taking into account the exception in Rule 10b-18(a)(13)(iv)(A)) (a “</w:t>
      </w:r>
      <w:r>
        <w:rPr>
          <w:rFonts w:ascii="Times New Roman" w:cs="Times New Roman" w:eastAsia="Times New Roman" w:hAnsi="Times New Roman"/>
          <w:sz w:val="18"/>
          <w:szCs w:val="18"/>
          <w:b w:val="1"/>
          <w:bCs w:val="1"/>
          <w:color w:val="auto"/>
        </w:rPr>
        <w:t>Merger Transaction</w:t>
      </w:r>
      <w:r>
        <w:rPr>
          <w:rFonts w:ascii="Times New Roman" w:cs="Times New Roman" w:eastAsia="Times New Roman" w:hAnsi="Times New Roman"/>
          <w:sz w:val="18"/>
          <w:szCs w:val="18"/>
          <w:color w:val="auto"/>
        </w:rPr>
        <w:t>”) or potential Merger Transaction (a “Merger Announcement”) unless such Merger Announcement is made prior to the opening or after the close of the regular trading session on the Exchange for the Shares; and (y) it shall promptly (but in any event prior to the next opening of the regular trading session on the Exchange) notify Dealer following any such Merger Announcement that such Merger Announcement has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972"/>
        <w:spacing w:after="0" w:line="26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Securities Contract, Swap Agreement</w:t>
      </w:r>
      <w:r>
        <w:rPr>
          <w:rFonts w:ascii="Times New Roman" w:cs="Times New Roman" w:eastAsia="Times New Roman" w:hAnsi="Times New Roman"/>
          <w:sz w:val="18"/>
          <w:szCs w:val="18"/>
          <w:color w:val="auto"/>
        </w:rPr>
        <w:t>. The parties hereto intend for (i) the Transaction to be a “securities contract” and a “swap agreement” as defined in the Bankruptcy Code, and the parties hereto to be entitled to the protections afforded by, among other Sections, Sections 362(b)</w:t>
      </w:r>
    </w:p>
    <w:p>
      <w:pPr>
        <w:jc w:val="both"/>
        <w:spacing w:after="0" w:line="253" w:lineRule="auto"/>
        <w:rPr>
          <w:sz w:val="20"/>
          <w:szCs w:val="20"/>
          <w:color w:val="auto"/>
        </w:rPr>
      </w:pPr>
      <w:r>
        <w:rPr>
          <w:rFonts w:ascii="Times New Roman" w:cs="Times New Roman" w:eastAsia="Times New Roman" w:hAnsi="Times New Roman"/>
          <w:sz w:val="18"/>
          <w:szCs w:val="18"/>
          <w:color w:val="auto"/>
        </w:rPr>
        <w:t>(6), 362(b)(17), 546(e), 546(g), 555 and 560 of the Bankruptcy Code, (ii) a party’s right to liquidate the Transaction and to exercise any other remedies upon the occurrence of any Event of Default, Early Termination Event, Extraordinary Event or Additional Disruption Event under this Confirmation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187"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No Netting or Setoff</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Obligations under the Transaction shall not be netted, recouped or set off (including pursuant to Section 6 of the Master Agreement) against any other obligations of the parties, whether arising under the Master Agreement, this Confirmation, under any other agreement between the parties hereto, by operation of law or otherwise, and no other obligations of the parties shall be netted, recouped or set off (including pursuant to Section 6 of the Master Agreement) against obligations under the Transaction, whether arising under the Master Agreement, this Confirmation, under any other agreement between the parties hereto, by operation of law or otherwise, and each party hereby waives any such right of setoff, netting or recoupment</w:t>
      </w:r>
      <w:r>
        <w:rPr>
          <w:rFonts w:ascii="Times New Roman" w:cs="Times New Roman" w:eastAsia="Times New Roman" w:hAnsi="Times New Roman"/>
          <w:sz w:val="18"/>
          <w:szCs w:val="18"/>
          <w:i w:val="1"/>
          <w:iCs w:val="1"/>
          <w:color w:val="auto"/>
        </w:rPr>
        <w:t>.</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Arbitration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300" w:right="2800" w:firstLine="4"/>
        <w:spacing w:after="0" w:line="500" w:lineRule="auto"/>
        <w:tabs>
          <w:tab w:leader="none" w:pos="16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13(b) of the Agreement shall be deleted in its entirety and replaced with the following: “(b) </w:t>
      </w:r>
      <w:r>
        <w:rPr>
          <w:rFonts w:ascii="Times New Roman" w:cs="Times New Roman" w:eastAsia="Times New Roman" w:hAnsi="Times New Roman"/>
          <w:sz w:val="18"/>
          <w:szCs w:val="18"/>
          <w:b w:val="1"/>
          <w:bCs w:val="1"/>
          <w:i w:val="1"/>
          <w:iCs w:val="1"/>
          <w:color w:val="auto"/>
        </w:rPr>
        <w:t>Arbitration</w:t>
      </w:r>
    </w:p>
    <w:p>
      <w:pPr>
        <w:spacing w:after="0" w:line="1" w:lineRule="exact"/>
        <w:rPr>
          <w:rFonts w:ascii="Times New Roman" w:cs="Times New Roman" w:eastAsia="Times New Roman" w:hAnsi="Times New Roman"/>
          <w:sz w:val="18"/>
          <w:szCs w:val="18"/>
          <w:color w:val="auto"/>
        </w:rPr>
      </w:pPr>
    </w:p>
    <w:p>
      <w:pPr>
        <w:jc w:val="both"/>
        <w:ind w:left="2280" w:hanging="652"/>
        <w:spacing w:after="0" w:line="258" w:lineRule="auto"/>
        <w:tabs>
          <w:tab w:leader="none" w:pos="22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 claim, difference or controversy arising out of, relating to or having any connection with the Agreement, including any dispute as to its existence, validity, interpretation, performance, breach or termination or the consequences of its nullity and any dispute relating to any non-contractual obligations arising out of or in connection with it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shall be exclusively referred to and finally resolved by arbitration. All questions of arbitrability shall be decided through arbitration, and not by a court.</w:t>
      </w:r>
    </w:p>
    <w:p>
      <w:pPr>
        <w:spacing w:after="0" w:line="183" w:lineRule="exact"/>
        <w:rPr>
          <w:rFonts w:ascii="Times New Roman" w:cs="Times New Roman" w:eastAsia="Times New Roman" w:hAnsi="Times New Roman"/>
          <w:sz w:val="18"/>
          <w:szCs w:val="18"/>
          <w:color w:val="auto"/>
        </w:rPr>
      </w:pPr>
    </w:p>
    <w:p>
      <w:pPr>
        <w:jc w:val="both"/>
        <w:ind w:left="2280" w:hanging="652"/>
        <w:spacing w:after="0" w:line="266" w:lineRule="auto"/>
        <w:tabs>
          <w:tab w:leader="none" w:pos="22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be conducted in accordance with the Rules of Arbitration of the International Chamber of Commerce (the “</w:t>
      </w:r>
      <w:r>
        <w:rPr>
          <w:rFonts w:ascii="Times New Roman" w:cs="Times New Roman" w:eastAsia="Times New Roman" w:hAnsi="Times New Roman"/>
          <w:sz w:val="18"/>
          <w:szCs w:val="18"/>
          <w:b w:val="1"/>
          <w:bCs w:val="1"/>
          <w:color w:val="auto"/>
        </w:rPr>
        <w:t>ICC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Rules</w:t>
      </w:r>
      <w:r>
        <w:rPr>
          <w:rFonts w:ascii="Times New Roman" w:cs="Times New Roman" w:eastAsia="Times New Roman" w:hAnsi="Times New Roman"/>
          <w:sz w:val="18"/>
          <w:szCs w:val="18"/>
          <w:color w:val="auto"/>
        </w:rPr>
        <w:t>”). Capitalized terms used in this Section which are not otherwise defined in the Agreement have the meaning given to them in the Rules.</w:t>
      </w:r>
    </w:p>
    <w:p>
      <w:pPr>
        <w:spacing w:after="0" w:line="175" w:lineRule="exact"/>
        <w:rPr>
          <w:rFonts w:ascii="Times New Roman" w:cs="Times New Roman" w:eastAsia="Times New Roman" w:hAnsi="Times New Roman"/>
          <w:sz w:val="18"/>
          <w:szCs w:val="18"/>
          <w:color w:val="auto"/>
        </w:rPr>
      </w:pPr>
    </w:p>
    <w:p>
      <w:pPr>
        <w:ind w:left="2280" w:right="20" w:hanging="652"/>
        <w:spacing w:after="0" w:line="282" w:lineRule="auto"/>
        <w:tabs>
          <w:tab w:leader="none" w:pos="22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arbitral tribunal shall consist of three arbitrators. The members of the arbitral tribunal shall be appointed in accordance with the Rules.</w:t>
      </w:r>
    </w:p>
    <w:p>
      <w:pPr>
        <w:spacing w:after="0" w:line="161"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seat, or legal place of arbitration, shall be New York.</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language used in the arbitral proceedings shall be English.</w:t>
      </w:r>
    </w:p>
    <w:p>
      <w:pPr>
        <w:spacing w:after="0" w:line="225" w:lineRule="exact"/>
        <w:rPr>
          <w:rFonts w:ascii="Times New Roman" w:cs="Times New Roman" w:eastAsia="Times New Roman" w:hAnsi="Times New Roman"/>
          <w:sz w:val="18"/>
          <w:szCs w:val="18"/>
          <w:color w:val="auto"/>
        </w:rPr>
      </w:pPr>
    </w:p>
    <w:p>
      <w:pPr>
        <w:ind w:left="2280" w:right="20" w:hanging="652"/>
        <w:spacing w:after="0" w:line="282" w:lineRule="auto"/>
        <w:tabs>
          <w:tab w:leader="none" w:pos="22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be required by law, neither a party nor an arbitrator may disclose the existence, content, or results of any arbitration hereunder without the prior written consent of both parties.”</w:t>
      </w:r>
    </w:p>
    <w:p>
      <w:pPr>
        <w:spacing w:after="0" w:line="161"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13(c) of the Agreement is hereby amended by deleting the word “Proceedings” in the first sentence of that Section and replacing it with the words “suit action or proceedings before the New York courts relating to the arbitration clause set out in Section 13(b) above or any arbitration proceedings contemplated thereby or any arbitral award obtained pursuant to such arbitration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2" w:name="page23"/>
    <w:bookmarkEnd w:id="22"/>
    <w:p>
      <w:pPr>
        <w:ind w:left="1740" w:hanging="436"/>
        <w:spacing w:after="0"/>
        <w:tabs>
          <w:tab w:leader="none" w:pos="1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13(d) of the Agreement is hereby amended:</w:t>
      </w:r>
    </w:p>
    <w:p>
      <w:pPr>
        <w:spacing w:after="0" w:line="225" w:lineRule="exact"/>
        <w:rPr>
          <w:rFonts w:ascii="Times New Roman" w:cs="Times New Roman" w:eastAsia="Times New Roman" w:hAnsi="Times New Roman"/>
          <w:sz w:val="18"/>
          <w:szCs w:val="18"/>
          <w:color w:val="auto"/>
        </w:rPr>
      </w:pPr>
    </w:p>
    <w:p>
      <w:pPr>
        <w:ind w:left="2600" w:hanging="324"/>
        <w:spacing w:after="0"/>
        <w:tabs>
          <w:tab w:leader="none" w:pos="26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words “jurisdiction of any court” in the third line thereof, by adding the words “or arbitral tribunal”;</w:t>
      </w:r>
    </w:p>
    <w:p>
      <w:pPr>
        <w:spacing w:after="0" w:line="225" w:lineRule="exact"/>
        <w:rPr>
          <w:rFonts w:ascii="Times New Roman" w:cs="Times New Roman" w:eastAsia="Times New Roman" w:hAnsi="Times New Roman"/>
          <w:sz w:val="18"/>
          <w:szCs w:val="18"/>
          <w:color w:val="auto"/>
        </w:rPr>
      </w:pPr>
    </w:p>
    <w:p>
      <w:pPr>
        <w:ind w:left="2600" w:hanging="324"/>
        <w:spacing w:after="0" w:line="282" w:lineRule="auto"/>
        <w:tabs>
          <w:tab w:leader="none" w:pos="26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word “judgment” in Sub-Sections (iv) and (v) in the fifth line thereof, by adding the words “or arbitral award”; and</w:t>
      </w:r>
    </w:p>
    <w:p>
      <w:pPr>
        <w:spacing w:after="0" w:line="161" w:lineRule="exact"/>
        <w:rPr>
          <w:rFonts w:ascii="Times New Roman" w:cs="Times New Roman" w:eastAsia="Times New Roman" w:hAnsi="Times New Roman"/>
          <w:sz w:val="18"/>
          <w:szCs w:val="18"/>
          <w:color w:val="auto"/>
        </w:rPr>
      </w:pPr>
    </w:p>
    <w:p>
      <w:pPr>
        <w:jc w:val="both"/>
        <w:ind w:left="2600" w:hanging="324"/>
        <w:spacing w:after="0" w:line="266" w:lineRule="auto"/>
        <w:tabs>
          <w:tab w:leader="none" w:pos="26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deleting the words “Proceedings in the courts of any jurisdiction” in the sixth line thereof and replacing them with “suit, action or proceedings relating to any Dispute in the courts of any jurisdiction or before any arbitral tribunal (“</w:t>
      </w:r>
      <w:r>
        <w:rPr>
          <w:rFonts w:ascii="Times New Roman" w:cs="Times New Roman" w:eastAsia="Times New Roman" w:hAnsi="Times New Roman"/>
          <w:sz w:val="18"/>
          <w:szCs w:val="18"/>
          <w:b w:val="1"/>
          <w:bCs w:val="1"/>
          <w:color w:val="auto"/>
        </w:rPr>
        <w:t>Proceedings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740" w:hanging="436"/>
        <w:spacing w:after="0" w:line="282" w:lineRule="auto"/>
        <w:tabs>
          <w:tab w:leader="none" w:pos="1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8(b) of the Agreement shall be amended so that each reference in it to “judgment or order” shall be changed to refer to “judgment, arbitral award or order” and the words “or arbitral tribunal” shall be added after the words “another court”.</w:t>
      </w:r>
    </w:p>
    <w:p>
      <w:pPr>
        <w:spacing w:after="0" w:line="161"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8(c) of the Agreement shall be amended by adding the words “or arbitral award” after the word “judgment”.</w:t>
      </w:r>
    </w:p>
    <w:p>
      <w:pPr>
        <w:spacing w:after="0" w:line="225" w:lineRule="exact"/>
        <w:rPr>
          <w:rFonts w:ascii="Times New Roman" w:cs="Times New Roman" w:eastAsia="Times New Roman" w:hAnsi="Times New Roman"/>
          <w:sz w:val="18"/>
          <w:szCs w:val="18"/>
          <w:color w:val="auto"/>
        </w:rPr>
      </w:pPr>
    </w:p>
    <w:p>
      <w:pPr>
        <w:ind w:left="1740" w:right="20" w:hanging="436"/>
        <w:spacing w:after="0" w:line="282" w:lineRule="auto"/>
        <w:tabs>
          <w:tab w:leader="none" w:pos="1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9(h) of the Agreement shall be amended by adding the words “or arbitral award” after the words “before as well as after judgment” each time they appear.</w:t>
      </w:r>
    </w:p>
    <w:p>
      <w:pPr>
        <w:spacing w:after="0" w:line="161"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 of the Agreement shall be amended by:</w:t>
      </w:r>
    </w:p>
    <w:p>
      <w:pPr>
        <w:spacing w:after="0" w:line="225" w:lineRule="exact"/>
        <w:rPr>
          <w:rFonts w:ascii="Times New Roman" w:cs="Times New Roman" w:eastAsia="Times New Roman" w:hAnsi="Times New Roman"/>
          <w:sz w:val="18"/>
          <w:szCs w:val="18"/>
          <w:color w:val="auto"/>
        </w:rPr>
      </w:pPr>
    </w:p>
    <w:p>
      <w:pPr>
        <w:ind w:left="2600" w:hanging="324"/>
        <w:spacing w:after="0"/>
        <w:tabs>
          <w:tab w:leader="none" w:pos="26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the following definition of “Dispute”: ““Dispute” has the meaning specified in Section 13(b)(i)”.; and</w:t>
      </w:r>
    </w:p>
    <w:p>
      <w:pPr>
        <w:spacing w:after="0" w:line="225" w:lineRule="exact"/>
        <w:rPr>
          <w:rFonts w:ascii="Times New Roman" w:cs="Times New Roman" w:eastAsia="Times New Roman" w:hAnsi="Times New Roman"/>
          <w:sz w:val="18"/>
          <w:szCs w:val="18"/>
          <w:color w:val="auto"/>
        </w:rPr>
      </w:pPr>
    </w:p>
    <w:p>
      <w:pPr>
        <w:ind w:left="2600" w:hanging="324"/>
        <w:spacing w:after="0" w:line="282" w:lineRule="auto"/>
        <w:tabs>
          <w:tab w:leader="none" w:pos="26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definition of “Proceedings”, deleting the words “Section 13(b)” and replacing them with the words “Section 13(d)”.</w:t>
      </w:r>
    </w:p>
    <w:p>
      <w:pPr>
        <w:spacing w:after="0" w:line="160" w:lineRule="exact"/>
        <w:rPr>
          <w:sz w:val="20"/>
          <w:szCs w:val="20"/>
          <w:color w:val="auto"/>
        </w:rPr>
      </w:pPr>
    </w:p>
    <w:p>
      <w:pPr>
        <w:jc w:val="both"/>
        <w:ind w:firstLine="972"/>
        <w:spacing w:after="0" w:line="267"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Governing Law</w:t>
      </w:r>
      <w:r>
        <w:rPr>
          <w:rFonts w:ascii="Times New Roman" w:cs="Times New Roman" w:eastAsia="Times New Roman" w:hAnsi="Times New Roman"/>
          <w:sz w:val="18"/>
          <w:szCs w:val="18"/>
          <w:color w:val="auto"/>
        </w:rPr>
        <w:t>. This Confirmation will be governed by, and construed in accordance with, the laws of the State of New York (without reference to choice of law doctrine). Dealer and Counterparty intend that this Transaction be entered into, and this Confirmation be executed, in the State of New York.</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i w:val="1"/>
          <w:iCs w:val="1"/>
          <w:u w:val="single" w:color="auto"/>
          <w:color w:val="auto"/>
        </w:rPr>
        <w:t>Reserved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Tax Disclosure</w:t>
      </w:r>
      <w:r>
        <w:rPr>
          <w:rFonts w:ascii="Times New Roman" w:cs="Times New Roman" w:eastAsia="Times New Roman" w:hAnsi="Times New Roman"/>
          <w:sz w:val="18"/>
          <w:szCs w:val="18"/>
          <w:color w:val="auto"/>
        </w:rPr>
        <w:t>. Effective from the date of commencement of discussions concerning the Transaction, Counterparty and each of its 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80"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Right to Extend</w:t>
      </w:r>
      <w:r>
        <w:rPr>
          <w:rFonts w:ascii="Times New Roman" w:cs="Times New Roman" w:eastAsia="Times New Roman" w:hAnsi="Times New Roman"/>
          <w:sz w:val="18"/>
          <w:szCs w:val="18"/>
          <w:color w:val="auto"/>
        </w:rPr>
        <w:t>. Dealer may postpone or add, in whole or in part, any Valuation Dates and related Settlement Dates, or any other date of valuation, payment or delivery by Dealer, with respect to some or all of the Number of Shares hereunder, if Dealer reasonably determines, in its discretion (and in the case of clause (ii) below, based on the advice of counsel), that such action is reasonably necessary or appropriate to: (i) preserve Dealer’s hedging or hedge unwind activity hereunder in light of existing liquidity conditions or to enable Dealer to effect purchases or sales of Shares in connection with its hedging, hedge unwind or settlement activity hereunder in a manner that would, if Dealer were Issuer or (in the case of purchases) an “affiliated purchaser” (as defined in Rule 10b-18 under the Exchange Act) of Issuer, be in compliance with applicable legal, regulatory or self-regulatory requirements or related policies and procedures applicable to Dealer, including any requirements, policies or procedures relating to Dealer’s hedging, hedge unwind or settlement activities hereunder (“</w:t>
      </w:r>
      <w:r>
        <w:rPr>
          <w:rFonts w:ascii="Times New Roman" w:cs="Times New Roman" w:eastAsia="Times New Roman" w:hAnsi="Times New Roman"/>
          <w:sz w:val="18"/>
          <w:szCs w:val="18"/>
          <w:b w:val="1"/>
          <w:bCs w:val="1"/>
          <w:color w:val="auto"/>
        </w:rPr>
        <w:t>Relevant Laws</w:t>
      </w:r>
      <w:r>
        <w:rPr>
          <w:rFonts w:ascii="Times New Roman" w:cs="Times New Roman" w:eastAsia="Times New Roman" w:hAnsi="Times New Roman"/>
          <w:sz w:val="18"/>
          <w:szCs w:val="18"/>
          <w:color w:val="auto"/>
        </w:rPr>
        <w:t xml:space="preserve">”); or (ii) comply with any Relevant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Dealer have the right to so postpone or add any Valuation Date(s), Settlement Date(s) or any other date of valuation, payment or delivery beyond the 65th Scheduled Trading Day (excluding any Scheduled Trading Day on which a Market Disruption Event occurs) immediately following the Note Maturity Date.</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i w:val="1"/>
          <w:iCs w:val="1"/>
          <w:u w:val="single" w:color="auto"/>
          <w:color w:val="auto"/>
        </w:rPr>
        <w:t>Reserved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98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Payee Tax Representations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Section 3(f) of the Master Agreement, Counterparty makes the representations below:</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treated as a corporation for U.S. federal income tax purposes that is not a “United States person” (as that term is defined in Section 7701(a)(30) of the Code (as defined below)) for United States federal income tax purposes.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Section 3(f) of the Master Agreement, Dealer makes the representations below:</w:t>
      </w:r>
    </w:p>
    <w:p>
      <w:pPr>
        <w:spacing w:after="0" w:line="225"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Dealer is a “United States person” (as that term is defined in Section 7701(a)(30) of the Code (as defined below)) for United States federal income tax purposes.</w:t>
      </w:r>
    </w:p>
    <w:p>
      <w:pPr>
        <w:spacing w:after="0" w:line="160"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Withholding Tax Imposed on Payments to Non-U.S. Counterparties under the United States Foreign Account Tax Compliance Provisions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of the HIRE Act</w:t>
      </w:r>
      <w:r>
        <w:rPr>
          <w:rFonts w:ascii="Times New Roman" w:cs="Times New Roman" w:eastAsia="Times New Roman" w:hAnsi="Times New Roman"/>
          <w:sz w:val="18"/>
          <w:szCs w:val="18"/>
          <w:color w:val="auto"/>
        </w:rPr>
        <w:t>. “Indemnifiable Tax”, as defined in Section 14 of the Master Agreement, shall not include any U.S. federal withholding tax imposed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collected pursuant to FATCA (a “</w:t>
      </w:r>
      <w:r>
        <w:rPr>
          <w:rFonts w:ascii="Times New Roman" w:cs="Times New Roman" w:eastAsia="Times New Roman" w:hAnsi="Times New Roman"/>
          <w:sz w:val="18"/>
          <w:szCs w:val="18"/>
          <w:b w:val="1"/>
          <w:bCs w:val="1"/>
          <w:color w:val="auto"/>
        </w:rPr>
        <w:t>FATCA Withholding Tax</w:t>
      </w:r>
      <w:r>
        <w:rPr>
          <w:rFonts w:ascii="Times New Roman" w:cs="Times New Roman" w:eastAsia="Times New Roman" w:hAnsi="Times New Roman"/>
          <w:sz w:val="18"/>
          <w:szCs w:val="18"/>
          <w:color w:val="auto"/>
        </w:rPr>
        <w:t>”). “FATCA” is defined as Sections 1471 through 1474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For the avoidance of doubt, a FATCA Withholding Tax is a Tax the deduction or withholding of which is required by applicable law for the purposes of Section 2(d) of the Master Agreement.</w:t>
      </w:r>
    </w:p>
    <w:p>
      <w:pPr>
        <w:spacing w:after="0" w:line="183"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Dividend-Related Payments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“Indemnifiable Tax”, as defined in Section 14 of the Master Agreement, shall not include any tax imposed on payments treated as dividends from sources within the United States under Section 871(m) of the Code or any regulations issued thereunder or any amount determined by reference to any dividend or distribution (including, for the avoidance of doubt, Dividend Amounts). For the avoidance of doubt, any such tax imposed under Section 871(m) of the Code is a Tax the deduction or withholding of which is required by applicable law for the purposes of Section 2(d) of the Master Agreement.</w:t>
      </w:r>
    </w:p>
    <w:p>
      <w:pPr>
        <w:spacing w:after="0" w:line="183"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Section 1445</w:t>
      </w:r>
      <w:r>
        <w:rPr>
          <w:rFonts w:ascii="Times New Roman" w:cs="Times New Roman" w:eastAsia="Times New Roman" w:hAnsi="Times New Roman"/>
          <w:sz w:val="18"/>
          <w:szCs w:val="18"/>
          <w:color w:val="auto"/>
        </w:rPr>
        <w:t>. “Indemnifiable Tax”, as defined in Section 14 of the Master Agreement, shall not include any withholding tax imposed pursuant to Section 1445 of the Code or regulations thereunder. For the avoidance of doubt, any such tax imposed under Section 1445 is a Tax the deduction or withholding of which is required by applicable law for the purposes of Section 2(d) of the Master Agreement. Without limiting the foregoing, Counterparty acknowledges and agrees that Dealer shall be entitled to withhold pursuant to Section 1445 at the applicable rate from any Cash Settlement Amount payable by Dealer to Counterparty, unless Counterparty establishes an exemption from such withholding to the satisfaction of Dealer (which may include (1) a statement from the Issuer that, to the satisfaction of Dealer, establishes an exemption from withholding under U.S. Treasury Regulations Section 1.1445-2(c)(3), dated no earlier than 30 days prior to the relevant Cash Settlement Payment Date, accompanied by (2) a copy of the Issuer’s notice to the IRS pursuant to and in accordance with U.S. Treasury Regulations 1.897-2(h)(2)). Without limiting Dealer’s rights under the Agreement or this Confirmation (including Dealer’s rights to withhold pursuant to the prior sentence), upon reasonable request of Counterparty, Dealer agrees to make commercially reasonable efforts to provide Counterparty with a form of certification to be provided by Issuer that would be acceptable to Dealer for purposes of clause (1) of the preceding sentence.</w:t>
      </w:r>
    </w:p>
    <w:p>
      <w:pPr>
        <w:spacing w:after="0" w:line="192"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Tax Forms</w:t>
      </w:r>
      <w:r>
        <w:rPr>
          <w:rFonts w:ascii="Times New Roman" w:cs="Times New Roman" w:eastAsia="Times New Roman" w:hAnsi="Times New Roman"/>
          <w:sz w:val="18"/>
          <w:szCs w:val="18"/>
          <w:color w:val="auto"/>
        </w:rPr>
        <w:t>. For the purpose of Sections 4(a)(i) and (ii) of the Master Agreement, Counterparty agrees to deliver to Dealer one executed and completed U.S. Internal Revenue Service Form W-8 BEN-E (or successor thereto) and Dealer agrees to deliver to Counterparty, as applicable, a U.S. Internal Revenue Service Form W-9 (or successor thereto). Such forms or documents shall be delivered upon (i) execution of this Confirmation,</w:t>
      </w:r>
    </w:p>
    <w:p>
      <w:pPr>
        <w:spacing w:after="0" w:line="1" w:lineRule="exact"/>
        <w:rPr>
          <w:sz w:val="20"/>
          <w:szCs w:val="20"/>
          <w:color w:val="auto"/>
        </w:rPr>
      </w:pPr>
    </w:p>
    <w:p>
      <w:pPr>
        <w:ind w:firstLine="8"/>
        <w:spacing w:after="0" w:line="260" w:lineRule="auto"/>
        <w:tabs>
          <w:tab w:leader="none" w:pos="27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or Dealer, as applicable, learning that any such tax form previously provided by it has become obsolete or incorrect, and (iii) reasonable request of the other party.</w:t>
      </w:r>
    </w:p>
    <w:p>
      <w:pPr>
        <w:spacing w:after="0" w:line="17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Wall Street Transparency and Accountability Act.</w:t>
      </w:r>
      <w:r>
        <w:rPr>
          <w:rFonts w:ascii="Times New Roman" w:cs="Times New Roman" w:eastAsia="Times New Roman" w:hAnsi="Times New Roman"/>
          <w:sz w:val="18"/>
          <w:szCs w:val="18"/>
          <w:color w:val="auto"/>
        </w:rPr>
        <w:t xml:space="preserve"> In connection with Section 739 of the Wall Street Transparency and Accountability Act of 2010 (“</w:t>
      </w:r>
      <w:r>
        <w:rPr>
          <w:rFonts w:ascii="Times New Roman" w:cs="Times New Roman" w:eastAsia="Times New Roman" w:hAnsi="Times New Roman"/>
          <w:sz w:val="18"/>
          <w:szCs w:val="18"/>
          <w:b w:val="1"/>
          <w:bCs w:val="1"/>
          <w:color w:val="auto"/>
        </w:rPr>
        <w:t>WSTAA</w:t>
      </w:r>
      <w:r>
        <w:rPr>
          <w:rFonts w:ascii="Times New Roman" w:cs="Times New Roman" w:eastAsia="Times New Roman" w:hAnsi="Times New Roman"/>
          <w:sz w:val="18"/>
          <w:szCs w:val="18"/>
          <w:color w:val="auto"/>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Master Agreement, as applicable, arising from a termination event, force majeure, illegality, increased costs, regulatory change or similar event under this Confirmation, the Equity Definitions incorporated herein, or the Master Agreement (including, but not limited to, rights arising from Change in Law, Hedging Disruption, Increased Cost of Hedging, an Excess Ownership Position, or Illegality (as defined in the Master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4" w:name="page25"/>
    <w:bookmarkEnd w:id="24"/>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Notice</w:t>
      </w:r>
      <w:r>
        <w:rPr>
          <w:rFonts w:ascii="Times New Roman" w:cs="Times New Roman" w:eastAsia="Times New Roman" w:hAnsi="Times New Roman"/>
          <w:sz w:val="18"/>
          <w:szCs w:val="18"/>
          <w:color w:val="auto"/>
        </w:rPr>
        <w:t>. Counterparty shall, upon obtaining knowledge of the occurrence of any event that would, with the giving of notice, the passage of time or the satisfaction of any condition, constitute an Event of Default in respect of which it would be the Defaulting Party, a Termination Event in respect of which it would be an Affected Party, a Potential Adjustment Event or an Extraordinary Event (including without limitation an Additional Disruption Event), notify Dealer within one Scheduled Trading Day of the occurrence of obtaining such knowledge.</w:t>
      </w:r>
    </w:p>
    <w:p>
      <w:pPr>
        <w:spacing w:after="0" w:line="180"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Agreements and Acknowledgements Regarding Hedging</w:t>
      </w:r>
      <w:r>
        <w:rPr>
          <w:rFonts w:ascii="Times New Roman" w:cs="Times New Roman" w:eastAsia="Times New Roman" w:hAnsi="Times New Roman"/>
          <w:sz w:val="18"/>
          <w:szCs w:val="18"/>
          <w:color w:val="auto"/>
        </w:rPr>
        <w:t>. Counterparty understands, acknowledges and agrees that: (A) at any time on and prior to the final Valuation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Forward Price; (D) any market activities of Dealer and its affiliates with respect to Shares may affect the market price and volatility of Shares in a manner that may be adverse to Counterparty; (E) each party’s rights and obligations under this Transaction are not dependent or conditional upon Dealer owning or having any legal or equitable interest in the Shares or any expectation of Dealer acquiring such an interest and the fact that Dealer may or may not have such an interest or an expectation of acquiring such an interest shall have no effect whatsoever on the rights and obligations of the parties under this Transaction; and (F) for the avoidance of doubt, notwithstanding any provision of the Equity Definitions: (i) neither party shall acquire any right to exercise, or control the exercise of, any voting or disposal rights relating to any Shares or to give any consent with respect to the Shares by virtue of the Transaction; (ii) the parties are not acting in concert in respect of the exercise of voting or disposal rights relating to any Shares and the parties will make their own determination independently of each other in relation to corporate actions in respect of the Issuer and any Shares that may be held by them; and (iii) there is no agreement, arrangement or understanding between the parties in relation to voting or disposal of any Shares or for the purpose of controlling or influencing the composition of the Issuer’s board or the conduct of the Issuer’s affairs. Without limiting the generality of the foregoing, Counterparty shall not be entitled pursuant to the Transaction, whether directly or indirectly, to vote or direct the voting of, or to give or direct the giving of any consent with respect to, any Shares (including any Shares held by or on behalf of Dealer as a hedge for the Transaction), and the parties agree that Dealer under this Transaction shall not take any such directions or instructions from the other party, or any of its officers, directors, employees, agents or representatives, as to such voting or consent.</w:t>
      </w:r>
    </w:p>
    <w:p>
      <w:pPr>
        <w:spacing w:after="0" w:line="1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US QFC Mandatory Contractual Requirements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left="1620" w:hanging="316"/>
        <w:spacing w:after="0" w:line="258"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 on Exercise of Certain Default Rights Related to a Dealer Affiliate’s Entry Into Insolvency Proceedings. Notwithstanding anything to the contrary in this Confirmation or any other agreement, the parties hereto expressly acknowledge and agree that subject to Section 7(x)(ii), Counterparty shall not be permitted to exercise any Default Right against Dealer with respect to this Confirmation or any other Relevant Agreement that is related, directly or indirectly, to a Dealer Affiliate becoming subject to an Insolvency Proceeding.</w:t>
      </w:r>
    </w:p>
    <w:p>
      <w:pPr>
        <w:spacing w:after="0" w:line="183"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Creditor Protections. Nothing in Section 7(x)(i) shall restrict the exercise by Counterparty of any Default Right against Dealer with respect to this Confirmation or any other Relevant Agreement that arises as a result of:</w:t>
      </w:r>
    </w:p>
    <w:p>
      <w:pPr>
        <w:spacing w:after="0" w:line="161" w:lineRule="exact"/>
        <w:rPr>
          <w:rFonts w:ascii="Times New Roman" w:cs="Times New Roman" w:eastAsia="Times New Roman" w:hAnsi="Times New Roman"/>
          <w:sz w:val="18"/>
          <w:szCs w:val="18"/>
          <w:color w:val="auto"/>
        </w:rPr>
      </w:pPr>
    </w:p>
    <w:p>
      <w:pPr>
        <w:ind w:left="2600" w:hanging="324"/>
        <w:spacing w:after="0"/>
        <w:tabs>
          <w:tab w:leader="none" w:pos="26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becoming subject to an Insolvency Proceeding; or</w:t>
      </w:r>
    </w:p>
    <w:p>
      <w:pPr>
        <w:spacing w:after="0" w:line="225" w:lineRule="exact"/>
        <w:rPr>
          <w:rFonts w:ascii="Times New Roman" w:cs="Times New Roman" w:eastAsia="Times New Roman" w:hAnsi="Times New Roman"/>
          <w:sz w:val="18"/>
          <w:szCs w:val="18"/>
          <w:color w:val="auto"/>
        </w:rPr>
      </w:pPr>
    </w:p>
    <w:p>
      <w:pPr>
        <w:jc w:val="both"/>
        <w:ind w:left="2600" w:hanging="324"/>
        <w:spacing w:after="0" w:line="266" w:lineRule="auto"/>
        <w:tabs>
          <w:tab w:leader="none" w:pos="26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not satisfying a payment or delivery obligation pursuant to (A) this Confirmation or any other Relevant Agreement, or (B) another contract between Dealer and Counterparty that gives rise to a Default Right under this Confirmation or any other Relevant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 w:name="page26"/>
    <w:bookmarkEnd w:id="25"/>
    <w:p>
      <w:pPr>
        <w:jc w:val="both"/>
        <w:ind w:left="760" w:hanging="436"/>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 of Proof. After a Dealer Affiliate has become subject to an Insolvency Proceeding, if Counterparty seeks to exercise any Default Right with respect to this Confirmation or any other Relevant Agreement, Counterparty shall have the burden of proof, by clear and convincing evidence, that the exercise of such Default Right is permitted hereunder or thereunder.</w:t>
      </w:r>
    </w:p>
    <w:p>
      <w:pPr>
        <w:spacing w:after="0" w:line="175" w:lineRule="exact"/>
        <w:rPr>
          <w:rFonts w:ascii="Times New Roman" w:cs="Times New Roman" w:eastAsia="Times New Roman" w:hAnsi="Times New Roman"/>
          <w:sz w:val="18"/>
          <w:szCs w:val="18"/>
          <w:color w:val="auto"/>
        </w:rPr>
      </w:pPr>
    </w:p>
    <w:p>
      <w:pPr>
        <w:ind w:left="760" w:hanging="436"/>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w:t>
      </w:r>
    </w:p>
    <w:p>
      <w:pPr>
        <w:spacing w:after="0" w:line="225" w:lineRule="exact"/>
        <w:rPr>
          <w:rFonts w:ascii="Times New Roman" w:cs="Times New Roman" w:eastAsia="Times New Roman" w:hAnsi="Times New Roman"/>
          <w:sz w:val="18"/>
          <w:szCs w:val="18"/>
          <w:color w:val="auto"/>
        </w:rPr>
      </w:pPr>
    </w:p>
    <w:p>
      <w:pPr>
        <w:ind w:left="1620" w:hanging="324"/>
        <w:spacing w:after="0" w:line="282" w:lineRule="auto"/>
        <w:tabs>
          <w:tab w:leader="none" w:pos="16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The provisions set forth in this Section 7(x) will come into effect on the later of the Applicable Compliance Date and the date of this Confirmation.</w:t>
      </w:r>
    </w:p>
    <w:p>
      <w:pPr>
        <w:spacing w:after="0" w:line="161" w:lineRule="exact"/>
        <w:rPr>
          <w:rFonts w:ascii="Times New Roman" w:cs="Times New Roman" w:eastAsia="Times New Roman" w:hAnsi="Times New Roman"/>
          <w:sz w:val="18"/>
          <w:szCs w:val="18"/>
          <w:color w:val="auto"/>
        </w:rPr>
      </w:pPr>
    </w:p>
    <w:p>
      <w:pPr>
        <w:jc w:val="both"/>
        <w:ind w:left="1620" w:hanging="324"/>
        <w:spacing w:after="0" w:line="258" w:lineRule="auto"/>
        <w:tabs>
          <w:tab w:leader="none" w:pos="16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Adherence to the U.S. Protocol. If Dealer and Counterparty have adhered to the ISDA U.S. Protocol prior to the date of this Confirmation, the terms of the ISDA U.S. Protocol shall be incorporated into and form a part of this Confirmation and shall replace the terms of this Section 7(x). For purposes of incorporating the ISDA U.S. Protocol, Dealer shall be deemed to be a Regulated Entity, Counterparty shall be deemed to be an Adhering Party and this Confirmation and the Agreement shall each be deemed to be a Protocol Covered Agreement.</w:t>
      </w:r>
    </w:p>
    <w:p>
      <w:pPr>
        <w:spacing w:after="0" w:line="183" w:lineRule="exact"/>
        <w:rPr>
          <w:rFonts w:ascii="Times New Roman" w:cs="Times New Roman" w:eastAsia="Times New Roman" w:hAnsi="Times New Roman"/>
          <w:sz w:val="18"/>
          <w:szCs w:val="18"/>
          <w:color w:val="auto"/>
        </w:rPr>
      </w:pPr>
    </w:p>
    <w:p>
      <w:pPr>
        <w:jc w:val="both"/>
        <w:ind w:left="1620" w:hanging="324"/>
        <w:spacing w:after="0" w:line="266" w:lineRule="auto"/>
        <w:tabs>
          <w:tab w:leader="none" w:pos="16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Adherence to the U.S. Protocol. If, after the date of this Confirmation, both Dealer and Counterparty shall have become adhering parties to the ISDA U.S. Protocol, the terms of the ISDA U.S. Protocol will supersede and replace this Section 7(x).</w:t>
      </w:r>
    </w:p>
    <w:p>
      <w:pPr>
        <w:spacing w:after="0" w:line="175" w:lineRule="exact"/>
        <w:rPr>
          <w:rFonts w:ascii="Times New Roman" w:cs="Times New Roman" w:eastAsia="Times New Roman" w:hAnsi="Times New Roman"/>
          <w:sz w:val="18"/>
          <w:szCs w:val="18"/>
          <w:color w:val="auto"/>
        </w:rPr>
      </w:pPr>
    </w:p>
    <w:p>
      <w:pPr>
        <w:ind w:left="760" w:hanging="436"/>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For the purposes of Section 7(x), the following definitions apply: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“Applicable Compliance Date” with respect to this Confirmation shall be determined as follows: (a) if Counterparty is an entity subject to the requirements of the QFC Stay Rules, January 1, 2019, (b) if Counterparty is a Financial Counterparty (other than a Small Financial Institution) that is not an entity subject to the requirements of the QFC Stay Rules, July 1, 2019 and (c) if Counterparty is not described in clause (a) or (b), January 1, 2020.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“BHC Affiliate” has the same meaning as the term “affiliate” as defined in, and shall be interpreted in accordance with, 12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1813(w) and 12 U.S.C. 1841(k).</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“Credit Enhancement” means, with respect to this Confirmation or any other Relevant Agreement, any credit enhancement or other credit support arrangement in support of the obligations of Dealer or Counterparty hereunder or thereunder or with respect hereto or thereto, including any guarantee or collateral arrangement (including any pledge, charge, mortgage or other security interest in collateral or title transfer arrangement), trust or similar arrangement, letter of credit, transfer of margin or any similar arrangement.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“Dealer Affiliate” means, with respect to Dealer, a BHC Affiliate of that party.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“Default Right” means, with respect to this Confirmation (including the Transaction under this Confirmation) or any other Relevant Agreement, any:</w:t>
      </w:r>
    </w:p>
    <w:p>
      <w:pPr>
        <w:spacing w:after="0" w:line="162" w:lineRule="exact"/>
        <w:rPr>
          <w:sz w:val="20"/>
          <w:szCs w:val="20"/>
          <w:color w:val="auto"/>
        </w:rPr>
      </w:pPr>
    </w:p>
    <w:p>
      <w:pPr>
        <w:jc w:val="both"/>
        <w:spacing w:after="0" w:line="255" w:lineRule="auto"/>
        <w:tabs>
          <w:tab w:leader="none" w:pos="2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 of a party, whether contractual or otherwise (including, without limitation, rights incorporated by reference to any other contract, agreement, or document, and rights afforded by statute, civil code, regulation, and common law), to liquidate, terminate, cancel, rescind, or accelerate such agreement or transactions thereunder, set off or net amounts owing in respect thereto (except rights related to same-day payment netting), exercise remedies in respect of collateral or other credit support or property related thereto (including the purchase and sale of property), demand payment or delivery thereunder or in respect thereof (other than a right or operation of a contractual provision arising solely from a change in the value of collateral or margin or a change in the amount of an economic exposure), suspend, delay, or defer payment or performance thereunder, or modify the obligations of a party thereunder, or any similar rights;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422910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26" w:name="page27"/>
    <w:bookmarkEnd w:id="26"/>
    <w:p>
      <w:pPr>
        <w:jc w:val="both"/>
        <w:spacing w:after="0" w:line="256" w:lineRule="auto"/>
        <w:tabs>
          <w:tab w:leader="none" w:pos="27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 or contractual provision that alters the amount of collateral or margin that must be provided with respect to an exposure thereunder, including by altering any initial amount, threshold amount, variation margin, minimum transfer amount, the margin value of collateral, or any similar amount, that entitles a party to demand the return of any collateral or margin transferred by it to the other party or a custodian or that modifies a transferee’s right to reuse collateral or margin (if such right previously existed), or any similar rights, in each case, other than a right or operation of a contractual provision arising solely from a change in the value of collateral or margin or a change in the amount of an economic exposure; but</w:t>
      </w:r>
    </w:p>
    <w:p>
      <w:pPr>
        <w:spacing w:after="0" w:line="187" w:lineRule="exact"/>
        <w:rPr>
          <w:rFonts w:ascii="Times New Roman" w:cs="Times New Roman" w:eastAsia="Times New Roman" w:hAnsi="Times New Roman"/>
          <w:sz w:val="18"/>
          <w:szCs w:val="18"/>
          <w:color w:val="auto"/>
        </w:rPr>
      </w:pPr>
    </w:p>
    <w:p>
      <w:pPr>
        <w:spacing w:after="0" w:line="282" w:lineRule="auto"/>
        <w:tabs>
          <w:tab w:leader="none" w:pos="32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Section 7(x) does not include any right under a contract that allows a party to terminate the contract on demand or at its option at a specified time, or from time to time, without the need to show cause.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Counterparty” has the meaning given to such term in, and shall be interpreted in accordance with, 12 C.F.R. 252.81, 12 C.F.R.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382.1 and 12 C.F.R. 47.2.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“Insolvency Proceeding” means a receivership, insolvency, liquidation, resolution, or similar proceeding.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“ISDA U.S. Protocol” means the ISDA 2018 U.S. Resolution Stay Protocol, as published by ISDA on July 31, 2018.</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“QFC Stay Rules” means the regulations codified at 12 C.F.R. 252.81–8 (the “Federal Reserve Rule”), 12 C.F.R. 382.1-7 (the “FDIC Rule”) and 12 C.F.R. 47.1-8 (the “OCC Rule”), respectively. All references herein to the specific provisions of the Federal Reserve Rule, the FDICs Rule and the OCC Rule shall be construed, with respect to Dealer, to the particular QFC Stay Rule(s) applicable to it.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“Relevant Agreement” means this Confirmation (as amended hereto and including the Transaction under this Confirmation) and any Credit Enhancement relating hereto or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 Financial Institution” has the meaning given to such term in, and shall be interpreted in accordance with, 12 C.F.R. 252.81, 12 C.F.R.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382.1 and 12 C.F.R. 47.2.</w:t>
      </w:r>
    </w:p>
    <w:p>
      <w:pPr>
        <w:spacing w:after="0" w:line="20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to follow on separate page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447040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7"/>
          <w:szCs w:val="17"/>
          <w:color w:val="auto"/>
        </w:rPr>
        <w:t>Please confirm that the foregoing correctly sets forth the terms of our agreement by executing this Confirmation and returning it to Dealer.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as of the date first 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AYAR THIRD INVESTMENT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Prepaid Forward Confirmation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620"/>
      </w:cols>
      <w:pgMar w:left="320" w:top="904"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BEFD79F"/>
    <w:multiLevelType w:val="hybridMultilevel"/>
    <w:lvl w:ilvl="0">
      <w:lvlJc w:val="left"/>
      <w:lvlText w:val="2"/>
      <w:numFmt w:val="bullet"/>
      <w:start w:val="1"/>
    </w:lvl>
  </w:abstractNum>
  <w:abstractNum w:abstractNumId="1">
    <w:nsid w:val="41A7C4C9"/>
    <w:multiLevelType w:val="hybridMultilevel"/>
    <w:lvl w:ilvl="0">
      <w:lvlJc w:val="left"/>
      <w:lvlText w:val="2"/>
      <w:numFmt w:val="bullet"/>
      <w:start w:val="1"/>
    </w:lvl>
  </w:abstractNum>
  <w:abstractNum w:abstractNumId="2">
    <w:nsid w:val="6B68079A"/>
    <w:multiLevelType w:val="hybridMultilevel"/>
    <w:lvl w:ilvl="0">
      <w:lvlJc w:val="left"/>
      <w:lvlText w:val="3"/>
      <w:numFmt w:val="bullet"/>
      <w:start w:val="1"/>
    </w:lvl>
  </w:abstractNum>
  <w:abstractNum w:abstractNumId="3">
    <w:nsid w:val="4E6AFB66"/>
    <w:multiLevelType w:val="hybridMultilevel"/>
    <w:lvl w:ilvl="0">
      <w:lvlJc w:val="left"/>
      <w:lvlText w:val="7"/>
      <w:numFmt w:val="bullet"/>
      <w:start w:val="1"/>
    </w:lvl>
  </w:abstractNum>
  <w:abstractNum w:abstractNumId="4">
    <w:nsid w:val="25E45D32"/>
    <w:multiLevelType w:val="hybridMultilevel"/>
    <w:lvl w:ilvl="0">
      <w:lvlJc w:val="left"/>
      <w:lvlText w:val="%1"/>
      <w:numFmt w:val="decimal"/>
      <w:start w:val="11"/>
    </w:lvl>
  </w:abstractNum>
  <w:abstractNum w:abstractNumId="5">
    <w:nsid w:val="519B500D"/>
    <w:multiLevelType w:val="hybridMultilevel"/>
    <w:lvl w:ilvl="0">
      <w:lvlJc w:val="left"/>
      <w:lvlText w:val="(%1)"/>
      <w:numFmt w:val="lowerLetter"/>
      <w:start w:val="1"/>
    </w:lvl>
  </w:abstractNum>
  <w:abstractNum w:abstractNumId="6">
    <w:nsid w:val="431BD7B7"/>
    <w:multiLevelType w:val="hybridMultilevel"/>
    <w:lvl w:ilvl="0">
      <w:lvlJc w:val="left"/>
      <w:lvlText w:val="(%1)"/>
      <w:numFmt w:val="lowerLetter"/>
      <w:start w:val="1"/>
    </w:lvl>
  </w:abstractNum>
  <w:abstractNum w:abstractNumId="7">
    <w:nsid w:val="3F2DBA31"/>
    <w:multiLevelType w:val="hybridMultilevel"/>
    <w:lvl w:ilvl="0">
      <w:lvlJc w:val="left"/>
      <w:lvlText w:val="(%1)"/>
      <w:numFmt w:val="lowerLetter"/>
      <w:start w:val="2"/>
    </w:lvl>
  </w:abstractNum>
  <w:abstractNum w:abstractNumId="8">
    <w:nsid w:val="7C83E458"/>
    <w:multiLevelType w:val="hybridMultilevel"/>
    <w:lvl w:ilvl="0">
      <w:lvlJc w:val="left"/>
      <w:lvlText w:val="%1."/>
      <w:numFmt w:val="decimal"/>
      <w:start w:val="17"/>
    </w:lvl>
  </w:abstractNum>
  <w:abstractNum w:abstractNumId="9">
    <w:nsid w:val="257130A3"/>
    <w:multiLevelType w:val="hybridMultilevel"/>
    <w:lvl w:ilvl="0">
      <w:lvlJc w:val="left"/>
      <w:lvlText w:val="(%1)"/>
      <w:numFmt w:val="lowerRoman"/>
      <w:start w:val="1"/>
    </w:lvl>
  </w:abstractNum>
  <w:abstractNum w:abstractNumId="10">
    <w:nsid w:val="62BBD95A"/>
    <w:multiLevelType w:val="hybridMultilevel"/>
    <w:lvl w:ilvl="0">
      <w:lvlJc w:val="left"/>
      <w:lvlText w:val="%1."/>
      <w:numFmt w:val="decimal"/>
      <w:start w:val="3"/>
    </w:lvl>
    <w:lvl w:ilvl="1">
      <w:lvlJc w:val="left"/>
      <w:lvlText w:val="(%2)"/>
      <w:numFmt w:val="lowerLetter"/>
      <w:start w:val="1"/>
    </w:lvl>
  </w:abstractNum>
  <w:abstractNum w:abstractNumId="11">
    <w:nsid w:val="436C6125"/>
    <w:multiLevelType w:val="hybridMultilevel"/>
    <w:lvl w:ilvl="0">
      <w:lvlJc w:val="left"/>
      <w:lvlText w:val="(%1)"/>
      <w:numFmt w:val="lowerLetter"/>
      <w:start w:val="2"/>
    </w:lvl>
  </w:abstractNum>
  <w:abstractNum w:abstractNumId="12">
    <w:nsid w:val="628C895D"/>
    <w:multiLevelType w:val="hybridMultilevel"/>
    <w:lvl w:ilvl="0">
      <w:lvlJc w:val="left"/>
      <w:lvlText w:val="%1."/>
      <w:numFmt w:val="decimal"/>
      <w:start w:val="4"/>
    </w:lvl>
  </w:abstractNum>
  <w:abstractNum w:abstractNumId="13">
    <w:nsid w:val="333AB105"/>
    <w:multiLevelType w:val="hybridMultilevel"/>
    <w:lvl w:ilvl="0">
      <w:lvlJc w:val="left"/>
      <w:lvlText w:val="%1."/>
      <w:numFmt w:val="decimal"/>
      <w:start w:val="5"/>
    </w:lvl>
    <w:lvl w:ilvl="1">
      <w:lvlJc w:val="left"/>
      <w:lvlText w:val="(%2)"/>
      <w:numFmt w:val="lowerLetter"/>
      <w:start w:val="1"/>
    </w:lvl>
  </w:abstractNum>
  <w:abstractNum w:abstractNumId="14">
    <w:nsid w:val="721DA317"/>
    <w:multiLevelType w:val="hybridMultilevel"/>
    <w:lvl w:ilvl="0">
      <w:lvlJc w:val="left"/>
      <w:lvlText w:val="%1."/>
      <w:numFmt w:val="decimal"/>
      <w:start w:val="6"/>
    </w:lvl>
  </w:abstractNum>
  <w:abstractNum w:abstractNumId="15">
    <w:nsid w:val="2443A858"/>
    <w:multiLevelType w:val="hybridMultilevel"/>
    <w:lvl w:ilvl="0">
      <w:lvlJc w:val="left"/>
      <w:lvlText w:val="(%1)"/>
      <w:numFmt w:val="upperLetter"/>
      <w:start w:val="3"/>
    </w:lvl>
  </w:abstractNum>
  <w:abstractNum w:abstractNumId="16">
    <w:nsid w:val="2D1D5AE9"/>
    <w:multiLevelType w:val="hybridMultilevel"/>
    <w:lvl w:ilvl="0">
      <w:lvlJc w:val="left"/>
      <w:lvlText w:val="%1."/>
      <w:numFmt w:val="decimal"/>
      <w:start w:val="7"/>
    </w:lvl>
  </w:abstractNum>
  <w:abstractNum w:abstractNumId="17">
    <w:nsid w:val="6763845E"/>
    <w:multiLevelType w:val="hybridMultilevel"/>
    <w:lvl w:ilvl="0">
      <w:lvlJc w:val="left"/>
      <w:lvlText w:val="%1"/>
      <w:numFmt w:val="lowerRoman"/>
      <w:start w:val="1"/>
    </w:lvl>
    <w:lvl w:ilvl="1">
      <w:lvlJc w:val="left"/>
      <w:lvlText w:val="(%2)"/>
      <w:numFmt w:val="lowerRoman"/>
      <w:start w:val="1"/>
    </w:lvl>
  </w:abstractNum>
  <w:abstractNum w:abstractNumId="18">
    <w:nsid w:val="75A2A8D4"/>
    <w:multiLevelType w:val="hybridMultilevel"/>
    <w:lvl w:ilvl="0">
      <w:lvlJc w:val="left"/>
      <w:lvlText w:val="(%1)"/>
      <w:numFmt w:val="lowerRoman"/>
      <w:start w:val="2"/>
    </w:lvl>
    <w:lvl w:ilvl="1">
      <w:lvlJc w:val="left"/>
      <w:lvlText w:val="(%2)"/>
      <w:numFmt w:val="lowerRoman"/>
      <w:start w:val="2"/>
    </w:lvl>
  </w:abstractNum>
  <w:abstractNum w:abstractNumId="19">
    <w:nsid w:val="8EDBDAB"/>
    <w:multiLevelType w:val="hybridMultilevel"/>
    <w:lvl w:ilvl="0">
      <w:lvlJc w:val="left"/>
      <w:lvlText w:val="(%1)"/>
      <w:numFmt w:val="lowerRoman"/>
      <w:start w:val="3"/>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lowerRoman"/>
      <w:start w:val="1"/>
    </w:lvl>
    <w:lvl w:ilvl="1">
      <w:lvlJc w:val="left"/>
      <w:lvlText w:val="(%2)"/>
      <w:numFmt w:val="lowerRoman"/>
      <w:start w:val="1"/>
    </w:lvl>
  </w:abstractNum>
  <w:abstractNum w:abstractNumId="22">
    <w:nsid w:val="B03E0C6"/>
    <w:multiLevelType w:val="hybridMultilevel"/>
    <w:lvl w:ilvl="0">
      <w:lvlJc w:val="left"/>
      <w:lvlText w:val="(%1)"/>
      <w:numFmt w:val="lowerRoman"/>
      <w:start w:val="3"/>
    </w:lvl>
    <w:lvl w:ilvl="1">
      <w:lvlJc w:val="left"/>
      <w:lvlText w:val="%2."/>
      <w:numFmt w:val="decimal"/>
      <w:start w:val="1"/>
    </w:lvl>
  </w:abstractNum>
  <w:abstractNum w:abstractNumId="23">
    <w:nsid w:val="189A769B"/>
    <w:multiLevelType w:val="hybridMultilevel"/>
    <w:lvl w:ilvl="0">
      <w:lvlJc w:val="left"/>
      <w:lvlText w:val="(%1)"/>
      <w:numFmt w:val="lowerRoman"/>
      <w:start w:val="1"/>
    </w:lvl>
  </w:abstractNum>
  <w:abstractNum w:abstractNumId="24">
    <w:nsid w:val="54E49EB4"/>
    <w:multiLevelType w:val="hybridMultilevel"/>
    <w:lvl w:ilvl="0">
      <w:lvlJc w:val="left"/>
      <w:lvlText w:val="(%1)"/>
      <w:numFmt w:val="lowerRoman"/>
      <w:start w:val="2"/>
    </w:lvl>
  </w:abstractNum>
  <w:abstractNum w:abstractNumId="25">
    <w:nsid w:val="71F32454"/>
    <w:multiLevelType w:val="hybridMultilevel"/>
    <w:lvl w:ilvl="0">
      <w:lvlJc w:val="left"/>
      <w:lvlText w:val="(%1)"/>
      <w:numFmt w:val="lowerRoman"/>
      <w:start w:val="1"/>
    </w:lvl>
    <w:lvl w:ilvl="1">
      <w:lvlJc w:val="left"/>
      <w:lvlText w:val="%2."/>
      <w:numFmt w:val="decimal"/>
      <w:start w:val="1"/>
    </w:lvl>
  </w:abstractNum>
  <w:abstractNum w:abstractNumId="26">
    <w:nsid w:val="2CA88611"/>
    <w:multiLevelType w:val="hybridMultilevel"/>
    <w:lvl w:ilvl="0">
      <w:lvlJc w:val="left"/>
      <w:lvlText w:val="(%1)"/>
      <w:numFmt w:val="lowerRoman"/>
      <w:start w:val="3"/>
    </w:lvl>
    <w:lvl w:ilvl="1">
      <w:lvlJc w:val="left"/>
      <w:lvlText w:val="%2."/>
      <w:numFmt w:val="decimal"/>
      <w:start w:val="1"/>
    </w:lvl>
  </w:abstractNum>
  <w:abstractNum w:abstractNumId="27">
    <w:nsid w:val="836C40E"/>
    <w:multiLevelType w:val="hybridMultilevel"/>
    <w:lvl w:ilvl="0">
      <w:lvlJc w:val="left"/>
      <w:lvlText w:val="(%1)"/>
      <w:numFmt w:val="lowerRoman"/>
      <w:start w:val="1"/>
    </w:lvl>
  </w:abstractNum>
  <w:abstractNum w:abstractNumId="28">
    <w:nsid w:val="2901D8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2025-11-28T14:43:41Z</dcterms:created>
  <dcterms:modified xsi:type="dcterms:W3CDTF">2025-11-28T14:43:41Z</dcterms:modified>
</cp:coreProperties>
</file>