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June 5, 2026</w:t>
      </w:r>
    </w:p>
    <w:p>
      <w:pPr>
        <w:spacing w:after="0" w:line="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wp:posOffset>
            </wp:positionH>
            <wp:positionV relativeFrom="paragraph">
              <wp:posOffset>43180</wp:posOffset>
            </wp:positionV>
            <wp:extent cx="70719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1995"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69215</wp:posOffset>
            </wp:positionV>
            <wp:extent cx="7071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6" w:lineRule="exact"/>
        <w:rPr>
          <w:sz w:val="24"/>
          <w:szCs w:val="24"/>
          <w:color w:val="auto"/>
        </w:rPr>
      </w:pPr>
    </w:p>
    <w:tbl>
      <w:tblPr>
        <w:tblLayout w:type="fixed"/>
        <w:tblInd w:w="1260" w:type="dxa"/>
        <w:tblCellMar>
          <w:top w:w="0" w:type="dxa"/>
          <w:left w:w="0" w:type="dxa"/>
          <w:bottom w:w="0" w:type="dxa"/>
          <w:right w:w="0" w:type="dxa"/>
        </w:tblCellMar>
      </w:tblPr>
      <w:tr>
        <w:trPr>
          <w:trHeight w:val="253"/>
        </w:trPr>
        <w:tc>
          <w:tcPr>
            <w:tcW w:w="2160" w:type="dxa"/>
            <w:vAlign w:val="bottom"/>
          </w:tcPr>
          <w:p>
            <w:pPr>
              <w:spacing w:after="0"/>
              <w:rPr>
                <w:sz w:val="22"/>
                <w:szCs w:val="22"/>
                <w:color w:val="auto"/>
              </w:rPr>
            </w:pPr>
          </w:p>
        </w:tc>
        <w:tc>
          <w:tcPr>
            <w:tcW w:w="6200" w:type="dxa"/>
            <w:vAlign w:val="bottom"/>
          </w:tcPr>
          <w:p>
            <w:pPr>
              <w:jc w:val="center"/>
              <w:ind w:right="1687"/>
              <w:spacing w:after="0"/>
              <w:rPr>
                <w:sz w:val="20"/>
                <w:szCs w:val="20"/>
                <w:color w:val="auto"/>
              </w:rPr>
            </w:pPr>
            <w:r>
              <w:rPr>
                <w:rFonts w:ascii="Times New Roman" w:cs="Times New Roman" w:eastAsia="Times New Roman" w:hAnsi="Times New Roman"/>
                <w:sz w:val="22"/>
                <w:szCs w:val="22"/>
                <w:b w:val="1"/>
                <w:bCs w:val="1"/>
                <w:color w:val="auto"/>
                <w:w w:val="98"/>
              </w:rPr>
              <w:t>FORM S-8</w:t>
            </w:r>
          </w:p>
        </w:tc>
      </w:tr>
      <w:tr>
        <w:trPr>
          <w:trHeight w:val="256"/>
        </w:trPr>
        <w:tc>
          <w:tcPr>
            <w:tcW w:w="2160" w:type="dxa"/>
            <w:vAlign w:val="bottom"/>
          </w:tcPr>
          <w:p>
            <w:pPr>
              <w:spacing w:after="0"/>
              <w:rPr>
                <w:sz w:val="22"/>
                <w:szCs w:val="22"/>
                <w:color w:val="auto"/>
              </w:rPr>
            </w:pPr>
          </w:p>
        </w:tc>
        <w:tc>
          <w:tcPr>
            <w:tcW w:w="6200" w:type="dxa"/>
            <w:vAlign w:val="bottom"/>
          </w:tcPr>
          <w:p>
            <w:pPr>
              <w:jc w:val="center"/>
              <w:ind w:right="1687"/>
              <w:spacing w:after="0"/>
              <w:rPr>
                <w:sz w:val="20"/>
                <w:szCs w:val="20"/>
                <w:color w:val="auto"/>
              </w:rPr>
            </w:pPr>
            <w:r>
              <w:rPr>
                <w:rFonts w:ascii="Times New Roman" w:cs="Times New Roman" w:eastAsia="Times New Roman" w:hAnsi="Times New Roman"/>
                <w:sz w:val="22"/>
                <w:szCs w:val="22"/>
                <w:b w:val="1"/>
                <w:bCs w:val="1"/>
                <w:color w:val="auto"/>
                <w:w w:val="96"/>
              </w:rPr>
              <w:t>REGISTRATION STATEMENT UNDER</w:t>
            </w:r>
          </w:p>
        </w:tc>
      </w:tr>
      <w:tr>
        <w:trPr>
          <w:trHeight w:val="233"/>
        </w:trPr>
        <w:tc>
          <w:tcPr>
            <w:tcW w:w="2160" w:type="dxa"/>
            <w:vAlign w:val="bottom"/>
          </w:tcPr>
          <w:p>
            <w:pPr>
              <w:spacing w:after="0"/>
              <w:rPr>
                <w:sz w:val="20"/>
                <w:szCs w:val="20"/>
                <w:color w:val="auto"/>
              </w:rPr>
            </w:pPr>
          </w:p>
        </w:tc>
        <w:tc>
          <w:tcPr>
            <w:tcW w:w="6200" w:type="dxa"/>
            <w:vAlign w:val="bottom"/>
          </w:tcPr>
          <w:p>
            <w:pPr>
              <w:jc w:val="center"/>
              <w:ind w:right="1707"/>
              <w:spacing w:after="0" w:line="232" w:lineRule="exact"/>
              <w:rPr>
                <w:sz w:val="20"/>
                <w:szCs w:val="20"/>
                <w:color w:val="auto"/>
              </w:rPr>
            </w:pPr>
            <w:r>
              <w:rPr>
                <w:rFonts w:ascii="Times New Roman" w:cs="Times New Roman" w:eastAsia="Times New Roman" w:hAnsi="Times New Roman"/>
                <w:sz w:val="22"/>
                <w:szCs w:val="22"/>
                <w:b w:val="1"/>
                <w:bCs w:val="1"/>
                <w:color w:val="auto"/>
                <w:w w:val="97"/>
              </w:rPr>
              <w:t>THE SECURITIES ACT OF 1933</w:t>
            </w:r>
          </w:p>
        </w:tc>
      </w:tr>
      <w:tr>
        <w:trPr>
          <w:trHeight w:val="338"/>
        </w:trPr>
        <w:tc>
          <w:tcPr>
            <w:tcW w:w="2160" w:type="dxa"/>
            <w:vAlign w:val="bottom"/>
          </w:tcPr>
          <w:p>
            <w:pPr>
              <w:spacing w:after="0"/>
              <w:rPr>
                <w:sz w:val="24"/>
                <w:szCs w:val="24"/>
                <w:color w:val="auto"/>
              </w:rPr>
            </w:pPr>
          </w:p>
        </w:tc>
        <w:tc>
          <w:tcPr>
            <w:tcW w:w="6200" w:type="dxa"/>
            <w:vAlign w:val="bottom"/>
          </w:tcPr>
          <w:p>
            <w:pPr>
              <w:jc w:val="center"/>
              <w:ind w:right="1707"/>
              <w:spacing w:after="0"/>
              <w:rPr>
                <w:sz w:val="20"/>
                <w:szCs w:val="20"/>
                <w:color w:val="auto"/>
              </w:rPr>
            </w:pPr>
            <w:r>
              <w:rPr>
                <w:rFonts w:ascii="Times New Roman" w:cs="Times New Roman" w:eastAsia="Times New Roman" w:hAnsi="Times New Roman"/>
                <w:sz w:val="28"/>
                <w:szCs w:val="28"/>
                <w:b w:val="1"/>
                <w:bCs w:val="1"/>
                <w:color w:val="auto"/>
                <w:w w:val="99"/>
              </w:rPr>
              <w:t>LUCID GROUP, INC.</w:t>
            </w:r>
          </w:p>
        </w:tc>
      </w:tr>
      <w:tr>
        <w:trPr>
          <w:trHeight w:val="210"/>
        </w:trPr>
        <w:tc>
          <w:tcPr>
            <w:tcW w:w="2160" w:type="dxa"/>
            <w:vAlign w:val="bottom"/>
          </w:tcPr>
          <w:p>
            <w:pPr>
              <w:spacing w:after="0"/>
              <w:rPr>
                <w:sz w:val="18"/>
                <w:szCs w:val="18"/>
                <w:color w:val="auto"/>
              </w:rPr>
            </w:pPr>
          </w:p>
        </w:tc>
        <w:tc>
          <w:tcPr>
            <w:tcW w:w="6200" w:type="dxa"/>
            <w:vAlign w:val="bottom"/>
          </w:tcPr>
          <w:p>
            <w:pPr>
              <w:jc w:val="center"/>
              <w:ind w:right="1687"/>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634"/>
        </w:trPr>
        <w:tc>
          <w:tcPr>
            <w:tcW w:w="21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6200" w:type="dxa"/>
            <w:vAlign w:val="bottom"/>
          </w:tcPr>
          <w:p>
            <w:pPr>
              <w:jc w:val="center"/>
              <w:ind w:left="4887"/>
              <w:spacing w:after="0"/>
              <w:rPr>
                <w:sz w:val="20"/>
                <w:szCs w:val="20"/>
                <w:color w:val="auto"/>
              </w:rPr>
            </w:pPr>
            <w:r>
              <w:rPr>
                <w:rFonts w:ascii="Times New Roman" w:cs="Times New Roman" w:eastAsia="Times New Roman" w:hAnsi="Times New Roman"/>
                <w:sz w:val="16"/>
                <w:szCs w:val="16"/>
                <w:b w:val="1"/>
                <w:bCs w:val="1"/>
                <w:color w:val="auto"/>
              </w:rPr>
              <w:t>85-0891392</w:t>
            </w:r>
          </w:p>
        </w:tc>
      </w:tr>
      <w:tr>
        <w:trPr>
          <w:trHeight w:val="222"/>
        </w:trPr>
        <w:tc>
          <w:tcPr>
            <w:tcW w:w="216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6200" w:type="dxa"/>
            <w:vAlign w:val="bottom"/>
          </w:tcPr>
          <w:p>
            <w:pPr>
              <w:jc w:val="center"/>
              <w:ind w:left="4887"/>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16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6200" w:type="dxa"/>
            <w:vAlign w:val="bottom"/>
          </w:tcPr>
          <w:p>
            <w:pPr>
              <w:jc w:val="center"/>
              <w:ind w:left="4887"/>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95"/>
        </w:trPr>
        <w:tc>
          <w:tcPr>
            <w:tcW w:w="2160" w:type="dxa"/>
            <w:vAlign w:val="bottom"/>
          </w:tcPr>
          <w:p>
            <w:pPr>
              <w:spacing w:after="0"/>
              <w:rPr>
                <w:sz w:val="24"/>
                <w:szCs w:val="24"/>
                <w:color w:val="auto"/>
              </w:rPr>
            </w:pPr>
          </w:p>
        </w:tc>
        <w:tc>
          <w:tcPr>
            <w:tcW w:w="6200" w:type="dxa"/>
            <w:vAlign w:val="bottom"/>
          </w:tcPr>
          <w:p>
            <w:pPr>
              <w:jc w:val="center"/>
              <w:ind w:right="1687"/>
              <w:spacing w:after="0"/>
              <w:rPr>
                <w:sz w:val="20"/>
                <w:szCs w:val="20"/>
                <w:color w:val="auto"/>
              </w:rPr>
            </w:pPr>
            <w:r>
              <w:rPr>
                <w:rFonts w:ascii="Times New Roman" w:cs="Times New Roman" w:eastAsia="Times New Roman" w:hAnsi="Times New Roman"/>
                <w:sz w:val="16"/>
                <w:szCs w:val="16"/>
                <w:b w:val="1"/>
                <w:bCs w:val="1"/>
                <w:color w:val="auto"/>
              </w:rPr>
              <w:t>7373 Gateway Blvd</w:t>
            </w:r>
          </w:p>
        </w:tc>
      </w:tr>
      <w:tr>
        <w:trPr>
          <w:trHeight w:val="189"/>
        </w:trPr>
        <w:tc>
          <w:tcPr>
            <w:tcW w:w="2160" w:type="dxa"/>
            <w:vAlign w:val="bottom"/>
          </w:tcPr>
          <w:p>
            <w:pPr>
              <w:spacing w:after="0"/>
              <w:rPr>
                <w:sz w:val="16"/>
                <w:szCs w:val="16"/>
                <w:color w:val="auto"/>
              </w:rPr>
            </w:pPr>
          </w:p>
        </w:tc>
        <w:tc>
          <w:tcPr>
            <w:tcW w:w="6200" w:type="dxa"/>
            <w:vAlign w:val="bottom"/>
          </w:tcPr>
          <w:p>
            <w:pPr>
              <w:jc w:val="center"/>
              <w:ind w:right="1707"/>
              <w:spacing w:after="0"/>
              <w:rPr>
                <w:sz w:val="20"/>
                <w:szCs w:val="20"/>
                <w:color w:val="auto"/>
              </w:rPr>
            </w:pPr>
            <w:r>
              <w:rPr>
                <w:rFonts w:ascii="Times New Roman" w:cs="Times New Roman" w:eastAsia="Times New Roman" w:hAnsi="Times New Roman"/>
                <w:sz w:val="16"/>
                <w:szCs w:val="16"/>
                <w:b w:val="1"/>
                <w:bCs w:val="1"/>
                <w:color w:val="auto"/>
              </w:rPr>
              <w:t>Newark, CA 94560</w:t>
            </w:r>
          </w:p>
        </w:tc>
      </w:tr>
      <w:tr>
        <w:trPr>
          <w:trHeight w:val="212"/>
        </w:trPr>
        <w:tc>
          <w:tcPr>
            <w:tcW w:w="2160" w:type="dxa"/>
            <w:vAlign w:val="bottom"/>
          </w:tcPr>
          <w:p>
            <w:pPr>
              <w:spacing w:after="0"/>
              <w:rPr>
                <w:sz w:val="18"/>
                <w:szCs w:val="18"/>
                <w:color w:val="auto"/>
              </w:rPr>
            </w:pPr>
          </w:p>
        </w:tc>
        <w:tc>
          <w:tcPr>
            <w:tcW w:w="6200" w:type="dxa"/>
            <w:vAlign w:val="bottom"/>
          </w:tcPr>
          <w:p>
            <w:pPr>
              <w:jc w:val="center"/>
              <w:ind w:right="1687"/>
              <w:spacing w:after="0"/>
              <w:rPr>
                <w:sz w:val="20"/>
                <w:szCs w:val="20"/>
                <w:color w:val="auto"/>
              </w:rPr>
            </w:pPr>
            <w:r>
              <w:rPr>
                <w:rFonts w:ascii="Times New Roman" w:cs="Times New Roman" w:eastAsia="Times New Roman" w:hAnsi="Times New Roman"/>
                <w:sz w:val="16"/>
                <w:szCs w:val="16"/>
                <w:b w:val="1"/>
                <w:bCs w:val="1"/>
                <w:color w:val="auto"/>
              </w:rPr>
              <w:t>Telephone: (510) 648-3553</w:t>
            </w:r>
          </w:p>
        </w:tc>
      </w:tr>
      <w:tr>
        <w:trPr>
          <w:trHeight w:val="257"/>
        </w:trPr>
        <w:tc>
          <w:tcPr>
            <w:tcW w:w="2160" w:type="dxa"/>
            <w:vAlign w:val="bottom"/>
          </w:tcPr>
          <w:p>
            <w:pPr>
              <w:spacing w:after="0"/>
              <w:rPr>
                <w:sz w:val="22"/>
                <w:szCs w:val="22"/>
                <w:color w:val="auto"/>
              </w:rPr>
            </w:pPr>
          </w:p>
        </w:tc>
        <w:tc>
          <w:tcPr>
            <w:tcW w:w="6200" w:type="dxa"/>
            <w:vAlign w:val="bottom"/>
          </w:tcPr>
          <w:p>
            <w:pPr>
              <w:jc w:val="center"/>
              <w:ind w:right="1707"/>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tc>
      </w:tr>
    </w:tbl>
    <w:p>
      <w:pPr>
        <w:spacing w:after="0" w:line="314" w:lineRule="exact"/>
        <w:rPr>
          <w:sz w:val="24"/>
          <w:szCs w:val="24"/>
          <w:color w:val="auto"/>
        </w:rPr>
      </w:pPr>
    </w:p>
    <w:p>
      <w:pPr>
        <w:ind w:left="3940" w:right="240" w:hanging="1970"/>
        <w:spacing w:after="0" w:line="241" w:lineRule="auto"/>
        <w:rPr>
          <w:sz w:val="20"/>
          <w:szCs w:val="20"/>
          <w:color w:val="auto"/>
        </w:rPr>
      </w:pPr>
      <w:r>
        <w:rPr>
          <w:rFonts w:ascii="Times New Roman" w:cs="Times New Roman" w:eastAsia="Times New Roman" w:hAnsi="Times New Roman"/>
          <w:sz w:val="16"/>
          <w:szCs w:val="16"/>
          <w:b w:val="1"/>
          <w:bCs w:val="1"/>
          <w:color w:val="auto"/>
        </w:rPr>
        <w:t>Lucid Group, Inc. Amended and Restated 2021 Stock Incentive Plan (including the Lucid Group, Inc. Amended and Restated 2021 Employee Stock Purchase Plan attached thereto)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21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6"/>
          <w:szCs w:val="16"/>
          <w:b w:val="1"/>
          <w:bCs w:val="1"/>
          <w:color w:val="auto"/>
        </w:rPr>
        <w:t>Silvio Napoli</w:t>
      </w:r>
    </w:p>
    <w:p>
      <w:pPr>
        <w:ind w:left="4800"/>
        <w:spacing w:after="0" w:line="226" w:lineRule="auto"/>
        <w:rPr>
          <w:sz w:val="20"/>
          <w:szCs w:val="20"/>
          <w:color w:val="auto"/>
        </w:rPr>
      </w:pPr>
      <w:r>
        <w:rPr>
          <w:rFonts w:ascii="Times New Roman" w:cs="Times New Roman" w:eastAsia="Times New Roman" w:hAnsi="Times New Roman"/>
          <w:sz w:val="16"/>
          <w:szCs w:val="16"/>
          <w:b w:val="1"/>
          <w:bCs w:val="1"/>
          <w:color w:val="auto"/>
        </w:rPr>
        <w:t>Chief Executive Officer</w:t>
      </w:r>
    </w:p>
    <w:p>
      <w:pPr>
        <w:ind w:left="4940"/>
        <w:spacing w:after="0" w:line="229" w:lineRule="auto"/>
        <w:rPr>
          <w:sz w:val="20"/>
          <w:szCs w:val="20"/>
          <w:color w:val="auto"/>
        </w:rPr>
      </w:pPr>
      <w:r>
        <w:rPr>
          <w:rFonts w:ascii="Times New Roman" w:cs="Times New Roman" w:eastAsia="Times New Roman" w:hAnsi="Times New Roman"/>
          <w:sz w:val="16"/>
          <w:szCs w:val="16"/>
          <w:b w:val="1"/>
          <w:bCs w:val="1"/>
          <w:color w:val="auto"/>
        </w:rPr>
        <w:t>7373 Gateway Boulevard</w:t>
      </w:r>
    </w:p>
    <w:p>
      <w:pPr>
        <w:ind w:left="4960"/>
        <w:spacing w:after="0" w:line="229" w:lineRule="auto"/>
        <w:rPr>
          <w:sz w:val="20"/>
          <w:szCs w:val="20"/>
          <w:color w:val="auto"/>
        </w:rPr>
      </w:pPr>
      <w:r>
        <w:rPr>
          <w:rFonts w:ascii="Times New Roman" w:cs="Times New Roman" w:eastAsia="Times New Roman" w:hAnsi="Times New Roman"/>
          <w:sz w:val="16"/>
          <w:szCs w:val="16"/>
          <w:b w:val="1"/>
          <w:bCs w:val="1"/>
          <w:color w:val="auto"/>
        </w:rPr>
        <w:t>Newark, CA 94560</w:t>
      </w:r>
    </w:p>
    <w:p>
      <w:pPr>
        <w:ind w:left="4720"/>
        <w:spacing w:after="0"/>
        <w:rPr>
          <w:sz w:val="20"/>
          <w:szCs w:val="20"/>
          <w:color w:val="auto"/>
        </w:rPr>
      </w:pPr>
      <w:r>
        <w:rPr>
          <w:rFonts w:ascii="Times New Roman" w:cs="Times New Roman" w:eastAsia="Times New Roman" w:hAnsi="Times New Roman"/>
          <w:sz w:val="16"/>
          <w:szCs w:val="16"/>
          <w:b w:val="1"/>
          <w:bCs w:val="1"/>
          <w:color w:val="auto"/>
        </w:rPr>
        <w:t>Telephone: (510) 648-3553</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address and telephone number, including area code, of agent for service)</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With a copy to:</w:t>
      </w:r>
    </w:p>
    <w:p>
      <w:pPr>
        <w:spacing w:after="0" w:line="235"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6"/>
          <w:szCs w:val="16"/>
          <w:b w:val="1"/>
          <w:bCs w:val="1"/>
          <w:color w:val="auto"/>
        </w:rPr>
        <w:t>Thomas J. Ivey</w:t>
      </w:r>
    </w:p>
    <w:p>
      <w:pPr>
        <w:spacing w:after="0" w:line="2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6"/>
          <w:szCs w:val="16"/>
          <w:b w:val="1"/>
          <w:bCs w:val="1"/>
          <w:color w:val="auto"/>
        </w:rPr>
        <w:t>Brian D. Paulson</w:t>
      </w:r>
    </w:p>
    <w:p>
      <w:pPr>
        <w:spacing w:after="0" w:line="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6"/>
          <w:szCs w:val="16"/>
          <w:b w:val="1"/>
          <w:bCs w:val="1"/>
          <w:color w:val="auto"/>
        </w:rPr>
        <w:t>Skadden, Arps, Slate, Meagher &amp; Flom LLP</w:t>
      </w:r>
    </w:p>
    <w:p>
      <w:pPr>
        <w:spacing w:after="0" w:line="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525 University Avenue</w:t>
      </w:r>
    </w:p>
    <w:p>
      <w:pPr>
        <w:ind w:left="4920"/>
        <w:spacing w:after="0" w:line="235" w:lineRule="auto"/>
        <w:rPr>
          <w:sz w:val="20"/>
          <w:szCs w:val="20"/>
          <w:color w:val="auto"/>
        </w:rPr>
      </w:pPr>
      <w:r>
        <w:rPr>
          <w:rFonts w:ascii="Times New Roman" w:cs="Times New Roman" w:eastAsia="Times New Roman" w:hAnsi="Times New Roman"/>
          <w:sz w:val="16"/>
          <w:szCs w:val="16"/>
          <w:b w:val="1"/>
          <w:bCs w:val="1"/>
          <w:color w:val="auto"/>
        </w:rPr>
        <w:t>Palo Alto, CA 94301</w:t>
      </w:r>
    </w:p>
    <w:p>
      <w:pPr>
        <w:jc w:val="center"/>
        <w:spacing w:after="0"/>
        <w:rPr>
          <w:sz w:val="20"/>
          <w:szCs w:val="20"/>
          <w:color w:val="auto"/>
        </w:rPr>
      </w:pPr>
      <w:r>
        <w:rPr>
          <w:rFonts w:ascii="Times New Roman" w:cs="Times New Roman" w:eastAsia="Times New Roman" w:hAnsi="Times New Roman"/>
          <w:sz w:val="16"/>
          <w:szCs w:val="16"/>
          <w:b w:val="1"/>
          <w:bCs w:val="1"/>
          <w:color w:val="auto"/>
        </w:rPr>
        <w:t>(650) 470-4522</w:t>
      </w:r>
    </w:p>
    <w:p>
      <w:pPr>
        <w:spacing w:after="0" w:line="228"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Brian K. Tomkiel</w:t>
      </w:r>
    </w:p>
    <w:p>
      <w:pPr>
        <w:ind w:left="4160"/>
        <w:spacing w:after="0" w:line="226" w:lineRule="auto"/>
        <w:rPr>
          <w:sz w:val="20"/>
          <w:szCs w:val="20"/>
          <w:color w:val="auto"/>
        </w:rPr>
      </w:pPr>
      <w:r>
        <w:rPr>
          <w:rFonts w:ascii="Times New Roman" w:cs="Times New Roman" w:eastAsia="Times New Roman" w:hAnsi="Times New Roman"/>
          <w:sz w:val="16"/>
          <w:szCs w:val="16"/>
          <w:b w:val="1"/>
          <w:bCs w:val="1"/>
          <w:color w:val="auto"/>
        </w:rPr>
        <w:t>General Counsel and Corporate Secretary</w:t>
      </w:r>
    </w:p>
    <w:p>
      <w:pPr>
        <w:ind w:left="5000"/>
        <w:spacing w:after="0"/>
        <w:rPr>
          <w:sz w:val="20"/>
          <w:szCs w:val="20"/>
          <w:color w:val="auto"/>
        </w:rPr>
      </w:pPr>
      <w:r>
        <w:rPr>
          <w:rFonts w:ascii="Times New Roman" w:cs="Times New Roman" w:eastAsia="Times New Roman" w:hAnsi="Times New Roman"/>
          <w:sz w:val="16"/>
          <w:szCs w:val="16"/>
          <w:b w:val="1"/>
          <w:bCs w:val="1"/>
          <w:color w:val="auto"/>
        </w:rPr>
        <w:t>Lucid Group, Inc.</w:t>
      </w:r>
    </w:p>
    <w:p>
      <w:pPr>
        <w:ind w:left="4760"/>
        <w:spacing w:after="0" w:line="235" w:lineRule="auto"/>
        <w:rPr>
          <w:sz w:val="20"/>
          <w:szCs w:val="20"/>
          <w:color w:val="auto"/>
        </w:rPr>
      </w:pPr>
      <w:r>
        <w:rPr>
          <w:rFonts w:ascii="Times New Roman" w:cs="Times New Roman" w:eastAsia="Times New Roman" w:hAnsi="Times New Roman"/>
          <w:sz w:val="16"/>
          <w:szCs w:val="16"/>
          <w:b w:val="1"/>
          <w:bCs w:val="1"/>
          <w:color w:val="auto"/>
        </w:rPr>
        <w:t>7373 Gateway Boulevard</w:t>
      </w:r>
    </w:p>
    <w:p>
      <w:pPr>
        <w:jc w:val="center"/>
        <w:spacing w:after="0"/>
        <w:rPr>
          <w:sz w:val="20"/>
          <w:szCs w:val="20"/>
          <w:color w:val="auto"/>
        </w:rPr>
      </w:pPr>
      <w:r>
        <w:rPr>
          <w:rFonts w:ascii="Times New Roman" w:cs="Times New Roman" w:eastAsia="Times New Roman" w:hAnsi="Times New Roman"/>
          <w:sz w:val="16"/>
          <w:szCs w:val="16"/>
          <w:b w:val="1"/>
          <w:bCs w:val="1"/>
          <w:color w:val="auto"/>
        </w:rPr>
        <w:t>Newark, CA 94560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(510) 648-3553</w:t>
      </w:r>
    </w:p>
    <w:p>
      <w:pPr>
        <w:spacing w:after="0" w:line="215" w:lineRule="exact"/>
        <w:rPr>
          <w:sz w:val="24"/>
          <w:szCs w:val="24"/>
          <w:color w:val="auto"/>
        </w:rPr>
      </w:pPr>
    </w:p>
    <w:p>
      <w:pPr>
        <w:jc w:val="both"/>
        <w:ind w:right="40"/>
        <w:spacing w:after="0" w:line="265" w:lineRule="auto"/>
        <w:rPr>
          <w:sz w:val="20"/>
          <w:szCs w:val="20"/>
          <w:color w:val="auto"/>
        </w:rPr>
      </w:pPr>
      <w:r>
        <w:rPr>
          <w:rFonts w:ascii="Times New Roman" w:cs="Times New Roman" w:eastAsia="Times New Roman" w:hAnsi="Times New Roman"/>
          <w:sz w:val="16"/>
          <w:szCs w:val="16"/>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54"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Large accelerated filer</w:t>
            </w:r>
          </w:p>
        </w:tc>
        <w:tc>
          <w:tcPr>
            <w:tcW w:w="3060" w:type="dxa"/>
            <w:vAlign w:val="bottom"/>
          </w:tcPr>
          <w:p>
            <w:pPr>
              <w:ind w:left="140"/>
              <w:spacing w:after="0"/>
              <w:rPr>
                <w:sz w:val="20"/>
                <w:szCs w:val="20"/>
                <w:color w:val="auto"/>
              </w:rPr>
            </w:pPr>
            <w:r>
              <w:rPr>
                <w:rFonts w:ascii="Wingdings" w:cs="Wingdings" w:eastAsia="Wingdings" w:hAnsi="Wingdings"/>
                <w:sz w:val="14"/>
                <w:szCs w:val="14"/>
                <w:b w:val="1"/>
                <w:bCs w:val="1"/>
                <w:color w:val="auto"/>
              </w:rPr>
              <w:t>x</w:t>
            </w:r>
          </w:p>
        </w:tc>
        <w:tc>
          <w:tcPr>
            <w:tcW w:w="4880" w:type="dxa"/>
            <w:vAlign w:val="bottom"/>
          </w:tcPr>
          <w:p>
            <w:pPr>
              <w:ind w:left="2760"/>
              <w:spacing w:after="0"/>
              <w:rPr>
                <w:sz w:val="20"/>
                <w:szCs w:val="20"/>
                <w:color w:val="auto"/>
              </w:rPr>
            </w:pPr>
            <w:r>
              <w:rPr>
                <w:rFonts w:ascii="Times New Roman" w:cs="Times New Roman" w:eastAsia="Times New Roman" w:hAnsi="Times New Roman"/>
                <w:sz w:val="16"/>
                <w:szCs w:val="16"/>
                <w:b w:val="1"/>
                <w:bCs w:val="1"/>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257"/>
        </w:trPr>
        <w:tc>
          <w:tcPr>
            <w:tcW w:w="1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Non-accelerated filer</w:t>
            </w:r>
          </w:p>
        </w:tc>
        <w:tc>
          <w:tcPr>
            <w:tcW w:w="3060" w:type="dxa"/>
            <w:vAlign w:val="bottom"/>
          </w:tcPr>
          <w:p>
            <w:pPr>
              <w:ind w:left="14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6"/>
                <w:szCs w:val="16"/>
                <w:b w:val="1"/>
                <w:bCs w:val="1"/>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17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880" w:type="dxa"/>
            <w:vAlign w:val="bottom"/>
          </w:tcPr>
          <w:p>
            <w:pPr>
              <w:ind w:left="2760"/>
              <w:spacing w:after="0"/>
              <w:rPr>
                <w:sz w:val="20"/>
                <w:szCs w:val="20"/>
                <w:color w:val="auto"/>
              </w:rPr>
            </w:pPr>
            <w:r>
              <w:rPr>
                <w:rFonts w:ascii="Times New Roman" w:cs="Times New Roman" w:eastAsia="Times New Roman" w:hAnsi="Times New Roman"/>
                <w:sz w:val="16"/>
                <w:szCs w:val="16"/>
                <w:b w:val="1"/>
                <w:bCs w:val="1"/>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200" w:lineRule="exact"/>
        <w:rPr>
          <w:sz w:val="24"/>
          <w:szCs w:val="24"/>
          <w:color w:val="auto"/>
        </w:rPr>
      </w:pPr>
    </w:p>
    <w:p>
      <w:pPr>
        <w:sectPr>
          <w:pgSz w:w="11900" w:h="16838" w:orient="portrait"/>
          <w:cols w:equalWidth="0" w:num="1">
            <w:col w:w="11240"/>
          </w:cols>
          <w:pgMar w:left="320" w:top="866" w:right="339" w:bottom="1440" w:gutter="0" w:footer="0" w:header="0"/>
        </w:sectPr>
      </w:pPr>
    </w:p>
    <w:p>
      <w:pPr>
        <w:spacing w:after="0" w:line="94" w:lineRule="exact"/>
        <w:rPr>
          <w:sz w:val="24"/>
          <w:szCs w:val="24"/>
          <w:color w:val="auto"/>
        </w:rPr>
      </w:pPr>
    </w:p>
    <w:p>
      <w:pPr>
        <w:ind w:right="420"/>
        <w:spacing w:after="0" w:line="207" w:lineRule="exact"/>
        <w:rPr>
          <w:sz w:val="20"/>
          <w:szCs w:val="20"/>
          <w:color w:val="auto"/>
        </w:rPr>
      </w:pPr>
      <w:r>
        <w:rPr>
          <w:rFonts w:ascii="Times New Roman" w:cs="Times New Roman" w:eastAsia="Times New Roman" w:hAnsi="Times New Roman"/>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56515</wp:posOffset>
            </wp:positionH>
            <wp:positionV relativeFrom="paragraph">
              <wp:posOffset>159385</wp:posOffset>
            </wp:positionV>
            <wp:extent cx="70719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889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185420</wp:posOffset>
            </wp:positionV>
            <wp:extent cx="7071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type w:val="continuous"/>
        </w:sectPr>
      </w:pPr>
    </w:p>
    <w:bookmarkStart w:id="1" w:name="page2"/>
    <w:bookmarkEnd w:id="1"/>
    <w:p>
      <w:pPr>
        <w:ind w:right="520" w:firstLine="382"/>
        <w:spacing w:after="0" w:line="252" w:lineRule="auto"/>
        <w:rPr>
          <w:sz w:val="20"/>
          <w:szCs w:val="20"/>
          <w:color w:val="auto"/>
        </w:rPr>
      </w:pPr>
      <w:r>
        <w:rPr>
          <w:rFonts w:ascii="Times New Roman" w:cs="Times New Roman" w:eastAsia="Times New Roman" w:hAnsi="Times New Roman"/>
          <w:sz w:val="16"/>
          <w:szCs w:val="16"/>
          <w:color w:val="auto"/>
        </w:rPr>
        <w:t>Lucid Group, Inc. (the “</w:t>
      </w:r>
      <w:r>
        <w:rPr>
          <w:rFonts w:ascii="Times New Roman" w:cs="Times New Roman" w:eastAsia="Times New Roman" w:hAnsi="Times New Roman"/>
          <w:sz w:val="16"/>
          <w:szCs w:val="16"/>
          <w:u w:val="single" w:color="auto"/>
          <w:color w:val="auto"/>
        </w:rPr>
        <w:t>Registrant</w:t>
      </w:r>
      <w:r>
        <w:rPr>
          <w:rFonts w:ascii="Times New Roman" w:cs="Times New Roman" w:eastAsia="Times New Roman" w:hAnsi="Times New Roman"/>
          <w:sz w:val="16"/>
          <w:szCs w:val="16"/>
          <w:color w:val="auto"/>
        </w:rPr>
        <w:t>”) is filing this Registration Statement with the Securities and Exchange Commission (the “</w:t>
      </w:r>
      <w:r>
        <w:rPr>
          <w:rFonts w:ascii="Times New Roman" w:cs="Times New Roman" w:eastAsia="Times New Roman" w:hAnsi="Times New Roman"/>
          <w:sz w:val="16"/>
          <w:szCs w:val="16"/>
          <w:u w:val="single" w:color="auto"/>
          <w:color w:val="auto"/>
        </w:rPr>
        <w:t>Commission</w:t>
      </w:r>
      <w:r>
        <w:rPr>
          <w:rFonts w:ascii="Times New Roman" w:cs="Times New Roman" w:eastAsia="Times New Roman" w:hAnsi="Times New Roman"/>
          <w:sz w:val="16"/>
          <w:szCs w:val="16"/>
          <w:color w:val="auto"/>
        </w:rPr>
        <w:t>”) to register (i) an additional 23,500,000 shares of Class A common stock, $0.0001 par value per share (the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 issuable to eligible persons under the Lucid Group, Inc. Amended and Restated 2021 Stock Incentive Plan (the “</w:t>
      </w:r>
      <w:r>
        <w:rPr>
          <w:rFonts w:ascii="Times New Roman" w:cs="Times New Roman" w:eastAsia="Times New Roman" w:hAnsi="Times New Roman"/>
          <w:sz w:val="16"/>
          <w:szCs w:val="16"/>
          <w:u w:val="single" w:color="auto"/>
          <w:color w:val="auto"/>
        </w:rPr>
        <w:t>Incentive Plan</w:t>
      </w:r>
      <w:r>
        <w:rPr>
          <w:rFonts w:ascii="Times New Roman" w:cs="Times New Roman" w:eastAsia="Times New Roman" w:hAnsi="Times New Roman"/>
          <w:sz w:val="16"/>
          <w:szCs w:val="16"/>
          <w:color w:val="auto"/>
        </w:rPr>
        <w:t>”) and (ii) an additional 97,807 shares of Common Stock issuable to eligible persons under the Incentive Plan by reason of the recycling provisions of Section 5 of the Incentive Plan.</w:t>
      </w:r>
    </w:p>
    <w:p>
      <w:pPr>
        <w:spacing w:after="0" w:line="199" w:lineRule="exact"/>
        <w:rPr>
          <w:sz w:val="20"/>
          <w:szCs w:val="20"/>
          <w:color w:val="auto"/>
        </w:rPr>
      </w:pPr>
    </w:p>
    <w:p>
      <w:pPr>
        <w:ind w:right="80" w:firstLine="381"/>
        <w:spacing w:after="0" w:line="263" w:lineRule="auto"/>
        <w:rPr>
          <w:rFonts w:ascii="Times New Roman" w:cs="Times New Roman" w:eastAsia="Times New Roman" w:hAnsi="Times New Roman"/>
          <w:sz w:val="16"/>
          <w:szCs w:val="16"/>
          <w:color w:val="0000FF"/>
        </w:rPr>
      </w:pPr>
      <w:hyperlink r:id="rId12">
        <w:r>
          <w:rPr>
            <w:rFonts w:ascii="Times New Roman" w:cs="Times New Roman" w:eastAsia="Times New Roman" w:hAnsi="Times New Roman"/>
            <w:sz w:val="16"/>
            <w:szCs w:val="16"/>
            <w:color w:val="auto"/>
          </w:rPr>
          <w:t xml:space="preserve">The Registrant previously filed with the Commission registration statements on Form S-8 (File Nos. </w:t>
        </w:r>
        <w:r>
          <w:rPr>
            <w:rFonts w:ascii="Times New Roman" w:cs="Times New Roman" w:eastAsia="Times New Roman" w:hAnsi="Times New Roman"/>
            <w:sz w:val="16"/>
            <w:szCs w:val="16"/>
            <w:u w:val="single" w:color="auto"/>
            <w:color w:val="0000FF"/>
          </w:rPr>
          <w:t>333-259794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333-265734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333-271725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333-279973</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0000FF"/>
          </w:rPr>
          <w:t>333-</w:t>
        </w:r>
      </w:hyperlink>
      <w:hyperlink r:id="rId12">
        <w:r>
          <w:rPr>
            <w:rFonts w:ascii="Times New Roman" w:cs="Times New Roman" w:eastAsia="Times New Roman" w:hAnsi="Times New Roman"/>
            <w:sz w:val="16"/>
            <w:szCs w:val="16"/>
            <w:u w:val="single" w:color="auto"/>
            <w:color w:val="0000FF"/>
          </w:rPr>
          <w:t>287846</w:t>
        </w:r>
        <w:r>
          <w:rPr>
            <w:rFonts w:ascii="Times New Roman" w:cs="Times New Roman" w:eastAsia="Times New Roman" w:hAnsi="Times New Roman"/>
            <w:sz w:val="16"/>
            <w:szCs w:val="16"/>
            <w:color w:val="000000"/>
          </w:rPr>
          <w:t>) (the “Prior Registration Statements”). This Registration Statement relates to securities of the same class as those to which the Prior Registration Statements relate.</w:t>
        </w:r>
      </w:hyperlink>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Pursuant to General Instruction E of Form S-8, the contents of the Prior Registration Statements are incorporated herein by reference, including all attachments and exhibits thereto, except to the extent supplemented, amended or superseded by the information set forth herein.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2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6"/>
          <w:szCs w:val="16"/>
          <w:b w:val="1"/>
          <w:bCs w:val="1"/>
          <w:color w:val="auto"/>
        </w:rPr>
        <w:t>INFORMATION REQUIRED IN THE REGISTRATION STATEMENT</w:t>
      </w:r>
    </w:p>
    <w:p>
      <w:pPr>
        <w:spacing w:after="0" w:line="2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b w:val="1"/>
          <w:bCs w:val="1"/>
          <w:color w:val="auto"/>
        </w:rPr>
        <w:t>Item 3. Incorporation of Documents by Reference.</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following documents are incorporated herein by reference:</w:t>
      </w:r>
    </w:p>
    <w:p>
      <w:pPr>
        <w:spacing w:after="0" w:line="113"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Registrant’s Annual Report on Form 10-K for the year ended December 31, 2025, as filed with the Commission on </w:t>
      </w:r>
      <w:hyperlink r:id="rId13">
        <w:r>
          <w:rPr>
            <w:rFonts w:ascii="Times New Roman" w:cs="Times New Roman" w:eastAsia="Times New Roman" w:hAnsi="Times New Roman"/>
            <w:sz w:val="16"/>
            <w:szCs w:val="16"/>
            <w:u w:val="single" w:color="auto"/>
            <w:color w:val="0000FF"/>
          </w:rPr>
          <w:t>February 24, 2026</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(the “Annual Report”);</w:t>
      </w:r>
    </w:p>
    <w:p>
      <w:pPr>
        <w:spacing w:after="0" w:line="126" w:lineRule="exact"/>
        <w:rPr>
          <w:rFonts w:ascii="Times New Roman" w:cs="Times New Roman" w:eastAsia="Times New Roman" w:hAnsi="Times New Roman"/>
          <w:sz w:val="16"/>
          <w:szCs w:val="16"/>
          <w:color w:val="auto"/>
        </w:rPr>
      </w:pPr>
    </w:p>
    <w:p>
      <w:pPr>
        <w:ind w:left="660" w:right="120" w:hanging="328"/>
        <w:spacing w:after="0" w:line="280" w:lineRule="auto"/>
        <w:tabs>
          <w:tab w:leader="none" w:pos="6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portions of the Registrant’s Definitive Proxy Statement on Schedule 14A, as filed with the Commission on </w:t>
      </w:r>
      <w:hyperlink r:id="rId14">
        <w:r>
          <w:rPr>
            <w:rFonts w:ascii="Times New Roman" w:cs="Times New Roman" w:eastAsia="Times New Roman" w:hAnsi="Times New Roman"/>
            <w:sz w:val="16"/>
            <w:szCs w:val="16"/>
            <w:u w:val="single" w:color="auto"/>
            <w:color w:val="0000FF"/>
          </w:rPr>
          <w:t>April 23, 2026</w:t>
        </w:r>
      </w:hyperlink>
      <w:r>
        <w:rPr>
          <w:rFonts w:ascii="Times New Roman" w:cs="Times New Roman" w:eastAsia="Times New Roman" w:hAnsi="Times New Roman"/>
          <w:sz w:val="16"/>
          <w:szCs w:val="16"/>
          <w:color w:val="auto"/>
        </w:rPr>
        <w:t>, that are incorporated by reference into the Annual Report;</w:t>
      </w:r>
    </w:p>
    <w:p>
      <w:pPr>
        <w:spacing w:after="0" w:line="56"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Registrant’s Quarterly Report on Form 10-Q for the quarter ended March 31, 2026, as filed with the Commission on </w:t>
      </w:r>
      <w:hyperlink r:id="rId15">
        <w:r>
          <w:rPr>
            <w:rFonts w:ascii="Times New Roman" w:cs="Times New Roman" w:eastAsia="Times New Roman" w:hAnsi="Times New Roman"/>
            <w:sz w:val="16"/>
            <w:szCs w:val="16"/>
            <w:u w:val="single" w:color="auto"/>
            <w:color w:val="0000FF"/>
          </w:rPr>
          <w:t>May 5, 2026</w:t>
        </w:r>
      </w:hyperlink>
      <w:r>
        <w:rPr>
          <w:rFonts w:ascii="Times New Roman" w:cs="Times New Roman" w:eastAsia="Times New Roman" w:hAnsi="Times New Roman"/>
          <w:sz w:val="16"/>
          <w:szCs w:val="16"/>
          <w:color w:val="auto"/>
        </w:rPr>
        <w:t>;</w:t>
      </w:r>
    </w:p>
    <w:p>
      <w:pPr>
        <w:spacing w:after="0" w:line="126" w:lineRule="exact"/>
        <w:rPr>
          <w:rFonts w:ascii="Times New Roman" w:cs="Times New Roman" w:eastAsia="Times New Roman" w:hAnsi="Times New Roman"/>
          <w:sz w:val="16"/>
          <w:szCs w:val="16"/>
          <w:color w:val="auto"/>
        </w:rPr>
      </w:pPr>
    </w:p>
    <w:p>
      <w:pPr>
        <w:jc w:val="both"/>
        <w:ind w:left="660" w:right="220" w:hanging="328"/>
        <w:spacing w:after="0" w:line="272" w:lineRule="auto"/>
        <w:tabs>
          <w:tab w:leader="none" w:pos="660" w:val="left"/>
        </w:tabs>
        <w:numPr>
          <w:ilvl w:val="0"/>
          <w:numId w:val="1"/>
        </w:numPr>
        <w:rPr>
          <w:rFonts w:ascii="Times New Roman" w:cs="Times New Roman" w:eastAsia="Times New Roman" w:hAnsi="Times New Roman"/>
          <w:sz w:val="16"/>
          <w:szCs w:val="16"/>
          <w:color w:val="0000FF"/>
        </w:rPr>
      </w:pPr>
      <w:hyperlink r:id="rId16">
        <w:r>
          <w:rPr>
            <w:rFonts w:ascii="Times New Roman" w:cs="Times New Roman" w:eastAsia="Times New Roman" w:hAnsi="Times New Roman"/>
            <w:sz w:val="16"/>
            <w:szCs w:val="16"/>
            <w:color w:val="auto"/>
          </w:rPr>
          <w:t xml:space="preserve">The Registrant’s Current Reports on Form 8-K, as filed with the Commission on </w:t>
        </w:r>
        <w:r>
          <w:rPr>
            <w:rFonts w:ascii="Times New Roman" w:cs="Times New Roman" w:eastAsia="Times New Roman" w:hAnsi="Times New Roman"/>
            <w:sz w:val="16"/>
            <w:szCs w:val="16"/>
            <w:u w:val="single" w:color="auto"/>
            <w:color w:val="3051F2"/>
          </w:rPr>
          <w:t>January 23, 2026</w:t>
        </w:r>
        <w:r>
          <w:rPr>
            <w:rFonts w:ascii="Times New Roman" w:cs="Times New Roman" w:eastAsia="Times New Roman" w:hAnsi="Times New Roman"/>
            <w:sz w:val="16"/>
            <w:szCs w:val="16"/>
            <w:color w:val="3051F2"/>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3051F2"/>
          </w:rPr>
          <w:t>February 24, 2026</w:t>
        </w:r>
        <w:r>
          <w:rPr>
            <w:rFonts w:ascii="Times New Roman" w:cs="Times New Roman" w:eastAsia="Times New Roman" w:hAnsi="Times New Roman"/>
            <w:sz w:val="16"/>
            <w:szCs w:val="16"/>
            <w:color w:val="3051F2"/>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3051F2"/>
          </w:rPr>
          <w:t>April 14, 2026</w:t>
        </w:r>
        <w:r>
          <w:rPr>
            <w:rFonts w:ascii="Times New Roman" w:cs="Times New Roman" w:eastAsia="Times New Roman" w:hAnsi="Times New Roman"/>
            <w:sz w:val="16"/>
            <w:szCs w:val="16"/>
            <w:color w:val="3051F2"/>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3051F2"/>
          </w:rPr>
          <w:t>A</w:t>
        </w:r>
        <w:r>
          <w:rPr>
            <w:rFonts w:ascii="Times New Roman" w:cs="Times New Roman" w:eastAsia="Times New Roman" w:hAnsi="Times New Roman"/>
            <w:sz w:val="16"/>
            <w:szCs w:val="16"/>
            <w:u w:val="single" w:color="auto"/>
            <w:color w:val="0000FF"/>
          </w:rPr>
          <w:t>pril 14, 2026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April 14,</w:t>
        </w:r>
      </w:hyperlink>
      <w:r>
        <w:rPr>
          <w:rFonts w:ascii="Times New Roman" w:cs="Times New Roman" w:eastAsia="Times New Roman" w:hAnsi="Times New Roman"/>
          <w:sz w:val="16"/>
          <w:szCs w:val="16"/>
          <w:color w:val="auto"/>
        </w:rPr>
        <w:t xml:space="preserve"> </w:t>
      </w:r>
      <w:hyperlink r:id="rId16">
        <w:r>
          <w:rPr>
            <w:rFonts w:ascii="Times New Roman" w:cs="Times New Roman" w:eastAsia="Times New Roman" w:hAnsi="Times New Roman"/>
            <w:sz w:val="16"/>
            <w:szCs w:val="16"/>
            <w:u w:val="single" w:color="auto"/>
            <w:color w:val="0000FF"/>
          </w:rPr>
          <w:t>2026</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hyperlink>
      <w:hyperlink r:id="rId17">
        <w:r>
          <w:rPr>
            <w:rFonts w:ascii="Times New Roman" w:cs="Times New Roman" w:eastAsia="Times New Roman" w:hAnsi="Times New Roman"/>
            <w:sz w:val="16"/>
            <w:szCs w:val="16"/>
            <w:u w:val="single" w:color="auto"/>
            <w:color w:val="0000FF"/>
          </w:rPr>
          <w:t>April 29, 2026</w:t>
        </w:r>
      </w:hyperlink>
      <w:hyperlink r:id="rId16">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FF"/>
          </w:rPr>
          <w:t xml:space="preserve"> </w:t>
        </w:r>
      </w:hyperlink>
      <w:hyperlink r:id="rId18">
        <w:r>
          <w:rPr>
            <w:rFonts w:ascii="Times New Roman" w:cs="Times New Roman" w:eastAsia="Times New Roman" w:hAnsi="Times New Roman"/>
            <w:sz w:val="16"/>
            <w:szCs w:val="16"/>
            <w:u w:val="single" w:color="auto"/>
            <w:color w:val="0000FF"/>
          </w:rPr>
          <w:t xml:space="preserve">June 1, 2026 </w:t>
        </w:r>
      </w:hyperlink>
      <w:hyperlink r:id="rId16">
        <w:r>
          <w:rPr>
            <w:rFonts w:ascii="Times New Roman" w:cs="Times New Roman" w:eastAsia="Times New Roman" w:hAnsi="Times New Roman"/>
            <w:sz w:val="16"/>
            <w:szCs w:val="16"/>
            <w:color w:val="000000"/>
          </w:rPr>
          <w:t>and</w:t>
        </w:r>
        <w:r>
          <w:rPr>
            <w:rFonts w:ascii="Times New Roman" w:cs="Times New Roman" w:eastAsia="Times New Roman" w:hAnsi="Times New Roman"/>
            <w:sz w:val="16"/>
            <w:szCs w:val="16"/>
            <w:color w:val="0000FF"/>
          </w:rPr>
          <w:t xml:space="preserve"> </w:t>
        </w:r>
      </w:hyperlink>
      <w:hyperlink r:id="rId19">
        <w:r>
          <w:rPr>
            <w:rFonts w:ascii="Times New Roman" w:cs="Times New Roman" w:eastAsia="Times New Roman" w:hAnsi="Times New Roman"/>
            <w:sz w:val="16"/>
            <w:szCs w:val="16"/>
            <w:u w:val="single" w:color="auto"/>
            <w:color w:val="0000FF"/>
          </w:rPr>
          <w:t xml:space="preserve">June 5, 2026 </w:t>
        </w:r>
      </w:hyperlink>
      <w:hyperlink r:id="rId16">
        <w:r>
          <w:rPr>
            <w:rFonts w:ascii="Times New Roman" w:cs="Times New Roman" w:eastAsia="Times New Roman" w:hAnsi="Times New Roman"/>
            <w:sz w:val="16"/>
            <w:szCs w:val="16"/>
            <w:color w:val="000000"/>
          </w:rPr>
          <w:t>(except for any portions of such Current Reports on Form 8-K furnished pursuant to Item 2.02 and/or Item</w:t>
        </w:r>
      </w:hyperlink>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7.01 thereof and any corresponding exhibits thereto not filed with the Commission); and</w:t>
      </w:r>
    </w:p>
    <w:p>
      <w:pPr>
        <w:spacing w:after="0" w:line="62" w:lineRule="exact"/>
        <w:rPr>
          <w:rFonts w:ascii="Times New Roman" w:cs="Times New Roman" w:eastAsia="Times New Roman" w:hAnsi="Times New Roman"/>
          <w:sz w:val="16"/>
          <w:szCs w:val="16"/>
          <w:color w:val="0000FF"/>
        </w:rPr>
      </w:pPr>
    </w:p>
    <w:p>
      <w:pPr>
        <w:ind w:left="660" w:right="100" w:hanging="328"/>
        <w:spacing w:after="0" w:line="280" w:lineRule="auto"/>
        <w:tabs>
          <w:tab w:leader="none" w:pos="651"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description of the Registrant’s capital stock which is contained in </w:t>
      </w:r>
      <w:hyperlink r:id="rId20">
        <w:r>
          <w:rPr>
            <w:rFonts w:ascii="Times New Roman" w:cs="Times New Roman" w:eastAsia="Times New Roman" w:hAnsi="Times New Roman"/>
            <w:sz w:val="16"/>
            <w:szCs w:val="16"/>
            <w:u w:val="single" w:color="auto"/>
            <w:color w:val="0000FF"/>
          </w:rPr>
          <w:t>Exhibit 4.10</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of the Annual Report, including any amendment or report filed for the purpose of updating such description.</w:t>
      </w:r>
    </w:p>
    <w:p>
      <w:pPr>
        <w:spacing w:after="0" w:line="178" w:lineRule="exact"/>
        <w:rPr>
          <w:rFonts w:ascii="Times New Roman" w:cs="Times New Roman" w:eastAsia="Times New Roman" w:hAnsi="Times New Roman"/>
          <w:sz w:val="16"/>
          <w:szCs w:val="16"/>
          <w:color w:val="0000FF"/>
        </w:rPr>
      </w:pPr>
    </w:p>
    <w:p>
      <w:pPr>
        <w:ind w:firstLine="381"/>
        <w:spacing w:after="0" w:line="258" w:lineRule="auto"/>
        <w:rPr>
          <w:sz w:val="20"/>
          <w:szCs w:val="20"/>
          <w:color w:val="auto"/>
        </w:rPr>
      </w:pPr>
      <w:r>
        <w:rPr>
          <w:rFonts w:ascii="Times New Roman" w:cs="Times New Roman" w:eastAsia="Times New Roman" w:hAnsi="Times New Roman"/>
          <w:sz w:val="16"/>
          <w:szCs w:val="16"/>
          <w:color w:val="auto"/>
        </w:rPr>
        <w:t>All documents filed by the Registrant pursuant to Sections 13(a), 13(c), 14 or 15(d) of the Securities Exchange Act of 1934, as amended (the “</w:t>
      </w:r>
      <w:r>
        <w:rPr>
          <w:rFonts w:ascii="Times New Roman" w:cs="Times New Roman" w:eastAsia="Times New Roman" w:hAnsi="Times New Roman"/>
          <w:sz w:val="16"/>
          <w:szCs w:val="16"/>
          <w:u w:val="single" w:color="auto"/>
          <w:color w:val="auto"/>
        </w:rPr>
        <w:t>Exchan</w:t>
      </w:r>
      <w:r>
        <w:rPr>
          <w:rFonts w:ascii="Times New Roman" w:cs="Times New Roman" w:eastAsia="Times New Roman" w:hAnsi="Times New Roman"/>
          <w:sz w:val="16"/>
          <w:szCs w:val="16"/>
          <w:color w:val="auto"/>
        </w:rPr>
        <w:t xml:space="preserve">ge </w:t>
      </w:r>
      <w:r>
        <w:rPr>
          <w:rFonts w:ascii="Times New Roman" w:cs="Times New Roman" w:eastAsia="Times New Roman" w:hAnsi="Times New Roman"/>
          <w:sz w:val="16"/>
          <w:szCs w:val="16"/>
          <w:u w:val="single" w:color="auto"/>
          <w:color w:val="auto"/>
        </w:rPr>
        <w:t>Act</w:t>
      </w:r>
      <w:r>
        <w:rPr>
          <w:rFonts w:ascii="Times New Roman" w:cs="Times New Roman" w:eastAsia="Times New Roman" w:hAnsi="Times New Roman"/>
          <w:sz w:val="16"/>
          <w:szCs w:val="16"/>
          <w:color w:val="auto"/>
        </w:rPr>
        <w:t>”) after the date of this Registration Statement and prior to the filing of a post-effective amendment that indicates that all securities offered hereby have been sold or which deregisters all securities then remaining unsold, are incorporated by reference in this Registration Statement and are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ectPr>
          <w:pgSz w:w="11900" w:h="16838" w:orient="portrait"/>
          <w:cols w:equalWidth="0" w:num="1">
            <w:col w:w="11240"/>
          </w:cols>
          <w:pgMar w:left="320" w:top="97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2"/>
        </w:trPr>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8. Exhibits.</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33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000" w:type="dxa"/>
            <w:vAlign w:val="bottom"/>
            <w:vMerge w:val="restart"/>
          </w:tcPr>
          <w:p>
            <w:pPr>
              <w:ind w:left="2200"/>
              <w:spacing w:after="0"/>
              <w:rPr>
                <w:sz w:val="20"/>
                <w:szCs w:val="20"/>
                <w:color w:val="auto"/>
              </w:rPr>
            </w:pPr>
            <w:r>
              <w:rPr>
                <w:rFonts w:ascii="Times New Roman" w:cs="Times New Roman" w:eastAsia="Times New Roman" w:hAnsi="Times New Roman"/>
                <w:sz w:val="16"/>
                <w:szCs w:val="16"/>
                <w:b w:val="1"/>
                <w:bCs w:val="1"/>
                <w:color w:val="auto"/>
                <w:w w:val="98"/>
              </w:rPr>
              <w:t>Description</w:t>
            </w:r>
          </w:p>
        </w:tc>
        <w:tc>
          <w:tcPr>
            <w:tcW w:w="0" w:type="dxa"/>
            <w:vAlign w:val="bottom"/>
          </w:tcPr>
          <w:p>
            <w:pPr>
              <w:spacing w:after="0"/>
              <w:rPr>
                <w:sz w:val="1"/>
                <w:szCs w:val="1"/>
                <w:color w:val="auto"/>
              </w:rPr>
            </w:pPr>
          </w:p>
        </w:tc>
      </w:tr>
      <w:tr>
        <w:trPr>
          <w:trHeight w:val="212"/>
        </w:trPr>
        <w:tc>
          <w:tcPr>
            <w:tcW w:w="3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2540</wp:posOffset>
            </wp:positionV>
            <wp:extent cx="7123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13" w:lineRule="exact"/>
        <w:rPr>
          <w:sz w:val="20"/>
          <w:szCs w:val="20"/>
          <w:color w:val="auto"/>
        </w:rPr>
      </w:pPr>
    </w:p>
    <w:p>
      <w:pPr>
        <w:ind w:left="220"/>
        <w:spacing w:after="0"/>
        <w:tabs>
          <w:tab w:leader="none" w:pos="80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u w:val="single" w:color="auto"/>
          <w:color w:val="0000FF"/>
        </w:rPr>
        <w:t>Opinion of Skadden, Arps, Slate, Meagher &amp; Flom LLP (filed herewith)</w:t>
      </w:r>
    </w:p>
    <w:p>
      <w:pPr>
        <w:spacing w:after="0" w:line="248"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6"/>
          <w:szCs w:val="16"/>
          <w:color w:val="auto"/>
        </w:rPr>
        <w:t>23.1</w:t>
      </w:r>
      <w:r>
        <w:rPr>
          <w:sz w:val="20"/>
          <w:szCs w:val="20"/>
          <w:color w:val="auto"/>
        </w:rPr>
        <w:tab/>
      </w:r>
      <w:r>
        <w:rPr>
          <w:rFonts w:ascii="Times New Roman" w:cs="Times New Roman" w:eastAsia="Times New Roman" w:hAnsi="Times New Roman"/>
          <w:sz w:val="16"/>
          <w:szCs w:val="16"/>
          <w:u w:val="single" w:color="auto"/>
          <w:color w:val="0000FF"/>
        </w:rPr>
        <w:t>Consent of KPMG LLP (filed herewith)</w:t>
      </w:r>
    </w:p>
    <w:p>
      <w:pPr>
        <w:spacing w:after="0" w:line="248"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6"/>
          <w:szCs w:val="16"/>
          <w:color w:val="auto"/>
        </w:rPr>
        <w:t>23.2</w:t>
      </w:r>
      <w:r>
        <w:rPr>
          <w:sz w:val="20"/>
          <w:szCs w:val="20"/>
          <w:color w:val="auto"/>
        </w:rPr>
        <w:tab/>
      </w:r>
      <w:r>
        <w:rPr>
          <w:rFonts w:ascii="Times New Roman" w:cs="Times New Roman" w:eastAsia="Times New Roman" w:hAnsi="Times New Roman"/>
          <w:sz w:val="16"/>
          <w:szCs w:val="16"/>
          <w:u w:val="single" w:color="auto"/>
          <w:color w:val="0000FF"/>
        </w:rPr>
        <w:t>Consent of Skadden, Arps, Slate, Meagher &amp; Flom LLP (included in Exhibit 5.1)</w:t>
      </w:r>
    </w:p>
    <w:p>
      <w:pPr>
        <w:spacing w:after="0" w:line="248"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6"/>
          <w:szCs w:val="16"/>
          <w:color w:val="auto"/>
        </w:rPr>
        <w:t>24.1</w:t>
      </w:r>
      <w:r>
        <w:rPr>
          <w:sz w:val="20"/>
          <w:szCs w:val="20"/>
          <w:color w:val="auto"/>
        </w:rPr>
        <w:tab/>
      </w:r>
      <w:r>
        <w:rPr>
          <w:rFonts w:ascii="Times New Roman" w:cs="Times New Roman" w:eastAsia="Times New Roman" w:hAnsi="Times New Roman"/>
          <w:sz w:val="16"/>
          <w:szCs w:val="16"/>
          <w:u w:val="single" w:color="auto"/>
          <w:color w:val="0000FF"/>
        </w:rPr>
        <w:t>Power of Attorney (included in signature page hereof)</w:t>
      </w:r>
    </w:p>
    <w:p>
      <w:pPr>
        <w:spacing w:after="0" w:line="248" w:lineRule="exact"/>
        <w:rPr>
          <w:sz w:val="20"/>
          <w:szCs w:val="20"/>
          <w:color w:val="auto"/>
        </w:rPr>
      </w:pPr>
    </w:p>
    <w:p>
      <w:pPr>
        <w:ind w:left="820"/>
        <w:spacing w:after="0" w:line="223" w:lineRule="auto"/>
        <w:rPr>
          <w:rFonts w:ascii="Times New Roman" w:cs="Times New Roman" w:eastAsia="Times New Roman" w:hAnsi="Times New Roman"/>
          <w:sz w:val="16"/>
          <w:szCs w:val="16"/>
          <w:u w:val="single" w:color="auto"/>
          <w:color w:val="0000FF"/>
        </w:rPr>
      </w:pPr>
      <w:hyperlink r:id="rId22">
        <w:r>
          <w:rPr>
            <w:rFonts w:ascii="Times New Roman" w:cs="Times New Roman" w:eastAsia="Times New Roman" w:hAnsi="Times New Roman"/>
            <w:sz w:val="16"/>
            <w:szCs w:val="16"/>
            <w:u w:val="single" w:color="auto"/>
            <w:color w:val="0000FF"/>
          </w:rPr>
          <w:t>Lucid Group, Inc. Amended and Restated 2021 Stock Incentive Plan (including the Lucid Group, Inc. Amended and Restated 2021 Employee Stock Purchase</w:t>
        </w:r>
      </w:hyperlink>
      <w:r>
        <w:rPr>
          <w:rFonts w:ascii="Times New Roman" w:cs="Times New Roman" w:eastAsia="Times New Roman" w:hAnsi="Times New Roman"/>
          <w:sz w:val="16"/>
          <w:szCs w:val="16"/>
          <w:u w:val="single" w:color="auto"/>
          <w:color w:val="0000FF"/>
        </w:rPr>
        <w:t xml:space="preserve"> </w:t>
      </w:r>
      <w:hyperlink r:id="rId22">
        <w:r>
          <w:rPr>
            <w:rFonts w:ascii="Times New Roman" w:cs="Times New Roman" w:eastAsia="Times New Roman" w:hAnsi="Times New Roman"/>
            <w:sz w:val="16"/>
            <w:szCs w:val="16"/>
            <w:u w:val="single" w:color="auto"/>
            <w:color w:val="0000FF"/>
          </w:rPr>
          <w:t>Plan, attached thereto) (previously filed as Annex A to the Registrant’s Definitive Proxy Statement on Schedule 14A filed with the Commission on April 23,</w:t>
        </w:r>
      </w:hyperlink>
    </w:p>
    <w:p>
      <w:pPr>
        <w:ind w:left="180"/>
        <w:spacing w:after="0"/>
        <w:tabs>
          <w:tab w:leader="none" w:pos="80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6"/>
          <w:szCs w:val="16"/>
          <w:color w:val="auto"/>
        </w:rPr>
        <w:t>99.1</w:t>
      </w:r>
      <w:r>
        <w:rPr>
          <w:sz w:val="20"/>
          <w:szCs w:val="20"/>
          <w:color w:val="auto"/>
        </w:rPr>
        <w:tab/>
      </w:r>
      <w:hyperlink r:id="rId22">
        <w:r>
          <w:rPr>
            <w:rFonts w:ascii="Times New Roman" w:cs="Times New Roman" w:eastAsia="Times New Roman" w:hAnsi="Times New Roman"/>
            <w:sz w:val="16"/>
            <w:szCs w:val="16"/>
            <w:u w:val="single" w:color="auto"/>
            <w:color w:val="0000FF"/>
          </w:rPr>
          <w:t>2026 and incorporated herein by reference).</w:t>
        </w:r>
      </w:hyperlink>
    </w:p>
    <w:p>
      <w:pPr>
        <w:spacing w:after="0" w:line="230" w:lineRule="exact"/>
        <w:rPr>
          <w:sz w:val="20"/>
          <w:szCs w:val="20"/>
          <w:color w:val="auto"/>
        </w:rPr>
      </w:pPr>
    </w:p>
    <w:p>
      <w:pPr>
        <w:ind w:left="820" w:hanging="629"/>
        <w:spacing w:after="0"/>
        <w:tabs>
          <w:tab w:leader="none" w:pos="8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Filing Fee Table</w:t>
      </w:r>
    </w:p>
    <w:p>
      <w:pPr>
        <w:sectPr>
          <w:pgSz w:w="11900" w:h="16838" w:orient="portrait"/>
          <w:cols w:equalWidth="0" w:num="1">
            <w:col w:w="11060"/>
          </w:cols>
          <w:pgMar w:left="420" w:top="988" w:right="4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Newark, State of California on the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xml:space="preserve"> day of June 2026</w:t>
      </w:r>
      <w:r>
        <w:rPr>
          <w:rFonts w:ascii="Times New Roman" w:cs="Times New Roman" w:eastAsia="Times New Roman" w:hAnsi="Times New Roman"/>
          <w:sz w:val="16"/>
          <w:szCs w:val="16"/>
          <w:b w:val="1"/>
          <w:bCs w:val="1"/>
          <w:color w:val="auto"/>
        </w:rPr>
        <w:t>.</w:t>
      </w:r>
    </w:p>
    <w:p>
      <w:pPr>
        <w:spacing w:after="0" w:line="15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b w:val="1"/>
          <w:bCs w:val="1"/>
          <w:color w:val="auto"/>
        </w:rPr>
        <w:t>LUCID GROUP, INC.</w:t>
      </w:r>
    </w:p>
    <w:p>
      <w:pPr>
        <w:spacing w:after="0" w:line="264" w:lineRule="exact"/>
        <w:rPr>
          <w:sz w:val="20"/>
          <w:szCs w:val="20"/>
          <w:color w:val="auto"/>
        </w:rPr>
      </w:pPr>
    </w:p>
    <w:p>
      <w:pPr>
        <w:ind w:left="7980"/>
        <w:spacing w:after="0"/>
        <w:tabs>
          <w:tab w:leader="none" w:pos="8320" w:val="left"/>
        </w:tabs>
        <w:rPr>
          <w:sz w:val="20"/>
          <w:szCs w:val="20"/>
          <w:color w:val="auto"/>
        </w:rPr>
      </w:pPr>
      <w:r>
        <w:rPr>
          <w:rFonts w:ascii="Times New Roman" w:cs="Times New Roman" w:eastAsia="Times New Roman" w:hAnsi="Times New Roman"/>
          <w:sz w:val="16"/>
          <w:szCs w:val="16"/>
          <w:color w:val="auto"/>
        </w:rPr>
        <w:t>By:</w:t>
        <w:tab/>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29210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9" w:lineRule="exact"/>
        <w:rPr>
          <w:sz w:val="20"/>
          <w:szCs w:val="20"/>
          <w:color w:val="auto"/>
        </w:rPr>
      </w:pPr>
    </w:p>
    <w:p>
      <w:pPr>
        <w:ind w:left="8340"/>
        <w:spacing w:after="0"/>
        <w:tabs>
          <w:tab w:leader="none" w:pos="8900" w:val="left"/>
        </w:tabs>
        <w:rPr>
          <w:sz w:val="20"/>
          <w:szCs w:val="20"/>
          <w:color w:val="auto"/>
        </w:rPr>
      </w:pPr>
      <w:r>
        <w:rPr>
          <w:rFonts w:ascii="Times New Roman" w:cs="Times New Roman" w:eastAsia="Times New Roman" w:hAnsi="Times New Roman"/>
          <w:sz w:val="16"/>
          <w:szCs w:val="16"/>
          <w:color w:val="auto"/>
        </w:rPr>
        <w:t>Name:</w:t>
        <w:tab/>
        <w:t>Taoufiq Boussaid</w:t>
      </w:r>
    </w:p>
    <w:p>
      <w:pPr>
        <w:spacing w:after="0" w:line="46" w:lineRule="exact"/>
        <w:rPr>
          <w:sz w:val="20"/>
          <w:szCs w:val="20"/>
          <w:color w:val="auto"/>
        </w:rPr>
      </w:pPr>
    </w:p>
    <w:p>
      <w:pPr>
        <w:ind w:left="8340"/>
        <w:spacing w:after="0"/>
        <w:tabs>
          <w:tab w:leader="none" w:pos="890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hereby constitutes and appoints Silvio Napoli and Taoufiq Boussaid,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Pursuant to the requirements of the Securities Act of 1933, this Registration Statement has been signed by the following persons in the capacities and on the dates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320" w:type="dxa"/>
            <w:vAlign w:val="bottom"/>
          </w:tcPr>
          <w:p>
            <w:pPr>
              <w:spacing w:after="0"/>
              <w:rPr>
                <w:sz w:val="19"/>
                <w:szCs w:val="19"/>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320" w:type="dxa"/>
            <w:vAlign w:val="bottom"/>
          </w:tcPr>
          <w:p>
            <w:pPr>
              <w:spacing w:after="0"/>
              <w:rPr>
                <w:sz w:val="19"/>
                <w:szCs w:val="19"/>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22"/>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Silvio Napoli</w:t>
            </w:r>
          </w:p>
        </w:tc>
        <w:tc>
          <w:tcPr>
            <w:tcW w:w="320" w:type="dxa"/>
            <w:vAlign w:val="bottom"/>
          </w:tcPr>
          <w:p>
            <w:pPr>
              <w:spacing w:after="0"/>
              <w:rPr>
                <w:sz w:val="24"/>
                <w:szCs w:val="24"/>
                <w:color w:val="auto"/>
              </w:rPr>
            </w:pPr>
          </w:p>
        </w:tc>
        <w:tc>
          <w:tcPr>
            <w:tcW w:w="3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Chief Executive Officer and Director</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2026</w:t>
            </w:r>
          </w:p>
        </w:tc>
      </w:tr>
      <w:tr>
        <w:trPr>
          <w:trHeight w:val="223"/>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Silvio Napoli</w:t>
            </w:r>
          </w:p>
        </w:tc>
        <w:tc>
          <w:tcPr>
            <w:tcW w:w="320" w:type="dxa"/>
            <w:vAlign w:val="bottom"/>
          </w:tcPr>
          <w:p>
            <w:pPr>
              <w:spacing w:after="0"/>
              <w:rPr>
                <w:sz w:val="19"/>
                <w:szCs w:val="19"/>
                <w:color w:val="auto"/>
              </w:rPr>
            </w:pPr>
          </w:p>
        </w:tc>
        <w:tc>
          <w:tcPr>
            <w:tcW w:w="3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(Principal Executive Officer)</w:t>
            </w:r>
          </w:p>
        </w:tc>
        <w:tc>
          <w:tcPr>
            <w:tcW w:w="3340" w:type="dxa"/>
            <w:vAlign w:val="bottom"/>
          </w:tcPr>
          <w:p>
            <w:pPr>
              <w:spacing w:after="0"/>
              <w:rPr>
                <w:sz w:val="19"/>
                <w:szCs w:val="19"/>
                <w:color w:val="auto"/>
              </w:rPr>
            </w:pPr>
          </w:p>
        </w:tc>
      </w:tr>
      <w:tr>
        <w:trPr>
          <w:trHeight w:val="445"/>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Taoufiq Boussaid</w:t>
            </w:r>
          </w:p>
        </w:tc>
        <w:tc>
          <w:tcPr>
            <w:tcW w:w="320" w:type="dxa"/>
            <w:vAlign w:val="bottom"/>
          </w:tcPr>
          <w:p>
            <w:pPr>
              <w:spacing w:after="0"/>
              <w:rPr>
                <w:sz w:val="24"/>
                <w:szCs w:val="24"/>
                <w:color w:val="auto"/>
              </w:rPr>
            </w:pPr>
          </w:p>
        </w:tc>
        <w:tc>
          <w:tcPr>
            <w:tcW w:w="3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Chief Financial Officer</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2026</w:t>
            </w:r>
          </w:p>
        </w:tc>
      </w:tr>
      <w:tr>
        <w:trPr>
          <w:trHeight w:val="224"/>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Taoufiq Boussaid</w:t>
            </w:r>
          </w:p>
        </w:tc>
        <w:tc>
          <w:tcPr>
            <w:tcW w:w="320" w:type="dxa"/>
            <w:vAlign w:val="bottom"/>
          </w:tcPr>
          <w:p>
            <w:pPr>
              <w:spacing w:after="0"/>
              <w:rPr>
                <w:sz w:val="19"/>
                <w:szCs w:val="19"/>
                <w:color w:val="auto"/>
              </w:rPr>
            </w:pPr>
          </w:p>
        </w:tc>
        <w:tc>
          <w:tcPr>
            <w:tcW w:w="3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(Principal Financial Officer)</w:t>
            </w:r>
          </w:p>
        </w:tc>
        <w:tc>
          <w:tcPr>
            <w:tcW w:w="3340" w:type="dxa"/>
            <w:vAlign w:val="bottom"/>
          </w:tcPr>
          <w:p>
            <w:pPr>
              <w:spacing w:after="0"/>
              <w:rPr>
                <w:sz w:val="19"/>
                <w:szCs w:val="19"/>
                <w:color w:val="auto"/>
              </w:rPr>
            </w:pPr>
          </w:p>
        </w:tc>
      </w:tr>
      <w:tr>
        <w:trPr>
          <w:trHeight w:val="445"/>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Gagan Dhingra</w:t>
            </w:r>
          </w:p>
        </w:tc>
        <w:tc>
          <w:tcPr>
            <w:tcW w:w="320" w:type="dxa"/>
            <w:vAlign w:val="bottom"/>
          </w:tcPr>
          <w:p>
            <w:pPr>
              <w:spacing w:after="0"/>
              <w:rPr>
                <w:sz w:val="24"/>
                <w:szCs w:val="24"/>
                <w:color w:val="auto"/>
              </w:rPr>
            </w:pPr>
          </w:p>
        </w:tc>
        <w:tc>
          <w:tcPr>
            <w:tcW w:w="3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Senior Vice President, Finance and Accounting</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2026</w:t>
            </w:r>
          </w:p>
        </w:tc>
      </w:tr>
      <w:tr>
        <w:trPr>
          <w:trHeight w:val="223"/>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Gagan Dhingra</w:t>
            </w:r>
          </w:p>
        </w:tc>
        <w:tc>
          <w:tcPr>
            <w:tcW w:w="320" w:type="dxa"/>
            <w:vAlign w:val="bottom"/>
          </w:tcPr>
          <w:p>
            <w:pPr>
              <w:spacing w:after="0"/>
              <w:rPr>
                <w:sz w:val="19"/>
                <w:szCs w:val="19"/>
                <w:color w:val="auto"/>
              </w:rPr>
            </w:pPr>
          </w:p>
        </w:tc>
        <w:tc>
          <w:tcPr>
            <w:tcW w:w="38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(Principal Accounting Officer)</w:t>
            </w:r>
          </w:p>
        </w:tc>
        <w:tc>
          <w:tcPr>
            <w:tcW w:w="3340" w:type="dxa"/>
            <w:vAlign w:val="bottom"/>
          </w:tcPr>
          <w:p>
            <w:pPr>
              <w:spacing w:after="0"/>
              <w:rPr>
                <w:sz w:val="19"/>
                <w:szCs w:val="19"/>
                <w:color w:val="auto"/>
              </w:rPr>
            </w:pPr>
          </w:p>
        </w:tc>
      </w:tr>
      <w:tr>
        <w:trPr>
          <w:trHeight w:val="445"/>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Turqi Alnowaiser</w:t>
            </w:r>
          </w:p>
        </w:tc>
        <w:tc>
          <w:tcPr>
            <w:tcW w:w="320" w:type="dxa"/>
            <w:vAlign w:val="bottom"/>
          </w:tcPr>
          <w:p>
            <w:pPr>
              <w:spacing w:after="0"/>
              <w:rPr>
                <w:sz w:val="24"/>
                <w:szCs w:val="24"/>
                <w:color w:val="auto"/>
              </w:rPr>
            </w:pPr>
          </w:p>
        </w:tc>
        <w:tc>
          <w:tcPr>
            <w:tcW w:w="3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Director</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2026</w:t>
            </w:r>
          </w:p>
        </w:tc>
      </w:tr>
      <w:tr>
        <w:trPr>
          <w:trHeight w:val="210"/>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Turqi Alnowaiser</w:t>
            </w: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Sachin Kansal</w:t>
            </w:r>
          </w:p>
        </w:tc>
        <w:tc>
          <w:tcPr>
            <w:tcW w:w="320" w:type="dxa"/>
            <w:vAlign w:val="bottom"/>
          </w:tcPr>
          <w:p>
            <w:pPr>
              <w:spacing w:after="0"/>
              <w:rPr>
                <w:sz w:val="24"/>
                <w:szCs w:val="24"/>
                <w:color w:val="auto"/>
              </w:rPr>
            </w:pPr>
          </w:p>
        </w:tc>
        <w:tc>
          <w:tcPr>
            <w:tcW w:w="3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Director</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2026</w:t>
            </w:r>
          </w:p>
        </w:tc>
      </w:tr>
      <w:tr>
        <w:trPr>
          <w:trHeight w:val="210"/>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Sachin Kansal</w:t>
            </w: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Douglas Grimm</w:t>
            </w:r>
          </w:p>
        </w:tc>
        <w:tc>
          <w:tcPr>
            <w:tcW w:w="320" w:type="dxa"/>
            <w:vAlign w:val="bottom"/>
          </w:tcPr>
          <w:p>
            <w:pPr>
              <w:spacing w:after="0"/>
              <w:rPr>
                <w:sz w:val="24"/>
                <w:szCs w:val="24"/>
                <w:color w:val="auto"/>
              </w:rPr>
            </w:pPr>
          </w:p>
        </w:tc>
        <w:tc>
          <w:tcPr>
            <w:tcW w:w="3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Director</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2026</w:t>
            </w:r>
          </w:p>
        </w:tc>
      </w:tr>
      <w:tr>
        <w:trPr>
          <w:trHeight w:val="210"/>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Douglas Grimm</w:t>
            </w: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Lisa M. Lambert</w:t>
            </w:r>
          </w:p>
        </w:tc>
        <w:tc>
          <w:tcPr>
            <w:tcW w:w="320" w:type="dxa"/>
            <w:vAlign w:val="bottom"/>
          </w:tcPr>
          <w:p>
            <w:pPr>
              <w:spacing w:after="0"/>
              <w:rPr>
                <w:sz w:val="24"/>
                <w:szCs w:val="24"/>
                <w:color w:val="auto"/>
              </w:rPr>
            </w:pPr>
          </w:p>
        </w:tc>
        <w:tc>
          <w:tcPr>
            <w:tcW w:w="3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Director</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2026</w:t>
            </w:r>
          </w:p>
        </w:tc>
      </w:tr>
      <w:tr>
        <w:trPr>
          <w:trHeight w:val="210"/>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Lisa M. Lambert</w:t>
            </w: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Andrew Liveris</w:t>
            </w:r>
          </w:p>
        </w:tc>
        <w:tc>
          <w:tcPr>
            <w:tcW w:w="320" w:type="dxa"/>
            <w:vAlign w:val="bottom"/>
          </w:tcPr>
          <w:p>
            <w:pPr>
              <w:spacing w:after="0"/>
              <w:rPr>
                <w:sz w:val="24"/>
                <w:szCs w:val="24"/>
                <w:color w:val="auto"/>
              </w:rPr>
            </w:pPr>
          </w:p>
        </w:tc>
        <w:tc>
          <w:tcPr>
            <w:tcW w:w="3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Director</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2026</w:t>
            </w:r>
          </w:p>
        </w:tc>
      </w:tr>
      <w:tr>
        <w:trPr>
          <w:trHeight w:val="210"/>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Andrew Liveris</w:t>
            </w: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Nichelle Maynard-Elliott</w:t>
            </w:r>
          </w:p>
        </w:tc>
        <w:tc>
          <w:tcPr>
            <w:tcW w:w="320" w:type="dxa"/>
            <w:vAlign w:val="bottom"/>
          </w:tcPr>
          <w:p>
            <w:pPr>
              <w:spacing w:after="0"/>
              <w:rPr>
                <w:sz w:val="24"/>
                <w:szCs w:val="24"/>
                <w:color w:val="auto"/>
              </w:rPr>
            </w:pPr>
          </w:p>
        </w:tc>
        <w:tc>
          <w:tcPr>
            <w:tcW w:w="3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Director</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2026</w:t>
            </w:r>
          </w:p>
        </w:tc>
      </w:tr>
      <w:tr>
        <w:trPr>
          <w:trHeight w:val="210"/>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Nichelle Maynard-Elliott</w:t>
            </w: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Chabi Nouri</w:t>
            </w:r>
          </w:p>
        </w:tc>
        <w:tc>
          <w:tcPr>
            <w:tcW w:w="320" w:type="dxa"/>
            <w:vAlign w:val="bottom"/>
          </w:tcPr>
          <w:p>
            <w:pPr>
              <w:spacing w:after="0"/>
              <w:rPr>
                <w:sz w:val="24"/>
                <w:szCs w:val="24"/>
                <w:color w:val="auto"/>
              </w:rPr>
            </w:pPr>
          </w:p>
        </w:tc>
        <w:tc>
          <w:tcPr>
            <w:tcW w:w="3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Director</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2026</w:t>
            </w:r>
          </w:p>
        </w:tc>
      </w:tr>
      <w:tr>
        <w:trPr>
          <w:trHeight w:val="210"/>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Chabi Nouri</w:t>
            </w: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458"/>
        </w:trPr>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Ori Winitzer</w:t>
            </w:r>
          </w:p>
        </w:tc>
        <w:tc>
          <w:tcPr>
            <w:tcW w:w="320" w:type="dxa"/>
            <w:vAlign w:val="bottom"/>
          </w:tcPr>
          <w:p>
            <w:pPr>
              <w:spacing w:after="0"/>
              <w:rPr>
                <w:sz w:val="24"/>
                <w:szCs w:val="24"/>
                <w:color w:val="auto"/>
              </w:rPr>
            </w:pPr>
          </w:p>
        </w:tc>
        <w:tc>
          <w:tcPr>
            <w:tcW w:w="38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Director</w:t>
            </w:r>
          </w:p>
        </w:tc>
        <w:tc>
          <w:tcPr>
            <w:tcW w:w="3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5, 2026</w:t>
            </w:r>
          </w:p>
        </w:tc>
      </w:tr>
      <w:tr>
        <w:trPr>
          <w:trHeight w:val="210"/>
        </w:trPr>
        <w:tc>
          <w:tcPr>
            <w:tcW w:w="3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Ori Winitzer</w:t>
            </w:r>
          </w:p>
        </w:tc>
        <w:tc>
          <w:tcPr>
            <w:tcW w:w="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40" w:type="dxa"/>
            <w:vAlign w:val="bottom"/>
          </w:tcPr>
          <w:p>
            <w:pPr>
              <w:spacing w:after="0"/>
              <w:rPr>
                <w:sz w:val="18"/>
                <w:szCs w:val="18"/>
                <w:color w:val="auto"/>
              </w:rPr>
            </w:pPr>
          </w:p>
        </w:tc>
      </w:tr>
    </w:tbl>
    <w:p>
      <w:pPr>
        <w:sectPr>
          <w:pgSz w:w="11900" w:h="16838" w:orient="portrait"/>
          <w:cols w:equalWidth="0" w:num="1">
            <w:col w:w="11220"/>
          </w:cols>
          <w:pgMar w:left="320" w:top="988"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rPr>
              <w:t>Fee</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20" w:type="dxa"/>
            <w:vAlign w:val="bottom"/>
          </w:tcPr>
          <w:p>
            <w:pPr>
              <w:spacing w:after="0"/>
              <w:rPr>
                <w:sz w:val="17"/>
                <w:szCs w:val="17"/>
                <w:color w:val="auto"/>
              </w:rPr>
            </w:pPr>
          </w:p>
        </w:tc>
        <w:tc>
          <w:tcPr>
            <w:tcW w:w="142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Amount of</w:t>
            </w:r>
          </w:p>
        </w:tc>
      </w:tr>
      <w:tr>
        <w:trPr>
          <w:trHeight w:val="203"/>
        </w:trPr>
        <w:tc>
          <w:tcPr>
            <w:tcW w:w="88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Security</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Calculation</w:t>
            </w:r>
          </w:p>
        </w:tc>
        <w:tc>
          <w:tcPr>
            <w:tcW w:w="132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gridSpan w:val="2"/>
          </w:tcPr>
          <w:p>
            <w:pPr>
              <w:jc w:val="center"/>
              <w:ind w:right="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Pr>
          <w:p>
            <w:pPr>
              <w:spacing w:after="0"/>
              <w:rPr>
                <w:sz w:val="17"/>
                <w:szCs w:val="17"/>
                <w:color w:val="auto"/>
              </w:rPr>
            </w:pPr>
          </w:p>
        </w:tc>
        <w:tc>
          <w:tcPr>
            <w:tcW w:w="14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79"/>
        </w:trPr>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23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Security Class Title</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2"/>
              </w:rPr>
              <w:t xml:space="preserve">Rule </w:t>
            </w:r>
            <w:r>
              <w:rPr>
                <w:rFonts w:ascii="Times New Roman" w:cs="Times New Roman" w:eastAsia="Times New Roman" w:hAnsi="Times New Roman"/>
                <w:sz w:val="23"/>
                <w:szCs w:val="23"/>
                <w:color w:val="auto"/>
                <w:w w:val="92"/>
                <w:vertAlign w:val="superscript"/>
              </w:rPr>
              <w:t>(2)</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 xml:space="preserve">Registered </w:t>
            </w:r>
            <w:r>
              <w:rPr>
                <w:rFonts w:ascii="Times New Roman" w:cs="Times New Roman" w:eastAsia="Times New Roman" w:hAnsi="Times New Roman"/>
                <w:sz w:val="23"/>
                <w:szCs w:val="23"/>
                <w:color w:val="auto"/>
                <w:w w:val="95"/>
                <w:vertAlign w:val="superscript"/>
              </w:rPr>
              <w:t>(1)</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 xml:space="preserve">Price Per Unit </w:t>
            </w:r>
            <w:r>
              <w:rPr>
                <w:rFonts w:ascii="Times New Roman" w:cs="Times New Roman" w:eastAsia="Times New Roman" w:hAnsi="Times New Roman"/>
                <w:sz w:val="23"/>
                <w:szCs w:val="23"/>
                <w:color w:val="auto"/>
                <w:w w:val="96"/>
                <w:vertAlign w:val="superscript"/>
              </w:rPr>
              <w:t>(2)</w:t>
            </w:r>
          </w:p>
        </w:tc>
        <w:tc>
          <w:tcPr>
            <w:tcW w:w="120" w:type="dxa"/>
            <w:vAlign w:val="bottom"/>
          </w:tcPr>
          <w:p>
            <w:pPr>
              <w:spacing w:after="0"/>
              <w:rPr>
                <w:sz w:val="24"/>
                <w:szCs w:val="24"/>
                <w:color w:val="auto"/>
              </w:rPr>
            </w:pPr>
          </w:p>
        </w:tc>
        <w:tc>
          <w:tcPr>
            <w:tcW w:w="14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 xml:space="preserve">Offering Price </w:t>
            </w:r>
            <w:r>
              <w:rPr>
                <w:rFonts w:ascii="Times New Roman" w:cs="Times New Roman" w:eastAsia="Times New Roman" w:hAnsi="Times New Roman"/>
                <w:sz w:val="23"/>
                <w:szCs w:val="23"/>
                <w:b w:val="1"/>
                <w:bCs w:val="1"/>
                <w:color w:val="auto"/>
                <w:w w:val="97"/>
                <w:vertAlign w:val="superscript"/>
              </w:rPr>
              <w:t>(</w:t>
            </w:r>
            <w:r>
              <w:rPr>
                <w:rFonts w:ascii="Times New Roman" w:cs="Times New Roman" w:eastAsia="Times New Roman" w:hAnsi="Times New Roman"/>
                <w:sz w:val="23"/>
                <w:szCs w:val="23"/>
                <w:color w:val="auto"/>
                <w:w w:val="97"/>
                <w:vertAlign w:val="superscript"/>
              </w:rPr>
              <w:t>2)</w:t>
            </w:r>
          </w:p>
        </w:tc>
        <w:tc>
          <w:tcPr>
            <w:tcW w:w="8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20" w:type="dxa"/>
            <w:vAlign w:val="bottom"/>
          </w:tcPr>
          <w:p>
            <w:pPr>
              <w:spacing w:after="0"/>
              <w:rPr>
                <w:sz w:val="24"/>
                <w:szCs w:val="24"/>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Fee</w:t>
            </w:r>
          </w:p>
        </w:tc>
      </w:tr>
      <w:tr>
        <w:trPr>
          <w:trHeight w:val="178"/>
        </w:trPr>
        <w:tc>
          <w:tcPr>
            <w:tcW w:w="80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Equity</w:t>
            </w:r>
          </w:p>
        </w:tc>
        <w:tc>
          <w:tcPr>
            <w:tcW w:w="80" w:type="dxa"/>
            <w:vAlign w:val="bottom"/>
            <w:tcBorders>
              <w:top w:val="single" w:sz="8" w:color="CCEEFF"/>
            </w:tcBorders>
            <w:shd w:val="clear" w:color="auto" w:fill="CCEEFF"/>
          </w:tcPr>
          <w:p>
            <w:pPr>
              <w:spacing w:after="0"/>
              <w:rPr>
                <w:sz w:val="15"/>
                <w:szCs w:val="15"/>
                <w:color w:val="auto"/>
              </w:rPr>
            </w:pPr>
          </w:p>
        </w:tc>
        <w:tc>
          <w:tcPr>
            <w:tcW w:w="222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Class A Common Stock,</w:t>
            </w:r>
          </w:p>
        </w:tc>
        <w:tc>
          <w:tcPr>
            <w:tcW w:w="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23,597,807</w:t>
            </w:r>
          </w:p>
        </w:tc>
        <w:tc>
          <w:tcPr>
            <w:tcW w:w="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$5.395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127,310,168.77</w:t>
            </w: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0.0001381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17,581.53</w:t>
            </w:r>
          </w:p>
        </w:tc>
      </w:tr>
      <w:tr>
        <w:trPr>
          <w:trHeight w:val="275"/>
        </w:trPr>
        <w:tc>
          <w:tcPr>
            <w:tcW w:w="8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$0.0001 par value per share</w:t>
            </w:r>
          </w:p>
        </w:tc>
        <w:tc>
          <w:tcPr>
            <w:tcW w:w="1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r>
      <w:tr>
        <w:trPr>
          <w:trHeight w:val="228"/>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127,310,168.77</w:t>
            </w:r>
          </w:p>
        </w:tc>
        <w:tc>
          <w:tcPr>
            <w:tcW w:w="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17,581.53</w:t>
            </w:r>
          </w:p>
        </w:tc>
      </w:tr>
      <w:tr>
        <w:trPr>
          <w:trHeight w:val="22"/>
        </w:trPr>
        <w:tc>
          <w:tcPr>
            <w:tcW w:w="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17,581.53</w:t>
            </w:r>
          </w:p>
        </w:tc>
      </w:tr>
      <w:tr>
        <w:trPr>
          <w:trHeight w:val="22"/>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360" w:right="260" w:hanging="334"/>
        <w:spacing w:after="0" w:line="242"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23,500,000 shares of the Registrant’s Class A common stock, $0.0001 par value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available for future issuance under the Lucid Group, Inc. Amended and Restated 2021 Stock Incentive Plan (the “</w:t>
      </w:r>
      <w:r>
        <w:rPr>
          <w:rFonts w:ascii="Times New Roman" w:cs="Times New Roman" w:eastAsia="Times New Roman" w:hAnsi="Times New Roman"/>
          <w:sz w:val="18"/>
          <w:szCs w:val="18"/>
          <w:b w:val="1"/>
          <w:bCs w:val="1"/>
          <w:color w:val="auto"/>
        </w:rPr>
        <w:t>Incentive Plan</w:t>
      </w:r>
      <w:r>
        <w:rPr>
          <w:rFonts w:ascii="Times New Roman" w:cs="Times New Roman" w:eastAsia="Times New Roman" w:hAnsi="Times New Roman"/>
          <w:sz w:val="18"/>
          <w:szCs w:val="18"/>
          <w:color w:val="auto"/>
        </w:rPr>
        <w:t>”) by reason of the stockholder amendment to the Incentive Plan on June 4, 2026 and (ii) 97,807 shares of Common Stock available for future issuance under the Incentive Plan by reason of the recycle provisions of Section 5 of the Incentive Plan. In the event of a stock split, stock dividend or similar transaction involving, the number of shares registered hereby shall automatically be adjusted in accordance with Rule 416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360" w:right="80" w:hanging="334"/>
        <w:spacing w:after="0" w:line="250"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and Rule 457(c) under the Securities Act. The Proposed Maximum Offering Price Per Unit is based on the average of the high and low prices of Common Stock on The Nasdaq Global Select Market on June 5, 2026.</w:t>
      </w:r>
    </w:p>
    <w:p>
      <w:pPr>
        <w:sectPr>
          <w:pgSz w:w="11900" w:h="16838" w:orient="portrait"/>
          <w:cols w:equalWidth="0" w:num="1">
            <w:col w:w="11240"/>
          </w:cols>
          <w:pgMar w:left="320" w:top="765"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color w:val="auto"/>
        </w:rPr>
        <w:t>S</w:t>
      </w:r>
      <w:r>
        <w:rPr>
          <w:rFonts w:ascii="Times New Roman" w:cs="Times New Roman" w:eastAsia="Times New Roman" w:hAnsi="Times New Roman"/>
          <w:sz w:val="25"/>
          <w:szCs w:val="25"/>
          <w:color w:val="auto"/>
        </w:rPr>
        <w:t>KADDEN</w:t>
      </w:r>
      <w:r>
        <w:rPr>
          <w:rFonts w:ascii="Times New Roman" w:cs="Times New Roman" w:eastAsia="Times New Roman" w:hAnsi="Times New Roman"/>
          <w:sz w:val="31"/>
          <w:szCs w:val="31"/>
          <w:color w:val="auto"/>
        </w:rPr>
        <w:t>, A</w:t>
      </w:r>
      <w:r>
        <w:rPr>
          <w:rFonts w:ascii="Times New Roman" w:cs="Times New Roman" w:eastAsia="Times New Roman" w:hAnsi="Times New Roman"/>
          <w:sz w:val="25"/>
          <w:szCs w:val="25"/>
          <w:color w:val="auto"/>
        </w:rPr>
        <w:t>RPS</w:t>
      </w:r>
      <w:r>
        <w:rPr>
          <w:rFonts w:ascii="Times New Roman" w:cs="Times New Roman" w:eastAsia="Times New Roman" w:hAnsi="Times New Roman"/>
          <w:sz w:val="31"/>
          <w:szCs w:val="31"/>
          <w:color w:val="auto"/>
        </w:rPr>
        <w:t>, S</w:t>
      </w:r>
      <w:r>
        <w:rPr>
          <w:rFonts w:ascii="Times New Roman" w:cs="Times New Roman" w:eastAsia="Times New Roman" w:hAnsi="Times New Roman"/>
          <w:sz w:val="25"/>
          <w:szCs w:val="25"/>
          <w:color w:val="auto"/>
        </w:rPr>
        <w:t>LATE</w:t>
      </w:r>
      <w:r>
        <w:rPr>
          <w:rFonts w:ascii="Times New Roman" w:cs="Times New Roman" w:eastAsia="Times New Roman" w:hAnsi="Times New Roman"/>
          <w:sz w:val="31"/>
          <w:szCs w:val="31"/>
          <w:color w:val="auto"/>
        </w:rPr>
        <w:t>, M</w:t>
      </w:r>
      <w:r>
        <w:rPr>
          <w:rFonts w:ascii="Times New Roman" w:cs="Times New Roman" w:eastAsia="Times New Roman" w:hAnsi="Times New Roman"/>
          <w:sz w:val="25"/>
          <w:szCs w:val="25"/>
          <w:color w:val="auto"/>
        </w:rPr>
        <w:t>EAGHER</w:t>
      </w:r>
      <w:r>
        <w:rPr>
          <w:rFonts w:ascii="Times New Roman" w:cs="Times New Roman" w:eastAsia="Times New Roman" w:hAnsi="Times New Roman"/>
          <w:sz w:val="31"/>
          <w:szCs w:val="31"/>
          <w:color w:val="auto"/>
        </w:rPr>
        <w:t xml:space="preserve"> &amp; F</w:t>
      </w:r>
      <w:r>
        <w:rPr>
          <w:rFonts w:ascii="Times New Roman" w:cs="Times New Roman" w:eastAsia="Times New Roman" w:hAnsi="Times New Roman"/>
          <w:sz w:val="25"/>
          <w:szCs w:val="25"/>
          <w:color w:val="auto"/>
        </w:rPr>
        <w:t>LOM LLP</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525 UNIVERSITY AVENUE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PALO ALTO, CALIFORNIA 94301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319405</wp:posOffset>
            </wp:positionV>
            <wp:extent cx="325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482600</wp:posOffset>
            </wp:positionV>
            <wp:extent cx="1440180" cy="28803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440180"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color w:val="auto"/>
        </w:rPr>
        <w:t>TEL: (650) 470-4500</w:t>
      </w:r>
    </w:p>
    <w:p>
      <w:pPr>
        <w:spacing w:after="0" w:line="27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6"/>
          <w:szCs w:val="16"/>
          <w:color w:val="auto"/>
        </w:rPr>
        <w:t>FAX: (650) 470-4570</w:t>
      </w:r>
    </w:p>
    <w:p>
      <w:pPr>
        <w:spacing w:after="0" w:line="27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June 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Lucid Group,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7373 Gateway Boulevard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Newark, California 94560</w:t>
      </w:r>
    </w:p>
    <w:p>
      <w:pPr>
        <w:spacing w:after="0" w:line="223" w:lineRule="exact"/>
        <w:rPr>
          <w:sz w:val="20"/>
          <w:szCs w:val="20"/>
          <w:color w:val="auto"/>
        </w:rPr>
      </w:pPr>
    </w:p>
    <w:p>
      <w:pPr>
        <w:ind w:left="2260"/>
        <w:spacing w:after="0"/>
        <w:tabs>
          <w:tab w:leader="none" w:pos="274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Lucid Group, Inc.</w:t>
      </w:r>
    </w:p>
    <w:p>
      <w:pPr>
        <w:spacing w:after="0" w:line="26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u w:val="single" w:color="auto"/>
          <w:color w:val="auto"/>
        </w:rPr>
        <w:t>Registration Statement on Form S-8</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We have acted as special United States counsel to Lucid Group,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in connection with the Company’s Registration Statement on Form S-8 (together with the exhibits thereto, the “</w:t>
      </w:r>
      <w:r>
        <w:rPr>
          <w:rFonts w:ascii="Times New Roman" w:cs="Times New Roman" w:eastAsia="Times New Roman" w:hAnsi="Times New Roman"/>
          <w:sz w:val="22"/>
          <w:szCs w:val="22"/>
          <w:u w:val="single" w:color="auto"/>
          <w:color w:val="auto"/>
        </w:rPr>
        <w:t>Registration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to be filed on the date hereof with the Securities and Exchange Commission (the “</w:t>
      </w:r>
      <w:r>
        <w:rPr>
          <w:rFonts w:ascii="Times New Roman" w:cs="Times New Roman" w:eastAsia="Times New Roman" w:hAnsi="Times New Roman"/>
          <w:sz w:val="22"/>
          <w:szCs w:val="22"/>
          <w:u w:val="single" w:color="auto"/>
          <w:color w:val="auto"/>
        </w:rPr>
        <w:t>Commission</w:t>
      </w:r>
      <w:r>
        <w:rPr>
          <w:rFonts w:ascii="Times New Roman" w:cs="Times New Roman" w:eastAsia="Times New Roman" w:hAnsi="Times New Roman"/>
          <w:sz w:val="22"/>
          <w:szCs w:val="22"/>
          <w:color w:val="auto"/>
        </w:rPr>
        <w:t>”) under the Securities Act of 1933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relating to the registration of 23,597,807 shares (the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of the Company’s Class A common stock, par value $0.0001 (“</w:t>
      </w: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available for future issuance under the Lucid Group, Inc. Amended and Restated 2021 Stock Incentive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This opinion letter is being furnished in accordance with the requirements of Item 601(b)(5) of Regulation S-K promulgated under the Securities Act (the “</w:t>
      </w:r>
      <w:r>
        <w:rPr>
          <w:rFonts w:ascii="Times New Roman" w:cs="Times New Roman" w:eastAsia="Times New Roman" w:hAnsi="Times New Roman"/>
          <w:sz w:val="22"/>
          <w:szCs w:val="22"/>
          <w:u w:val="single" w:color="auto"/>
          <w:color w:val="auto"/>
        </w:rPr>
        <w:t>Rules and Regulations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5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Lucid Group, Inc.</w:t>
      </w:r>
    </w:p>
    <w:p>
      <w:pPr>
        <w:spacing w:after="0" w:line="231" w:lineRule="auto"/>
        <w:rPr>
          <w:sz w:val="20"/>
          <w:szCs w:val="20"/>
          <w:color w:val="auto"/>
        </w:rPr>
      </w:pPr>
      <w:r>
        <w:rPr>
          <w:rFonts w:ascii="Times New Roman" w:cs="Times New Roman" w:eastAsia="Times New Roman" w:hAnsi="Times New Roman"/>
          <w:sz w:val="22"/>
          <w:szCs w:val="22"/>
          <w:color w:val="auto"/>
        </w:rPr>
        <w:t>June 5, 2026</w:t>
      </w: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rendering the opinions stated herein, we have examined and relied upon the following:</w:t>
      </w:r>
    </w:p>
    <w:p>
      <w:pPr>
        <w:spacing w:after="0" w:line="220" w:lineRule="exact"/>
        <w:rPr>
          <w:sz w:val="20"/>
          <w:szCs w:val="20"/>
          <w:color w:val="auto"/>
        </w:rPr>
      </w:pPr>
    </w:p>
    <w:p>
      <w:pPr>
        <w:ind w:left="940" w:hanging="284"/>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Registration Statement in the form filed with the Commission on the date hereof;</w:t>
      </w:r>
    </w:p>
    <w:p>
      <w:pPr>
        <w:spacing w:after="0" w:line="21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w:t>
      </w:r>
    </w:p>
    <w:p>
      <w:pPr>
        <w:spacing w:after="0" w:line="219" w:lineRule="exact"/>
        <w:rPr>
          <w:rFonts w:ascii="Times New Roman" w:cs="Times New Roman" w:eastAsia="Times New Roman" w:hAnsi="Times New Roman"/>
          <w:sz w:val="22"/>
          <w:szCs w:val="22"/>
          <w:color w:val="auto"/>
        </w:rPr>
      </w:pPr>
    </w:p>
    <w:p>
      <w:pPr>
        <w:ind w:firstLine="656"/>
        <w:spacing w:after="0" w:line="284" w:lineRule="auto"/>
        <w:tabs>
          <w:tab w:leader="none" w:pos="94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copy of a certificate of Douglas Stewart, Deputy General Counsel, Corporate and Securities, and Assistant Secretary of the Company, dated the date hereof (the “</w:t>
      </w:r>
      <w:r>
        <w:rPr>
          <w:rFonts w:ascii="Times New Roman" w:cs="Times New Roman" w:eastAsia="Times New Roman" w:hAnsi="Times New Roman"/>
          <w:sz w:val="22"/>
          <w:szCs w:val="22"/>
          <w:u w:val="single" w:color="auto"/>
          <w:color w:val="auto"/>
        </w:rPr>
        <w:t>Secretary’s Certificate</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jc w:val="both"/>
        <w:ind w:firstLine="656"/>
        <w:spacing w:after="0" w:line="257" w:lineRule="auto"/>
        <w:tabs>
          <w:tab w:leader="none" w:pos="98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Company’s Third Amended and Restated Certificate of Incorporation, as amended, certified by the Secretary of State of the State of Delaware as of June 5, 2026, and certified pursuant to the Secretary’s Certificate as being in effect on the date of the resolutions referred to below and as of the date hereof (the “Certificate of Incorporation”);</w:t>
      </w:r>
    </w:p>
    <w:p>
      <w:pPr>
        <w:spacing w:after="0" w:line="172" w:lineRule="exact"/>
        <w:rPr>
          <w:rFonts w:ascii="Times New Roman" w:cs="Times New Roman" w:eastAsia="Times New Roman" w:hAnsi="Times New Roman"/>
          <w:sz w:val="22"/>
          <w:szCs w:val="22"/>
          <w:color w:val="auto"/>
        </w:rPr>
      </w:pPr>
    </w:p>
    <w:p>
      <w:pPr>
        <w:ind w:firstLine="656"/>
        <w:spacing w:after="0" w:line="295" w:lineRule="auto"/>
        <w:tabs>
          <w:tab w:leader="none" w:pos="94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copy of the Company’s Second Amended and Restated Bylaws, as amended and certified pursuant to the Secretary’s Certificate as being in effect on the date of the resolutions referred to below and as of the date hereof (the “Bylaws”); and</w:t>
      </w:r>
    </w:p>
    <w:p>
      <w:pPr>
        <w:spacing w:after="0" w:line="148" w:lineRule="exact"/>
        <w:rPr>
          <w:rFonts w:ascii="Times New Roman" w:cs="Times New Roman" w:eastAsia="Times New Roman" w:hAnsi="Times New Roman"/>
          <w:sz w:val="21"/>
          <w:szCs w:val="21"/>
          <w:color w:val="auto"/>
        </w:rPr>
      </w:pPr>
    </w:p>
    <w:p>
      <w:pPr>
        <w:ind w:firstLine="656"/>
        <w:spacing w:after="0" w:line="271" w:lineRule="auto"/>
        <w:tabs>
          <w:tab w:leader="none" w:pos="94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certain resolutions of the Board of Directors of the Company, adopted on April 21, 2026, relating to the approval of the Plan and certain related matters and certified pursuant to the Secretary’s Certificate.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relevant to the opinions stated herein that we did not independently establish or verify, we have relied upon statements and representations of officers and other representatives of the Company and others and of public officials, including the facts and conclusions set forth in the Certificate of Incorporation and the Secretary’s Certificate.</w:t>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Lucid Group, Inc.</w:t>
      </w:r>
    </w:p>
    <w:p>
      <w:pPr>
        <w:spacing w:after="0" w:line="231" w:lineRule="auto"/>
        <w:rPr>
          <w:sz w:val="20"/>
          <w:szCs w:val="20"/>
          <w:color w:val="auto"/>
        </w:rPr>
      </w:pPr>
      <w:r>
        <w:rPr>
          <w:rFonts w:ascii="Times New Roman" w:cs="Times New Roman" w:eastAsia="Times New Roman" w:hAnsi="Times New Roman"/>
          <w:sz w:val="22"/>
          <w:szCs w:val="22"/>
          <w:color w:val="auto"/>
        </w:rPr>
        <w:t>June 5, 2026</w:t>
      </w: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30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In rendering the opinion set forth below, we have also assumed that (i) the Shares will be issued in book-entry form and an appropriate account statement evidencing the Shares credited to a recipient’s account maintained with the Company’s transfer agent and registrar will be issued by the Company’s transfer agent and registrar, (ii) each award agreement under which options, stock appreciation rights, restricted stock, restricted stock units, stock bonuses, other stock-based awards and certain other awards are granted pursuant to the Plan will be consistent with the Plan and will be duly authorized, executed and delivered by the parties thereto, (iii) the Company would continue to have sufficient authorized shares of Class A Common Stock, (iv) the Company’s authorized capital stock is as set forth in the Certificate of Incorporation, and we have relied solely on the certified copy thereof issued by the Secretary of State of the State of Delaware and have not made any other inquiries or investigations, and (v) the issuance of the Shares does not and will not (a) except to the extent expressly stated in the opinions contained herein, violate any statute to which the Company or such issuance is subject, or (b) constitute a violation of, or a breach under, or require the consent or approval of any other person under any agreement or instrument binding on the Company (except that we do not make this assumption with respect to the Certificate of Incorporation and the Bylaws although we have assumed compliance with any covenant, restriction or provision with respect to financial ratios or tests or any aspect of the financial condition or results of operations of the Company contained in such instruments).</w:t>
      </w:r>
    </w:p>
    <w:p>
      <w:pPr>
        <w:spacing w:after="0" w:line="18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We do not express any opinion with respect to the laws of any jurisdiction other than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Based upon the foregoing and subject to the qualifications and assumptions stated herein, we are of the opinion that the Shares have been duly authorized by all requisite corporate action on the part of the Company under the DGCL and, when the Shares are issued to the Plan participants in accordance with the terms and conditions of the Plan and the applicable award agreement for consideration paid or delivered in an amount at least equal to the par value of such Shares, the Shares will be validly issued, fully paid and nonassessable.</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We hereby consent to the filing of this opinion letter with the Commission as an exhibit to the Registration Statement. In giving this consent, we do not thereby admit that we are within the category of persons whose consent is required under Section 7 of the Securities Act or the General Rules and Regulations of the Commission promulgated under the Securities Act.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22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/s/ Skadden, Arps, Slate, Meagher &amp; Flom LLP</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BDP</w:t>
      </w:r>
    </w:p>
    <w:p>
      <w:pPr>
        <w:sectPr>
          <w:pgSz w:w="11900" w:h="16838" w:orient="portrait"/>
          <w:cols w:equalWidth="0" w:num="1">
            <w:col w:w="11240"/>
          </w:cols>
          <w:pgMar w:left="320" w:top="12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February 24, 2026, with respect to the consolidated financial statements of Lucid Group, Inc. and subsidiaries, and the effectiveness of internal control over financial reporting, incorporated herein by reference.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Santa Clara,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5, 2026</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decimal"/>
      <w:start w:val="107"/>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1" Type="http://schemas.openxmlformats.org/officeDocument/2006/relationships/image" Target="media/image5.png"/><Relationship Id="rId23"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jpeg"/><Relationship Id="rId12" Type="http://schemas.openxmlformats.org/officeDocument/2006/relationships/hyperlink" Target="https://www.sec.gov/Archives/edgar/data/1811210/000162828025029983/forms-8june2025.htm" TargetMode="External"/><Relationship Id="rId13" Type="http://schemas.openxmlformats.org/officeDocument/2006/relationships/hyperlink" Target="https://www.sec.gov/ix?doc=/Archives/edgar/data/0001811210/000162828026011053/lcid-20251231.htm" TargetMode="External"/><Relationship Id="rId14" Type="http://schemas.openxmlformats.org/officeDocument/2006/relationships/hyperlink" Target="https://www.sec.gov/ix?doc=/Archives/edgar/data/0001811210/000162828026026842/lcid-20260423.htm" TargetMode="External"/><Relationship Id="rId15" Type="http://schemas.openxmlformats.org/officeDocument/2006/relationships/hyperlink" Target="https://www.sec.gov/ix?doc=/Archives/edgar/data/0001811210/000162828026030517/lcid-20260331.htm" TargetMode="External"/><Relationship Id="rId16" Type="http://schemas.openxmlformats.org/officeDocument/2006/relationships/hyperlink" Target="https://www.sec.gov/ix?doc=/Archives/edgar/data/0001811210/000110465926042873/tm2611666d3_8k.htm" TargetMode="External"/><Relationship Id="rId17" Type="http://schemas.openxmlformats.org/officeDocument/2006/relationships/hyperlink" Target="https://www.sec.gov/ix?doc=/Archives/edgar/data/0001811210/000110465926051606/tm2611666d6_8k.htm" TargetMode="External"/><Relationship Id="rId18" Type="http://schemas.openxmlformats.org/officeDocument/2006/relationships/hyperlink" Target="https://www.sec.gov/ix?doc=/Archives/edgar/data/0001811210/000162828026039266/lcid-20260530.htm" TargetMode="External"/><Relationship Id="rId19" Type="http://schemas.openxmlformats.org/officeDocument/2006/relationships/hyperlink" Target="https://www.sec.gov/ix?doc=/Archives/edgar/data/0001811210/000162828026041205/lcid-20260604.htm" TargetMode="External"/><Relationship Id="rId20" Type="http://schemas.openxmlformats.org/officeDocument/2006/relationships/hyperlink" Target="https://www.sec.gov/Archives/edgar/data/1811210/000162828026011053/fy25form10-kxex410.htm" TargetMode="External"/><Relationship Id="rId22" Type="http://schemas.openxmlformats.org/officeDocument/2006/relationships/hyperlink" Target="https://www.sec.gov/ix?doc=/Archives/edgar/data/0001811210/000162828026026842/lcid-20260423.htm#i8e46ffef7ba64d5685b12ae81aaaa434_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2026-06-05T15:31:59Z</dcterms:created>
  <dcterms:modified xsi:type="dcterms:W3CDTF">2026-06-05T15:31:59Z</dcterms:modified>
</cp:coreProperties>
</file>