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98" w:lineRule="exact"/>
        <w:rPr>
          <w:sz w:val="24"/>
          <w:szCs w:val="24"/>
          <w:color w:val="auto"/>
        </w:rPr>
      </w:pPr>
    </w:p>
    <w:p>
      <w:pPr>
        <w:jc w:val="center"/>
        <w:ind w:left="820" w:right="1440"/>
        <w:spacing w:after="0" w:line="263" w:lineRule="auto"/>
        <w:rPr>
          <w:sz w:val="20"/>
          <w:szCs w:val="20"/>
          <w:color w:val="auto"/>
        </w:rPr>
      </w:pPr>
      <w:r>
        <w:rPr>
          <w:rFonts w:ascii="Arial" w:cs="Arial" w:eastAsia="Arial" w:hAnsi="Arial"/>
          <w:sz w:val="16"/>
          <w:szCs w:val="16"/>
          <w:b w:val="1"/>
          <w:bCs w:val="1"/>
          <w:color w:val="auto"/>
        </w:rPr>
        <w:t>As submitted confidentially to the U.S. Securities and Exchange Commission on June 25, 2020. This draft registration statement has not been publicly filed with the U.S. Securities and Exchange Commission and all information herein remains strictly confidential.</w:t>
      </w:r>
    </w:p>
    <w:p>
      <w:pPr>
        <w:spacing w:after="0" w:line="2" w:lineRule="exact"/>
        <w:rPr>
          <w:sz w:val="24"/>
          <w:szCs w:val="24"/>
          <w:color w:val="auto"/>
        </w:rPr>
      </w:pPr>
    </w:p>
    <w:p>
      <w:pPr>
        <w:ind w:left="86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40640</wp:posOffset>
            </wp:positionV>
            <wp:extent cx="61804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100965</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8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jc w:val="center"/>
        <w:ind w:right="-45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55880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AMENDMENT NO. 1 TO</w:t>
      </w:r>
    </w:p>
    <w:p>
      <w:pPr>
        <w:jc w:val="center"/>
        <w:ind w:right="-459"/>
        <w:spacing w:after="0" w:line="221" w:lineRule="auto"/>
        <w:rPr>
          <w:sz w:val="20"/>
          <w:szCs w:val="20"/>
          <w:color w:val="auto"/>
        </w:rPr>
      </w:pPr>
      <w:r>
        <w:rPr>
          <w:rFonts w:ascii="Arial" w:cs="Arial" w:eastAsia="Arial" w:hAnsi="Arial"/>
          <w:sz w:val="18"/>
          <w:szCs w:val="18"/>
          <w:b w:val="1"/>
          <w:bCs w:val="1"/>
          <w:color w:val="auto"/>
        </w:rPr>
        <w:t>FORM S-1</w:t>
      </w:r>
    </w:p>
    <w:p>
      <w:pPr>
        <w:jc w:val="center"/>
        <w:ind w:right="-459"/>
        <w:spacing w:after="0" w:line="219" w:lineRule="auto"/>
        <w:rPr>
          <w:sz w:val="20"/>
          <w:szCs w:val="20"/>
          <w:color w:val="auto"/>
        </w:rPr>
      </w:pPr>
      <w:r>
        <w:rPr>
          <w:rFonts w:ascii="Arial" w:cs="Arial" w:eastAsia="Arial" w:hAnsi="Arial"/>
          <w:sz w:val="18"/>
          <w:szCs w:val="18"/>
          <w:b w:val="1"/>
          <w:bCs w:val="1"/>
          <w:color w:val="auto"/>
        </w:rPr>
        <w:t>REGISTRATION STATEMENT</w:t>
      </w:r>
    </w:p>
    <w:p>
      <w:pPr>
        <w:jc w:val="center"/>
        <w:ind w:right="-459"/>
        <w:spacing w:after="0" w:line="219"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47625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7" w:lineRule="exact"/>
        <w:rPr>
          <w:sz w:val="24"/>
          <w:szCs w:val="24"/>
          <w:color w:val="auto"/>
        </w:rPr>
      </w:pPr>
    </w:p>
    <w:p>
      <w:pPr>
        <w:ind w:left="3840"/>
        <w:spacing w:after="0"/>
        <w:rPr>
          <w:sz w:val="20"/>
          <w:szCs w:val="20"/>
          <w:color w:val="auto"/>
        </w:rPr>
      </w:pPr>
      <w:r>
        <w:rPr>
          <w:rFonts w:ascii="Arial" w:cs="Arial" w:eastAsia="Arial" w:hAnsi="Arial"/>
          <w:sz w:val="29"/>
          <w:szCs w:val="29"/>
          <w:b w:val="1"/>
          <w:bCs w:val="1"/>
          <w:color w:val="auto"/>
        </w:rPr>
        <w:t>Annetta Acquisition Corp</w:t>
      </w:r>
    </w:p>
    <w:p>
      <w:pPr>
        <w:spacing w:after="0" w:line="16"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73660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9"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560" w:type="dxa"/>
            <w:vAlign w:val="bottom"/>
          </w:tcPr>
          <w:p>
            <w:pPr>
              <w:ind w:left="620"/>
              <w:spacing w:after="0"/>
              <w:rPr>
                <w:sz w:val="20"/>
                <w:szCs w:val="20"/>
                <w:color w:val="auto"/>
              </w:rPr>
            </w:pPr>
            <w:r>
              <w:rPr>
                <w:rFonts w:ascii="Arial" w:cs="Arial" w:eastAsia="Arial" w:hAnsi="Arial"/>
                <w:sz w:val="14"/>
                <w:szCs w:val="14"/>
                <w:b w:val="1"/>
                <w:bCs w:val="1"/>
                <w:color w:val="auto"/>
              </w:rPr>
              <w:t>Delaware</w:t>
            </w:r>
          </w:p>
        </w:tc>
        <w:tc>
          <w:tcPr>
            <w:tcW w:w="3380" w:type="dxa"/>
            <w:vAlign w:val="bottom"/>
          </w:tcPr>
          <w:p>
            <w:pPr>
              <w:jc w:val="right"/>
              <w:ind w:right="1528"/>
              <w:spacing w:after="0"/>
              <w:rPr>
                <w:sz w:val="20"/>
                <w:szCs w:val="20"/>
                <w:color w:val="auto"/>
              </w:rPr>
            </w:pPr>
            <w:r>
              <w:rPr>
                <w:rFonts w:ascii="Arial" w:cs="Arial" w:eastAsia="Arial" w:hAnsi="Arial"/>
                <w:sz w:val="14"/>
                <w:szCs w:val="14"/>
                <w:b w:val="1"/>
                <w:bCs w:val="1"/>
                <w:color w:val="auto"/>
              </w:rPr>
              <w:t>6770</w:t>
            </w:r>
          </w:p>
        </w:tc>
        <w:tc>
          <w:tcPr>
            <w:tcW w:w="2240" w:type="dxa"/>
            <w:vAlign w:val="bottom"/>
          </w:tcPr>
          <w:p>
            <w:pPr>
              <w:jc w:val="right"/>
              <w:ind w:right="288"/>
              <w:spacing w:after="0"/>
              <w:rPr>
                <w:sz w:val="20"/>
                <w:szCs w:val="20"/>
                <w:color w:val="auto"/>
              </w:rPr>
            </w:pPr>
            <w:r>
              <w:rPr>
                <w:rFonts w:ascii="Arial" w:cs="Arial" w:eastAsia="Arial" w:hAnsi="Arial"/>
                <w:sz w:val="14"/>
                <w:szCs w:val="14"/>
                <w:b w:val="1"/>
                <w:bCs w:val="1"/>
                <w:color w:val="auto"/>
              </w:rPr>
              <w:t>85-0891392</w:t>
            </w:r>
          </w:p>
        </w:tc>
      </w:tr>
      <w:tr>
        <w:trPr>
          <w:trHeight w:val="148"/>
        </w:trPr>
        <w:tc>
          <w:tcPr>
            <w:tcW w:w="2560" w:type="dxa"/>
            <w:vAlign w:val="bottom"/>
          </w:tcPr>
          <w:p>
            <w:pPr>
              <w:spacing w:after="0" w:line="149" w:lineRule="exact"/>
              <w:rPr>
                <w:sz w:val="20"/>
                <w:szCs w:val="20"/>
                <w:color w:val="auto"/>
              </w:rPr>
            </w:pPr>
            <w:r>
              <w:rPr>
                <w:rFonts w:ascii="Arial" w:cs="Arial" w:eastAsia="Arial" w:hAnsi="Arial"/>
                <w:sz w:val="14"/>
                <w:szCs w:val="14"/>
                <w:color w:val="auto"/>
              </w:rPr>
              <w:t>(State or other jurisdiction of</w:t>
            </w:r>
          </w:p>
        </w:tc>
        <w:tc>
          <w:tcPr>
            <w:tcW w:w="33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(Primary Standard Industrial</w:t>
            </w:r>
          </w:p>
        </w:tc>
        <w:tc>
          <w:tcPr>
            <w:tcW w:w="2240" w:type="dxa"/>
            <w:vAlign w:val="bottom"/>
          </w:tcPr>
          <w:p>
            <w:pPr>
              <w:jc w:val="center"/>
              <w:ind w:left="748"/>
              <w:spacing w:after="0" w:line="149" w:lineRule="exact"/>
              <w:rPr>
                <w:sz w:val="20"/>
                <w:szCs w:val="20"/>
                <w:color w:val="auto"/>
              </w:rPr>
            </w:pPr>
            <w:r>
              <w:rPr>
                <w:rFonts w:ascii="Arial" w:cs="Arial" w:eastAsia="Arial" w:hAnsi="Arial"/>
                <w:sz w:val="14"/>
                <w:szCs w:val="14"/>
                <w:color w:val="auto"/>
                <w:w w:val="99"/>
              </w:rPr>
              <w:t>(I.R.S. Employer</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380" w:type="dxa"/>
            <w:vAlign w:val="bottom"/>
          </w:tcPr>
          <w:p>
            <w:pPr>
              <w:jc w:val="center"/>
              <w:ind w:right="28"/>
              <w:spacing w:after="0"/>
              <w:rPr>
                <w:sz w:val="20"/>
                <w:szCs w:val="20"/>
                <w:color w:val="auto"/>
              </w:rPr>
            </w:pPr>
            <w:r>
              <w:rPr>
                <w:rFonts w:ascii="Arial" w:cs="Arial" w:eastAsia="Arial" w:hAnsi="Arial"/>
                <w:sz w:val="14"/>
                <w:szCs w:val="14"/>
                <w:color w:val="auto"/>
                <w:w w:val="98"/>
              </w:rPr>
              <w:t>Classification Code Number)</w:t>
            </w:r>
          </w:p>
        </w:tc>
        <w:tc>
          <w:tcPr>
            <w:tcW w:w="2240" w:type="dxa"/>
            <w:vAlign w:val="bottom"/>
          </w:tcPr>
          <w:p>
            <w:pPr>
              <w:jc w:val="center"/>
              <w:ind w:left="788"/>
              <w:spacing w:after="0"/>
              <w:rPr>
                <w:sz w:val="20"/>
                <w:szCs w:val="20"/>
                <w:color w:val="auto"/>
              </w:rPr>
            </w:pPr>
            <w:r>
              <w:rPr>
                <w:rFonts w:ascii="Arial" w:cs="Arial" w:eastAsia="Arial" w:hAnsi="Arial"/>
                <w:sz w:val="14"/>
                <w:szCs w:val="14"/>
                <w:color w:val="auto"/>
              </w:rPr>
              <w:t>Identification Number)</w:t>
            </w:r>
          </w:p>
        </w:tc>
      </w:tr>
      <w:tr>
        <w:trPr>
          <w:trHeight w:val="205"/>
        </w:trPr>
        <w:tc>
          <w:tcPr>
            <w:tcW w:w="2560" w:type="dxa"/>
            <w:vAlign w:val="bottom"/>
          </w:tcPr>
          <w:p>
            <w:pPr>
              <w:spacing w:after="0"/>
              <w:rPr>
                <w:sz w:val="17"/>
                <w:szCs w:val="17"/>
                <w:color w:val="auto"/>
              </w:rPr>
            </w:pPr>
          </w:p>
        </w:tc>
        <w:tc>
          <w:tcPr>
            <w:tcW w:w="3380" w:type="dxa"/>
            <w:vAlign w:val="bottom"/>
          </w:tcPr>
          <w:p>
            <w:pPr>
              <w:jc w:val="center"/>
              <w:ind w:right="48"/>
              <w:spacing w:after="0" w:line="206" w:lineRule="exact"/>
              <w:rPr>
                <w:sz w:val="20"/>
                <w:szCs w:val="20"/>
                <w:color w:val="auto"/>
              </w:rPr>
            </w:pPr>
            <w:r>
              <w:rPr>
                <w:rFonts w:ascii="Arial" w:cs="Arial" w:eastAsia="Arial" w:hAnsi="Arial"/>
                <w:sz w:val="14"/>
                <w:szCs w:val="14"/>
                <w:b w:val="1"/>
                <w:bCs w:val="1"/>
                <w:color w:val="auto"/>
                <w:w w:val="88"/>
              </w:rPr>
              <w:t>640 Fifth Avenue, 12</w:t>
            </w:r>
            <w:r>
              <w:rPr>
                <w:rFonts w:ascii="Arial" w:cs="Arial" w:eastAsia="Arial" w:hAnsi="Arial"/>
                <w:sz w:val="21"/>
                <w:szCs w:val="21"/>
                <w:b w:val="1"/>
                <w:bCs w:val="1"/>
                <w:color w:val="auto"/>
                <w:w w:val="88"/>
                <w:vertAlign w:val="superscript"/>
              </w:rPr>
              <w:t>th</w:t>
            </w:r>
            <w:r>
              <w:rPr>
                <w:rFonts w:ascii="Arial" w:cs="Arial" w:eastAsia="Arial" w:hAnsi="Arial"/>
                <w:sz w:val="14"/>
                <w:szCs w:val="14"/>
                <w:b w:val="1"/>
                <w:bCs w:val="1"/>
                <w:color w:val="auto"/>
                <w:w w:val="88"/>
              </w:rPr>
              <w:t xml:space="preserve"> Floor</w:t>
            </w:r>
          </w:p>
        </w:tc>
        <w:tc>
          <w:tcPr>
            <w:tcW w:w="2240" w:type="dxa"/>
            <w:vAlign w:val="bottom"/>
          </w:tcPr>
          <w:p>
            <w:pPr>
              <w:spacing w:after="0"/>
              <w:rPr>
                <w:sz w:val="17"/>
                <w:szCs w:val="17"/>
                <w:color w:val="auto"/>
              </w:rPr>
            </w:pPr>
          </w:p>
        </w:tc>
      </w:tr>
      <w:tr>
        <w:trPr>
          <w:trHeight w:val="148"/>
        </w:trPr>
        <w:tc>
          <w:tcPr>
            <w:tcW w:w="2560" w:type="dxa"/>
            <w:vAlign w:val="bottom"/>
          </w:tcPr>
          <w:p>
            <w:pPr>
              <w:spacing w:after="0"/>
              <w:rPr>
                <w:sz w:val="12"/>
                <w:szCs w:val="12"/>
                <w:color w:val="auto"/>
              </w:rPr>
            </w:pPr>
          </w:p>
        </w:tc>
        <w:tc>
          <w:tcPr>
            <w:tcW w:w="33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New York, NY 10019</w:t>
            </w:r>
          </w:p>
        </w:tc>
        <w:tc>
          <w:tcPr>
            <w:tcW w:w="2240" w:type="dxa"/>
            <w:vAlign w:val="bottom"/>
          </w:tcPr>
          <w:p>
            <w:pPr>
              <w:spacing w:after="0"/>
              <w:rPr>
                <w:sz w:val="12"/>
                <w:szCs w:val="12"/>
                <w:color w:val="auto"/>
              </w:rPr>
            </w:pPr>
          </w:p>
        </w:tc>
      </w:tr>
      <w:tr>
        <w:trPr>
          <w:trHeight w:val="164"/>
        </w:trPr>
        <w:tc>
          <w:tcPr>
            <w:tcW w:w="2560" w:type="dxa"/>
            <w:vAlign w:val="bottom"/>
          </w:tcPr>
          <w:p>
            <w:pPr>
              <w:spacing w:after="0"/>
              <w:rPr>
                <w:sz w:val="14"/>
                <w:szCs w:val="14"/>
                <w:color w:val="auto"/>
              </w:rPr>
            </w:pPr>
          </w:p>
        </w:tc>
        <w:tc>
          <w:tcPr>
            <w:tcW w:w="338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Telephone: (212) 380-7500</w:t>
            </w:r>
          </w:p>
        </w:tc>
        <w:tc>
          <w:tcPr>
            <w:tcW w:w="2240" w:type="dxa"/>
            <w:vAlign w:val="bottom"/>
          </w:tcPr>
          <w:p>
            <w:pPr>
              <w:spacing w:after="0"/>
              <w:rPr>
                <w:sz w:val="14"/>
                <w:szCs w:val="14"/>
                <w:color w:val="auto"/>
              </w:rPr>
            </w:pPr>
          </w:p>
        </w:tc>
      </w:tr>
    </w:tbl>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3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Jay Taragin</w:t>
      </w:r>
    </w:p>
    <w:p>
      <w:pPr>
        <w:jc w:val="center"/>
        <w:ind w:right="-479"/>
        <w:spacing w:after="0" w:line="226" w:lineRule="auto"/>
        <w:rPr>
          <w:sz w:val="20"/>
          <w:szCs w:val="20"/>
          <w:color w:val="auto"/>
        </w:rPr>
      </w:pPr>
      <w:r>
        <w:rPr>
          <w:rFonts w:ascii="Arial" w:cs="Arial" w:eastAsia="Arial" w:hAnsi="Arial"/>
          <w:sz w:val="14"/>
          <w:szCs w:val="14"/>
          <w:b w:val="1"/>
          <w:bCs w:val="1"/>
          <w:color w:val="auto"/>
        </w:rPr>
        <w:t>c/o Annetta Acquisition Corp</w:t>
      </w:r>
    </w:p>
    <w:p>
      <w:pPr>
        <w:jc w:val="center"/>
        <w:ind w:right="-479"/>
        <w:spacing w:after="0" w:line="188" w:lineRule="auto"/>
        <w:rPr>
          <w:sz w:val="20"/>
          <w:szCs w:val="20"/>
          <w:color w:val="auto"/>
        </w:rPr>
      </w:pPr>
      <w:r>
        <w:rPr>
          <w:rFonts w:ascii="Arial" w:cs="Arial" w:eastAsia="Arial" w:hAnsi="Arial"/>
          <w:sz w:val="13"/>
          <w:szCs w:val="13"/>
          <w:b w:val="1"/>
          <w:bCs w:val="1"/>
          <w:color w:val="auto"/>
        </w:rPr>
        <w:t>640 Fifth Avenue, 12</w:t>
      </w:r>
      <w:r>
        <w:rPr>
          <w:rFonts w:ascii="Arial" w:cs="Arial" w:eastAsia="Arial" w:hAnsi="Arial"/>
          <w:sz w:val="18"/>
          <w:szCs w:val="18"/>
          <w:b w:val="1"/>
          <w:bCs w:val="1"/>
          <w:color w:val="auto"/>
          <w:vertAlign w:val="superscript"/>
        </w:rPr>
        <w:t>th</w:t>
      </w:r>
      <w:r>
        <w:rPr>
          <w:rFonts w:ascii="Arial" w:cs="Arial" w:eastAsia="Arial" w:hAnsi="Arial"/>
          <w:sz w:val="13"/>
          <w:szCs w:val="13"/>
          <w:b w:val="1"/>
          <w:bCs w:val="1"/>
          <w:color w:val="auto"/>
        </w:rPr>
        <w:t xml:space="preserve"> Floor</w:t>
      </w:r>
    </w:p>
    <w:p>
      <w:pPr>
        <w:jc w:val="center"/>
        <w:ind w:right="-479"/>
        <w:spacing w:after="0" w:line="221" w:lineRule="auto"/>
        <w:rPr>
          <w:sz w:val="20"/>
          <w:szCs w:val="20"/>
          <w:color w:val="auto"/>
        </w:rPr>
      </w:pPr>
      <w:r>
        <w:rPr>
          <w:rFonts w:ascii="Arial" w:cs="Arial" w:eastAsia="Arial" w:hAnsi="Arial"/>
          <w:sz w:val="14"/>
          <w:szCs w:val="14"/>
          <w:b w:val="1"/>
          <w:bCs w:val="1"/>
          <w:color w:val="auto"/>
        </w:rPr>
        <w:t>New York, NY 10019</w:t>
      </w:r>
    </w:p>
    <w:p>
      <w:pPr>
        <w:jc w:val="center"/>
        <w:ind w:right="-479"/>
        <w:spacing w:after="0" w:line="222" w:lineRule="auto"/>
        <w:rPr>
          <w:sz w:val="20"/>
          <w:szCs w:val="20"/>
          <w:color w:val="auto"/>
        </w:rPr>
      </w:pPr>
      <w:r>
        <w:rPr>
          <w:rFonts w:ascii="Arial" w:cs="Arial" w:eastAsia="Arial" w:hAnsi="Arial"/>
          <w:sz w:val="14"/>
          <w:szCs w:val="14"/>
          <w:b w:val="1"/>
          <w:bCs w:val="1"/>
          <w:color w:val="auto"/>
        </w:rPr>
        <w:t>Telephone: (212) 380-7500</w:t>
      </w: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47625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8" w:lineRule="exact"/>
        <w:rPr>
          <w:sz w:val="24"/>
          <w:szCs w:val="24"/>
          <w:color w:val="auto"/>
        </w:rPr>
      </w:pPr>
    </w:p>
    <w:tbl>
      <w:tblPr>
        <w:tblLayout w:type="fixed"/>
        <w:tblInd w:w="144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4300" w:type="dxa"/>
            <w:vAlign w:val="bottom"/>
            <w:gridSpan w:val="2"/>
          </w:tcPr>
          <w:p>
            <w:pPr>
              <w:ind w:left="680"/>
              <w:spacing w:after="0"/>
              <w:rPr>
                <w:sz w:val="20"/>
                <w:szCs w:val="20"/>
                <w:color w:val="auto"/>
              </w:rPr>
            </w:pPr>
            <w:r>
              <w:rPr>
                <w:rFonts w:ascii="Arial" w:cs="Arial" w:eastAsia="Arial" w:hAnsi="Arial"/>
                <w:sz w:val="14"/>
                <w:szCs w:val="14"/>
                <w:b w:val="1"/>
                <w:bCs w:val="1"/>
                <w:i w:val="1"/>
                <w:iCs w:val="1"/>
                <w:color w:val="auto"/>
              </w:rPr>
              <w:t>Copies to:</w:t>
            </w:r>
          </w:p>
        </w:tc>
      </w:tr>
      <w:tr>
        <w:trPr>
          <w:trHeight w:val="246"/>
        </w:trPr>
        <w:tc>
          <w:tcPr>
            <w:tcW w:w="29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Raphael M. Russo, Esq.</w:t>
            </w:r>
          </w:p>
        </w:tc>
        <w:tc>
          <w:tcPr>
            <w:tcW w:w="1940" w:type="dxa"/>
            <w:vAlign w:val="bottom"/>
          </w:tcPr>
          <w:p>
            <w:pPr>
              <w:spacing w:after="0"/>
              <w:rPr>
                <w:sz w:val="21"/>
                <w:szCs w:val="21"/>
                <w:color w:val="auto"/>
              </w:rPr>
            </w:pPr>
          </w:p>
        </w:tc>
        <w:tc>
          <w:tcPr>
            <w:tcW w:w="2360" w:type="dxa"/>
            <w:vAlign w:val="bottom"/>
          </w:tcPr>
          <w:p>
            <w:pPr>
              <w:jc w:val="center"/>
              <w:ind w:left="528"/>
              <w:spacing w:after="0"/>
              <w:rPr>
                <w:sz w:val="20"/>
                <w:szCs w:val="20"/>
                <w:color w:val="auto"/>
              </w:rPr>
            </w:pPr>
            <w:r>
              <w:rPr>
                <w:rFonts w:ascii="Arial" w:cs="Arial" w:eastAsia="Arial" w:hAnsi="Arial"/>
                <w:sz w:val="14"/>
                <w:szCs w:val="14"/>
                <w:b w:val="1"/>
                <w:bCs w:val="1"/>
                <w:color w:val="auto"/>
                <w:w w:val="88"/>
              </w:rPr>
              <w:t>Joel L. Rubinstein, Esq.</w:t>
            </w:r>
          </w:p>
        </w:tc>
      </w:tr>
      <w:tr>
        <w:trPr>
          <w:trHeight w:val="149"/>
        </w:trPr>
        <w:tc>
          <w:tcPr>
            <w:tcW w:w="2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Paul, Weiss, Rifkind, Wharton &amp; Garrison LLP</w:t>
            </w:r>
          </w:p>
        </w:tc>
        <w:tc>
          <w:tcPr>
            <w:tcW w:w="1940" w:type="dxa"/>
            <w:vAlign w:val="bottom"/>
          </w:tcPr>
          <w:p>
            <w:pPr>
              <w:spacing w:after="0"/>
              <w:rPr>
                <w:sz w:val="12"/>
                <w:szCs w:val="12"/>
                <w:color w:val="auto"/>
              </w:rPr>
            </w:pPr>
          </w:p>
        </w:tc>
        <w:tc>
          <w:tcPr>
            <w:tcW w:w="236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87"/>
              </w:rPr>
              <w:t>Daniel E. Nussen, Esq.</w:t>
            </w:r>
          </w:p>
        </w:tc>
      </w:tr>
      <w:tr>
        <w:trPr>
          <w:trHeight w:val="148"/>
        </w:trPr>
        <w:tc>
          <w:tcPr>
            <w:tcW w:w="2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1285 Avenue of the Americas</w:t>
            </w:r>
          </w:p>
        </w:tc>
        <w:tc>
          <w:tcPr>
            <w:tcW w:w="1940" w:type="dxa"/>
            <w:vAlign w:val="bottom"/>
          </w:tcPr>
          <w:p>
            <w:pPr>
              <w:spacing w:after="0"/>
              <w:rPr>
                <w:sz w:val="12"/>
                <w:szCs w:val="12"/>
                <w:color w:val="auto"/>
              </w:rPr>
            </w:pPr>
          </w:p>
        </w:tc>
        <w:tc>
          <w:tcPr>
            <w:tcW w:w="236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3"/>
              </w:rPr>
              <w:t>White &amp; Case LLP</w:t>
            </w:r>
          </w:p>
        </w:tc>
      </w:tr>
      <w:tr>
        <w:trPr>
          <w:trHeight w:val="148"/>
        </w:trPr>
        <w:tc>
          <w:tcPr>
            <w:tcW w:w="29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New York, NY 10019</w:t>
            </w:r>
          </w:p>
        </w:tc>
        <w:tc>
          <w:tcPr>
            <w:tcW w:w="1940" w:type="dxa"/>
            <w:vAlign w:val="bottom"/>
          </w:tcPr>
          <w:p>
            <w:pPr>
              <w:spacing w:after="0"/>
              <w:rPr>
                <w:sz w:val="12"/>
                <w:szCs w:val="12"/>
                <w:color w:val="auto"/>
              </w:rPr>
            </w:pPr>
          </w:p>
        </w:tc>
        <w:tc>
          <w:tcPr>
            <w:tcW w:w="236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88"/>
              </w:rPr>
              <w:t>1221 Avenue of the Americas</w:t>
            </w:r>
          </w:p>
        </w:tc>
      </w:tr>
      <w:tr>
        <w:trPr>
          <w:trHeight w:val="149"/>
        </w:trPr>
        <w:tc>
          <w:tcPr>
            <w:tcW w:w="29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(212) 373-3000</w:t>
            </w:r>
          </w:p>
        </w:tc>
        <w:tc>
          <w:tcPr>
            <w:tcW w:w="1940" w:type="dxa"/>
            <w:vAlign w:val="bottom"/>
          </w:tcPr>
          <w:p>
            <w:pPr>
              <w:spacing w:after="0"/>
              <w:rPr>
                <w:sz w:val="12"/>
                <w:szCs w:val="12"/>
                <w:color w:val="auto"/>
              </w:rPr>
            </w:pPr>
          </w:p>
        </w:tc>
        <w:tc>
          <w:tcPr>
            <w:tcW w:w="236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2"/>
              </w:rPr>
              <w:t>New York, NY 10020</w:t>
            </w:r>
          </w:p>
        </w:tc>
      </w:tr>
      <w:tr>
        <w:trPr>
          <w:trHeight w:val="185"/>
        </w:trPr>
        <w:tc>
          <w:tcPr>
            <w:tcW w:w="296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360" w:type="dxa"/>
            <w:vAlign w:val="bottom"/>
          </w:tcPr>
          <w:p>
            <w:pPr>
              <w:jc w:val="center"/>
              <w:ind w:left="568"/>
              <w:spacing w:after="0"/>
              <w:rPr>
                <w:sz w:val="20"/>
                <w:szCs w:val="20"/>
                <w:color w:val="auto"/>
              </w:rPr>
            </w:pPr>
            <w:r>
              <w:rPr>
                <w:rFonts w:ascii="Arial" w:cs="Arial" w:eastAsia="Arial" w:hAnsi="Arial"/>
                <w:sz w:val="14"/>
                <w:szCs w:val="14"/>
                <w:b w:val="1"/>
                <w:bCs w:val="1"/>
                <w:color w:val="auto"/>
                <w:w w:val="91"/>
              </w:rPr>
              <w:t>(212) 819-8200</w:t>
            </w:r>
          </w:p>
        </w:tc>
      </w:tr>
    </w:tbl>
    <w:p>
      <w:pPr>
        <w:spacing w:after="0" w:line="58" w:lineRule="exact"/>
        <w:rPr>
          <w:sz w:val="24"/>
          <w:szCs w:val="24"/>
          <w:color w:val="auto"/>
        </w:rPr>
      </w:pPr>
    </w:p>
    <w:p>
      <w:pPr>
        <w:ind w:left="118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ind w:left="860"/>
        <w:spacing w:after="0" w:line="232"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w:t>
      </w:r>
    </w:p>
    <w:p>
      <w:pPr>
        <w:ind w:left="500"/>
        <w:spacing w:after="0" w:line="161" w:lineRule="exact"/>
        <w:rPr>
          <w:sz w:val="20"/>
          <w:szCs w:val="20"/>
          <w:color w:val="auto"/>
        </w:rPr>
      </w:pPr>
      <w:r>
        <w:rPr>
          <w:rFonts w:ascii="Arial" w:cs="Arial" w:eastAsia="Arial" w:hAnsi="Arial"/>
          <w:sz w:val="14"/>
          <w:szCs w:val="14"/>
          <w:color w:val="auto"/>
        </w:rPr>
        <w:t xml:space="preserve">1933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500" w:right="180" w:firstLine="360"/>
        <w:spacing w:after="0" w:line="14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00" w:right="380" w:firstLine="360"/>
        <w:spacing w:after="0" w:line="14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00" w:right="38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p>
      <w:pPr>
        <w:spacing w:after="0" w:line="2" w:lineRule="exact"/>
        <w:rPr>
          <w:sz w:val="24"/>
          <w:szCs w:val="24"/>
          <w:color w:val="auto"/>
        </w:rPr>
      </w:pPr>
    </w:p>
    <w:tbl>
      <w:tblPr>
        <w:tblLayout w:type="fixed"/>
        <w:tblInd w:w="860"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6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ind w:left="500" w:right="80" w:firstLine="360"/>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40640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6"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180455"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0455" cy="908685"/>
                    </a:xfrm>
                    <a:prstGeom prst="rect">
                      <a:avLst/>
                    </a:prstGeom>
                    <a:noFill/>
                  </pic:spPr>
                </pic:pic>
              </a:graphicData>
            </a:graphic>
          </wp:anchor>
        </w:drawing>
      </w:r>
    </w:p>
    <w:p>
      <w:pPr>
        <w:spacing w:after="0" w:line="45"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Title of Each Class of Security</w:t>
            </w:r>
          </w:p>
        </w:tc>
        <w:tc>
          <w:tcPr>
            <w:tcW w:w="15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89"/>
              </w:rPr>
              <w:t>Amount Being</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Proposed Maximum</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Proposed Maximum</w:t>
            </w:r>
          </w:p>
        </w:tc>
        <w:tc>
          <w:tcPr>
            <w:tcW w:w="10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20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Offering Price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Being Registered</w:t>
            </w:r>
          </w:p>
        </w:tc>
        <w:tc>
          <w:tcPr>
            <w:tcW w:w="15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8"/>
              </w:rPr>
              <w:t>Registered</w:t>
            </w:r>
          </w:p>
        </w:tc>
        <w:tc>
          <w:tcPr>
            <w:tcW w:w="14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6"/>
              </w:rPr>
              <w:t>per Security</w:t>
            </w:r>
            <w:r>
              <w:rPr>
                <w:rFonts w:ascii="Arial" w:cs="Arial" w:eastAsia="Arial" w:hAnsi="Arial"/>
                <w:sz w:val="20"/>
                <w:szCs w:val="20"/>
                <w:b w:val="1"/>
                <w:bCs w:val="1"/>
                <w:color w:val="auto"/>
                <w:w w:val="86"/>
                <w:vertAlign w:val="superscript"/>
              </w:rPr>
              <w:t>(1)</w:t>
            </w:r>
          </w:p>
        </w:tc>
        <w:tc>
          <w:tcPr>
            <w:tcW w:w="14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8"/>
              </w:rPr>
              <w:t>Offering Price</w:t>
            </w:r>
            <w:r>
              <w:rPr>
                <w:rFonts w:ascii="Arial" w:cs="Arial" w:eastAsia="Arial" w:hAnsi="Arial"/>
                <w:sz w:val="20"/>
                <w:szCs w:val="20"/>
                <w:b w:val="1"/>
                <w:bCs w:val="1"/>
                <w:color w:val="auto"/>
                <w:w w:val="88"/>
                <w:vertAlign w:val="superscript"/>
              </w:rPr>
              <w:t>(1)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Registration Fee</w:t>
            </w:r>
          </w:p>
        </w:tc>
        <w:tc>
          <w:tcPr>
            <w:tcW w:w="0" w:type="dxa"/>
            <w:vAlign w:val="bottom"/>
          </w:tcPr>
          <w:p>
            <w:pPr>
              <w:spacing w:after="0"/>
              <w:rPr>
                <w:sz w:val="1"/>
                <w:szCs w:val="1"/>
                <w:color w:val="auto"/>
              </w:rPr>
            </w:pPr>
          </w:p>
        </w:tc>
      </w:tr>
      <w:tr>
        <w:trPr>
          <w:trHeight w:val="128"/>
        </w:trPr>
        <w:tc>
          <w:tcPr>
            <w:tcW w:w="42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Units, each consisting of one share of Class A common stock,</w:t>
            </w:r>
          </w:p>
        </w:tc>
        <w:tc>
          <w:tcPr>
            <w:tcW w:w="15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2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4"/>
                <w:szCs w:val="14"/>
                <w:color w:val="auto"/>
                <w:w w:val="95"/>
              </w:rPr>
              <w:t>$0.0001 par value, and one-fourth of one redeemable warrant</w:t>
            </w:r>
            <w:r>
              <w:rPr>
                <w:rFonts w:ascii="Arial" w:cs="Arial" w:eastAsia="Arial" w:hAnsi="Arial"/>
                <w:sz w:val="21"/>
                <w:szCs w:val="21"/>
                <w:color w:val="auto"/>
                <w:w w:val="95"/>
                <w:vertAlign w:val="superscript"/>
              </w:rPr>
              <w:t>(2)</w:t>
            </w:r>
          </w:p>
        </w:tc>
        <w:tc>
          <w:tcPr>
            <w:tcW w:w="1560" w:type="dxa"/>
            <w:vAlign w:val="bottom"/>
            <w:tcBorders>
              <w:bottom w:val="single" w:sz="8" w:color="auto"/>
            </w:tcBorders>
            <w:shd w:val="clear" w:color="auto" w:fill="CCEEFF"/>
          </w:tcPr>
          <w:p>
            <w:pPr>
              <w:jc w:val="center"/>
              <w:ind w:left="48"/>
              <w:spacing w:after="0"/>
              <w:rPr>
                <w:sz w:val="20"/>
                <w:szCs w:val="20"/>
                <w:color w:val="auto"/>
              </w:rPr>
            </w:pPr>
            <w:r>
              <w:rPr>
                <w:rFonts w:ascii="Arial" w:cs="Arial" w:eastAsia="Arial" w:hAnsi="Arial"/>
                <w:sz w:val="14"/>
                <w:szCs w:val="14"/>
                <w:color w:val="auto"/>
                <w:w w:val="98"/>
              </w:rPr>
              <w:t>86,250,000 Units</w:t>
            </w:r>
          </w:p>
        </w:tc>
        <w:tc>
          <w:tcPr>
            <w:tcW w:w="144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$10.00</w:t>
            </w:r>
          </w:p>
        </w:tc>
        <w:tc>
          <w:tcPr>
            <w:tcW w:w="14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$862,500,000</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color w:val="auto"/>
              </w:rPr>
              <w:t>$111,953</w:t>
            </w:r>
          </w:p>
        </w:tc>
        <w:tc>
          <w:tcPr>
            <w:tcW w:w="0" w:type="dxa"/>
            <w:vAlign w:val="bottom"/>
          </w:tcPr>
          <w:p>
            <w:pPr>
              <w:spacing w:after="0"/>
              <w:rPr>
                <w:sz w:val="1"/>
                <w:szCs w:val="1"/>
                <w:color w:val="auto"/>
              </w:rPr>
            </w:pPr>
          </w:p>
        </w:tc>
      </w:tr>
      <w:tr>
        <w:trPr>
          <w:trHeight w:val="169"/>
        </w:trPr>
        <w:tc>
          <w:tcPr>
            <w:tcW w:w="4200" w:type="dxa"/>
            <w:vAlign w:val="bottom"/>
            <w:tcBorders>
              <w:bottom w:val="single" w:sz="8" w:color="auto"/>
            </w:tcBorders>
          </w:tcPr>
          <w:p>
            <w:pPr>
              <w:spacing w:after="0" w:line="169" w:lineRule="exact"/>
              <w:rPr>
                <w:sz w:val="20"/>
                <w:szCs w:val="20"/>
                <w:color w:val="auto"/>
              </w:rPr>
            </w:pPr>
            <w:r>
              <w:rPr>
                <w:rFonts w:ascii="Arial" w:cs="Arial" w:eastAsia="Arial" w:hAnsi="Arial"/>
                <w:sz w:val="13"/>
                <w:szCs w:val="13"/>
                <w:color w:val="auto"/>
              </w:rPr>
              <w:t>Shares of Class A common stock included as part of the units</w:t>
            </w:r>
            <w:r>
              <w:rPr>
                <w:rFonts w:ascii="Arial" w:cs="Arial" w:eastAsia="Arial" w:hAnsi="Arial"/>
                <w:sz w:val="19"/>
                <w:szCs w:val="19"/>
                <w:color w:val="auto"/>
                <w:vertAlign w:val="superscript"/>
              </w:rPr>
              <w:t>(3)</w:t>
            </w:r>
          </w:p>
        </w:tc>
        <w:tc>
          <w:tcPr>
            <w:tcW w:w="15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86,250,000 Shares</w:t>
            </w:r>
          </w:p>
        </w:tc>
        <w:tc>
          <w:tcPr>
            <w:tcW w:w="14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3"/>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69"/>
        </w:trPr>
        <w:tc>
          <w:tcPr>
            <w:tcW w:w="42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3"/>
                <w:szCs w:val="13"/>
                <w:color w:val="auto"/>
              </w:rPr>
              <w:t>Redeemable warrants included as part of the units</w:t>
            </w:r>
            <w:r>
              <w:rPr>
                <w:rFonts w:ascii="Arial" w:cs="Arial" w:eastAsia="Arial" w:hAnsi="Arial"/>
                <w:sz w:val="19"/>
                <w:szCs w:val="19"/>
                <w:color w:val="auto"/>
                <w:vertAlign w:val="superscript"/>
              </w:rPr>
              <w:t>(3)</w:t>
            </w:r>
          </w:p>
        </w:tc>
        <w:tc>
          <w:tcPr>
            <w:tcW w:w="156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96"/>
              </w:rPr>
              <w:t>21,562,500 Warrants</w:t>
            </w:r>
          </w:p>
        </w:tc>
        <w:tc>
          <w:tcPr>
            <w:tcW w:w="144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200" w:type="dxa"/>
            <w:vAlign w:val="bottom"/>
          </w:tcPr>
          <w:p>
            <w:pPr>
              <w:spacing w:after="0" w:line="157" w:lineRule="exact"/>
              <w:rPr>
                <w:sz w:val="20"/>
                <w:szCs w:val="20"/>
                <w:color w:val="auto"/>
              </w:rPr>
            </w:pPr>
            <w:r>
              <w:rPr>
                <w:rFonts w:ascii="Arial" w:cs="Arial" w:eastAsia="Arial" w:hAnsi="Arial"/>
                <w:sz w:val="14"/>
                <w:szCs w:val="14"/>
                <w:color w:val="auto"/>
              </w:rPr>
              <w:t>Total</w:t>
            </w:r>
          </w:p>
        </w:tc>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$862,500,000</w:t>
            </w:r>
          </w:p>
        </w:tc>
        <w:tc>
          <w:tcPr>
            <w:tcW w:w="1080" w:type="dxa"/>
            <w:vAlign w:val="bottom"/>
          </w:tcPr>
          <w:p>
            <w:pPr>
              <w:jc w:val="right"/>
              <w:ind w:right="133"/>
              <w:spacing w:after="0" w:line="157" w:lineRule="exact"/>
              <w:rPr>
                <w:sz w:val="20"/>
                <w:szCs w:val="20"/>
                <w:color w:val="auto"/>
              </w:rPr>
            </w:pPr>
            <w:r>
              <w:rPr>
                <w:rFonts w:ascii="Arial" w:cs="Arial" w:eastAsia="Arial" w:hAnsi="Arial"/>
                <w:sz w:val="14"/>
                <w:szCs w:val="14"/>
                <w:color w:val="auto"/>
              </w:rPr>
              <w:t>$111,953</w:t>
            </w:r>
          </w:p>
        </w:tc>
        <w:tc>
          <w:tcPr>
            <w:tcW w:w="0" w:type="dxa"/>
            <w:vAlign w:val="bottom"/>
          </w:tcPr>
          <w:p>
            <w:pPr>
              <w:spacing w:after="0"/>
              <w:rPr>
                <w:sz w:val="1"/>
                <w:szCs w:val="1"/>
                <w:color w:val="auto"/>
              </w:rPr>
            </w:pPr>
          </w:p>
        </w:tc>
      </w:tr>
    </w:tbl>
    <w:p>
      <w:pPr>
        <w:ind w:left="860" w:hanging="366"/>
        <w:spacing w:after="0" w:line="197" w:lineRule="auto"/>
        <w:tabs>
          <w:tab w:leader="none" w:pos="860"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calculating the registration fee pursuant to Rule 457(a) under the Securities Act of 1933, as amended (the “Securities Act”).</w:t>
      </w:r>
    </w:p>
    <w:p>
      <w:pPr>
        <w:ind w:left="860" w:right="200" w:hanging="366"/>
        <w:spacing w:after="0" w:line="195"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11,250,000 units, consisting of 11,250,000 shares of Class A common stock and 2,812,500 redeemable warrants, which may be issued upon exercise of a 45-day option granted to the underwriters to cover over-allotments, if any.</w:t>
      </w:r>
    </w:p>
    <w:p>
      <w:pPr>
        <w:ind w:left="860" w:right="80" w:hanging="366"/>
        <w:spacing w:after="0" w:line="195"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 under the Securities Act.</w:t>
      </w:r>
    </w:p>
    <w:p>
      <w:pPr>
        <w:spacing w:after="0" w:line="12" w:lineRule="exact"/>
        <w:rPr>
          <w:sz w:val="24"/>
          <w:szCs w:val="24"/>
          <w:color w:val="auto"/>
        </w:rPr>
      </w:pPr>
    </w:p>
    <w:p>
      <w:pPr>
        <w:ind w:left="500" w:firstLine="360"/>
        <w:spacing w:after="0" w:line="301"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180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57150</wp:posOffset>
            </wp:positionV>
            <wp:extent cx="61804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220"/>
          </w:cols>
          <w:pgMar w:left="320" w:top="131" w:right="1359" w:bottom="1440" w:gutter="0" w:footer="0" w:header="0"/>
        </w:sectPr>
      </w:pPr>
    </w:p>
    <w:p>
      <w:pPr>
        <w:spacing w:after="0" w:line="280" w:lineRule="exact"/>
        <w:rPr>
          <w:sz w:val="20"/>
          <w:szCs w:val="20"/>
          <w:color w:val="auto"/>
        </w:rPr>
      </w:pPr>
    </w:p>
    <w:tbl>
      <w:tblPr>
        <w:tblLayout w:type="fixed"/>
        <w:tblInd w:w="440" w:type="dxa"/>
        <w:tblCellMar>
          <w:top w:w="0" w:type="dxa"/>
          <w:left w:w="0" w:type="dxa"/>
          <w:bottom w:w="0" w:type="dxa"/>
          <w:right w:w="0" w:type="dxa"/>
        </w:tblCellMar>
      </w:tblPr>
      <w:tr>
        <w:trPr>
          <w:trHeight w:val="98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offer or sale is</w:t>
            </w:r>
          </w:p>
        </w:tc>
      </w:tr>
      <w:tr>
        <w:trPr>
          <w:trHeight w:val="71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where the</w:t>
            </w:r>
          </w:p>
        </w:tc>
      </w:tr>
      <w:tr>
        <w:trPr>
          <w:trHeight w:val="451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204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 not</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to sell these securities and it</w:t>
            </w:r>
          </w:p>
        </w:tc>
      </w:tr>
      <w:tr>
        <w:trPr>
          <w:trHeight w:val="9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300" w:type="dxa"/>
            <w:vAlign w:val="bottom"/>
            <w:textDirection w:val="btLr"/>
          </w:tcPr>
          <w:p>
            <w:pPr>
              <w:ind w:left="18"/>
              <w:spacing w:after="0"/>
              <w:rPr>
                <w:sz w:val="20"/>
                <w:szCs w:val="20"/>
                <w:color w:val="auto"/>
              </w:rPr>
            </w:pPr>
            <w:r>
              <w:rPr>
                <w:rFonts w:ascii="Arial" w:cs="Arial" w:eastAsia="Arial" w:hAnsi="Arial"/>
                <w:sz w:val="14"/>
                <w:szCs w:val="14"/>
                <w:b w:val="1"/>
                <w:bCs w:val="1"/>
                <w:color w:val="FC0014"/>
              </w:rPr>
              <w:t>is not an offer</w:t>
            </w:r>
          </w:p>
        </w:tc>
      </w:tr>
      <w:tr>
        <w:trPr>
          <w:trHeight w:val="364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00" w:type="dxa"/>
            <w:vAlign w:val="bottom"/>
            <w:textDirection w:val="btLr"/>
          </w:tcPr>
          <w:p>
            <w:pPr>
              <w:ind w:left="139"/>
              <w:spacing w:after="0"/>
              <w:rPr>
                <w:sz w:val="20"/>
                <w:szCs w:val="20"/>
                <w:color w:val="auto"/>
              </w:rPr>
            </w:pPr>
            <w:r>
              <w:rPr>
                <w:rFonts w:ascii="Arial" w:cs="Arial" w:eastAsia="Arial" w:hAnsi="Arial"/>
                <w:sz w:val="14"/>
                <w:szCs w:val="14"/>
                <w:b w:val="1"/>
                <w:bCs w:val="1"/>
                <w:color w:val="FC0014"/>
                <w:w w:val="81"/>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244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FC0014"/>
              </w:rPr>
              <w:t>SUBJECT TO COMPLETION, DATED</w:t>
            </w:r>
          </w:p>
        </w:tc>
        <w:tc>
          <w:tcPr>
            <w:tcW w:w="820" w:type="dxa"/>
            <w:vAlign w:val="bottom"/>
          </w:tcPr>
          <w:p>
            <w:pPr>
              <w:jc w:val="right"/>
              <w:spacing w:after="0"/>
              <w:rPr>
                <w:sz w:val="20"/>
                <w:szCs w:val="20"/>
                <w:color w:val="auto"/>
              </w:rPr>
            </w:pPr>
            <w:r>
              <w:rPr>
                <w:rFonts w:ascii="Arial" w:cs="Arial" w:eastAsia="Arial" w:hAnsi="Arial"/>
                <w:sz w:val="18"/>
                <w:szCs w:val="18"/>
                <w:color w:val="FC0014"/>
              </w:rPr>
              <w:t>, 2020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$750,000,000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Annetta Acquisition Corp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75,000,000 Units</w:t>
      </w:r>
    </w:p>
    <w:p>
      <w:pPr>
        <w:spacing w:after="0" w:line="12" w:lineRule="exact"/>
        <w:rPr>
          <w:sz w:val="20"/>
          <w:szCs w:val="20"/>
          <w:color w:val="auto"/>
        </w:rPr>
      </w:pPr>
    </w:p>
    <w:p>
      <w:pPr>
        <w:ind w:right="20" w:firstLine="360"/>
        <w:spacing w:after="0" w:line="231" w:lineRule="auto"/>
        <w:rPr>
          <w:sz w:val="20"/>
          <w:szCs w:val="20"/>
          <w:color w:val="auto"/>
        </w:rPr>
      </w:pPr>
      <w:r>
        <w:rPr>
          <w:rFonts w:ascii="Arial" w:cs="Arial" w:eastAsia="Arial" w:hAnsi="Arial"/>
          <w:sz w:val="14"/>
          <w:szCs w:val="14"/>
          <w:color w:val="auto"/>
        </w:rPr>
        <w:t>Annetta Acquisition Corp is a newly incorporated blank check company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business or industry.</w:t>
      </w:r>
    </w:p>
    <w:p>
      <w:pPr>
        <w:spacing w:after="0" w:line="1" w:lineRule="exact"/>
        <w:rPr>
          <w:sz w:val="20"/>
          <w:szCs w:val="20"/>
          <w:color w:val="auto"/>
        </w:rPr>
      </w:pPr>
    </w:p>
    <w:p>
      <w:pPr>
        <w:ind w:firstLine="360"/>
        <w:spacing w:after="0" w:line="226"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our Class A common stock and one-fourth of one redeemable warrant. Each whole warrant entitles the holder thereof to purchase one share of our Class A common stock at a price of $ 11.50 per share, subject to adjustment as described in this prospectus. Only whole warrants are exercisable. The warrants will become exercisable on the later of 30 days after the completion of our initial business combination and 12 months from the closing of this offering (the “warrant exercise date”), and will expire five years after the completion of our initial business combination or earlier upon redemption or liquidation (the “warrant expiration date”), as described in this prospectus. Subject to the terms and conditions described in this prospectus, we may redeem the warrants for cash once the warrants become exercisable. We have also granted the underwriters a 45-day option to purchase up to an additional 11,250,000 units to cover over-allotments, if any.</w:t>
      </w:r>
    </w:p>
    <w:p>
      <w:pPr>
        <w:spacing w:after="0" w:line="9" w:lineRule="exact"/>
        <w:rPr>
          <w:sz w:val="20"/>
          <w:szCs w:val="20"/>
          <w:color w:val="auto"/>
        </w:rPr>
      </w:pPr>
    </w:p>
    <w:p>
      <w:pPr>
        <w:ind w:right="20" w:firstLine="360"/>
        <w:spacing w:after="0" w:line="226"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our Class A common stock upon the completion of our initial business combination at a per share price, payable in cash, equal to the aggregate amount then on deposit in the trust account described below calculated as of two business days prior to the consummation of our initial business combination, including interest (net of amounts withdrawn to fund our working capital requirements, subject to an annual limit of $1,000,000, and/or to pay our taxes (“permitted withdrawals”)), divided by the number of then outstanding public shares, subject to the limitations described herein. If we are unable to complete our initial business combination within 24 months from the closing of this offering (or 27 months from the closing of this offering if we have executed a letter of intent, agreement in principle or definitive agreement for an initial business combination within 24 months from the closing of this offering),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as further described herein.</w:t>
      </w:r>
    </w:p>
    <w:p>
      <w:pPr>
        <w:spacing w:after="0" w:line="9" w:lineRule="exact"/>
        <w:rPr>
          <w:sz w:val="20"/>
          <w:szCs w:val="20"/>
          <w:color w:val="auto"/>
        </w:rPr>
      </w:pPr>
    </w:p>
    <w:p>
      <w:pPr>
        <w:ind w:right="60" w:firstLine="360"/>
        <w:spacing w:after="0" w:line="249" w:lineRule="auto"/>
        <w:rPr>
          <w:sz w:val="20"/>
          <w:szCs w:val="20"/>
          <w:color w:val="auto"/>
        </w:rPr>
      </w:pPr>
      <w:r>
        <w:rPr>
          <w:rFonts w:ascii="Arial" w:cs="Arial" w:eastAsia="Arial" w:hAnsi="Arial"/>
          <w:sz w:val="13"/>
          <w:szCs w:val="13"/>
          <w:color w:val="auto"/>
        </w:rPr>
        <w:t>Our sponsor, Annetta Sponsor LLC, is an affiliate of M. Klein and Company, LLC. Our sponsor has subscribed to purchase an aggregate of 16,000,000 warrants (or 18,250,000 warrants if the underwriters’ option to purchase additional units is exercised in full) at a price of $1.00 per warrant ( $16,000,000 in the aggregate, or $18,250,000 in the aggregate if the underwriters’ option to purchase additional units is exercised in full) in a private placement that will close simultaneously with the closing of this offering (the “Private Placement”). Each private placement warrant entitles the holder thereof to purchase one share of our Class A common stock at $11.50 per share, subject to adjustment as described in this prospectus.</w:t>
      </w:r>
    </w:p>
    <w:p>
      <w:pPr>
        <w:spacing w:after="0" w:line="1" w:lineRule="exact"/>
        <w:rPr>
          <w:sz w:val="20"/>
          <w:szCs w:val="20"/>
          <w:color w:val="auto"/>
        </w:rPr>
      </w:pPr>
    </w:p>
    <w:p>
      <w:pPr>
        <w:ind w:firstLine="360"/>
        <w:spacing w:after="0" w:line="228" w:lineRule="auto"/>
        <w:rPr>
          <w:sz w:val="20"/>
          <w:szCs w:val="20"/>
          <w:color w:val="auto"/>
        </w:rPr>
      </w:pPr>
      <w:r>
        <w:rPr>
          <w:rFonts w:ascii="Arial" w:cs="Arial" w:eastAsia="Arial" w:hAnsi="Arial"/>
          <w:sz w:val="14"/>
          <w:szCs w:val="14"/>
          <w:color w:val="auto"/>
        </w:rPr>
        <w:t>Our sponsor currently holds 21,562,500 shares of Class B common stock (up to 2,812,500 of which are subject to forfeiture depending on the extent to which the underwriters’ option to purchase additional units is exercised). The shares of Class B common stock will automatically convert into shares of Class A common stock at the time of our initial business combination on a one -for-one basis, subject to adjustment as provided herein.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w:t>
      </w:r>
    </w:p>
    <w:p>
      <w:pPr>
        <w:spacing w:after="0" w:line="7" w:lineRule="exact"/>
        <w:rPr>
          <w:sz w:val="20"/>
          <w:szCs w:val="20"/>
          <w:color w:val="auto"/>
        </w:rPr>
      </w:pPr>
    </w:p>
    <w:p>
      <w:pPr>
        <w:ind w:right="60" w:firstLine="360"/>
        <w:spacing w:after="0" w:line="232" w:lineRule="auto"/>
        <w:rPr>
          <w:sz w:val="20"/>
          <w:szCs w:val="20"/>
          <w:color w:val="auto"/>
        </w:rPr>
      </w:pPr>
      <w:r>
        <w:rPr>
          <w:rFonts w:ascii="Arial" w:cs="Arial" w:eastAsia="Arial" w:hAnsi="Arial"/>
          <w:sz w:val="13"/>
          <w:szCs w:val="13"/>
          <w:color w:val="auto"/>
        </w:rPr>
        <w:t>Prior to this offering, there has been no public market for our units, Class A common stock or warrants. We intend to apply to list our units on the New York Stock Exchange (the “NYSE”), under the symbol “CCIV.U” on or promptly after the date of this prospectus. We cannot guarantee that our securities will be approved for listing on the NYSE. The Class A common stock and warrants constituting the units will begin separate trading on the 52</w:t>
      </w:r>
      <w:r>
        <w:rPr>
          <w:rFonts w:ascii="Arial" w:cs="Arial" w:eastAsia="Arial" w:hAnsi="Arial"/>
          <w:sz w:val="19"/>
          <w:szCs w:val="19"/>
          <w:color w:val="auto"/>
          <w:vertAlign w:val="superscript"/>
        </w:rPr>
        <w:t>nd</w:t>
      </w:r>
      <w:r>
        <w:rPr>
          <w:rFonts w:ascii="Arial" w:cs="Arial" w:eastAsia="Arial" w:hAnsi="Arial"/>
          <w:sz w:val="13"/>
          <w:szCs w:val="13"/>
          <w:color w:val="auto"/>
        </w:rPr>
        <w:t xml:space="preserve"> day following the date of this prospectus, subject to certain conditions. Once the securities constituting the units begin separate trading, we expect that the Class A common stock and warrants will be listed on the NYSE under the symbols “CCIV” and “CCIV WS,” respectively.</w:t>
      </w:r>
    </w:p>
    <w:p>
      <w:pPr>
        <w:jc w:val="both"/>
        <w:ind w:right="120" w:firstLine="360"/>
        <w:spacing w:after="0" w:line="272"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are an “emerging growth company” under applicable federal securities laws and will be subject to reduced public company reporting requirements. Investing in our securities involves risks. Please see “Risk Factors” on page </w:t>
      </w:r>
      <w:hyperlink w:anchor="page34">
        <w:r>
          <w:rPr>
            <w:rFonts w:ascii="Arial" w:cs="Arial" w:eastAsia="Arial" w:hAnsi="Arial"/>
            <w:sz w:val="16"/>
            <w:szCs w:val="16"/>
            <w:b w:val="1"/>
            <w:bCs w:val="1"/>
            <w:u w:val="single" w:color="auto"/>
            <w:color w:val="0000EE"/>
          </w:rPr>
          <w:t>32</w:t>
        </w:r>
      </w:hyperlink>
      <w:r>
        <w:rPr>
          <w:rFonts w:ascii="Arial" w:cs="Arial" w:eastAsia="Arial" w:hAnsi="Arial"/>
          <w:sz w:val="16"/>
          <w:szCs w:val="16"/>
          <w:b w:val="1"/>
          <w:bCs w:val="1"/>
          <w:color w:val="auto"/>
        </w:rPr>
        <w:t>. Investors will not be entitled to protections normally afforded to investors in Rule 419 blank check offerings.</w:t>
      </w:r>
    </w:p>
    <w:p>
      <w:pPr>
        <w:spacing w:after="0" w:line="2" w:lineRule="exact"/>
        <w:rPr>
          <w:sz w:val="20"/>
          <w:szCs w:val="20"/>
          <w:color w:val="auto"/>
        </w:rPr>
      </w:pPr>
    </w:p>
    <w:p>
      <w:pPr>
        <w:ind w:right="60" w:firstLine="360"/>
        <w:spacing w:after="0" w:line="273" w:lineRule="auto"/>
        <w:rPr>
          <w:sz w:val="20"/>
          <w:szCs w:val="20"/>
          <w:color w:val="auto"/>
        </w:rPr>
      </w:pPr>
      <w:r>
        <w:rPr>
          <w:rFonts w:ascii="Arial" w:cs="Arial" w:eastAsia="Arial" w:hAnsi="Arial"/>
          <w:sz w:val="14"/>
          <w:szCs w:val="14"/>
          <w:color w:val="auto"/>
        </w:rPr>
        <w:t>Neither the SEC nor any state securities commission has approved or disapproved of these securities or determined if this prospectus is truthful or complete. Any representation to the contrary is a criminal offense.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Unit</w:t>
            </w:r>
          </w:p>
        </w:tc>
        <w:tc>
          <w:tcPr>
            <w:tcW w:w="10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25"/>
        </w:trPr>
        <w:tc>
          <w:tcPr>
            <w:tcW w:w="7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Price to Public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750,000,000</w:t>
            </w:r>
          </w:p>
        </w:tc>
      </w:tr>
      <w:tr>
        <w:trPr>
          <w:trHeight w:val="203"/>
        </w:trPr>
        <w:tc>
          <w:tcPr>
            <w:tcW w:w="7500" w:type="dxa"/>
            <w:vAlign w:val="bottom"/>
          </w:tcPr>
          <w:p>
            <w:pPr>
              <w:spacing w:after="0" w:line="203"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0.55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41,250,000</w:t>
            </w:r>
          </w:p>
        </w:tc>
      </w:tr>
      <w:tr>
        <w:trPr>
          <w:trHeight w:val="189"/>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708,750,000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-385445</wp:posOffset>
            </wp:positionV>
            <wp:extent cx="5246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463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360" w:hanging="358"/>
        <w:spacing w:after="0" w:line="267"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$0.35 per unit, or $26,250,000 (or up to $30,187,500 if the underwriters’ option to purchase additional units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 Does not include certain fees and expenses payable to the underwriters in connection with this offering. See also “Underwriting” for a description of compensation and other items of value payable to the underwriters.</w:t>
      </w:r>
    </w:p>
    <w:p>
      <w:pPr>
        <w:spacing w:after="0" w:line="5" w:lineRule="exact"/>
        <w:rPr>
          <w:sz w:val="20"/>
          <w:szCs w:val="20"/>
          <w:color w:val="auto"/>
        </w:rPr>
      </w:pPr>
    </w:p>
    <w:p>
      <w:pPr>
        <w:jc w:val="both"/>
        <w:ind w:right="280" w:firstLine="360"/>
        <w:spacing w:after="0" w:line="238"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$ 750.0 million, or $862.5 million if the underwriters’ option to purchase additional units is exercised in full ($10.00 per unit in either case), will be deposited into a U.S.-based trust account with Continental Stock Transfer &amp; Trust Company acting as trustee.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w:t>
      </w:r>
    </w:p>
    <w:p>
      <w:pPr>
        <w:spacing w:after="0" w:line="1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about</w:t>
      </w:r>
      <w:r>
        <w:rPr>
          <w:sz w:val="20"/>
          <w:szCs w:val="20"/>
          <w:color w:val="auto"/>
        </w:rPr>
        <w:tab/>
      </w: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107950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134620</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434340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900" w:space="240"/>
            <w:col w:w="9080"/>
          </w:cols>
          <w:pgMar w:left="320" w:top="131" w:right="135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920" w:type="dxa"/>
            <w:vAlign w:val="bottom"/>
            <w:gridSpan w:val="3"/>
            <w:shd w:val="clear" w:color="auto" w:fill="CCEEFF"/>
          </w:tcPr>
          <w:p>
            <w:pPr>
              <w:spacing w:after="0" w:line="189"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tc>
        <w:tc>
          <w:tcPr>
            <w:tcW w:w="130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92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CAUTIONARY NOTE REGARDING FORWARD-LOOKING STATEMENTS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USE OF PROCEEDS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DIVIDEND POLICY</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67</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DILUTION</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CAPITALIZATION</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70</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0000EE"/>
            </w:tcBorders>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MANAGEMENT’S DISCUSSION AND ANALYSIS OF FINANCIAL CONDITION AND</w:t>
              </w:r>
            </w:hyperlink>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20" w:type="dxa"/>
            <w:vAlign w:val="bottom"/>
            <w:gridSpan w:val="3"/>
          </w:tcPr>
          <w:p>
            <w:pPr>
              <w:ind w:left="18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RESULTS OF OPERATIONS</w:t>
              </w:r>
            </w:hyperlink>
          </w:p>
        </w:tc>
        <w:tc>
          <w:tcPr>
            <w:tcW w:w="132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71</w:t>
              </w:r>
            </w:hyperlink>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4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PROPOSED BUSINESS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77</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MANAGEMENT</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109</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PRINCIPAL STOCKHOLDERS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118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CERTAIN RELATIONSHIPS AND RELATED PARTY TRANSACTIONS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121</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DESCRIPTION OF SECURITIES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124</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UNITED STATES FEDERAL INCOME TAX CONSIDERATIONS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138</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UNDERWRITING</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146</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LEGAL MATTERS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153</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EXPERTS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153</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WHERE YOU CAN FIND ADDITIONAL INFORMATION</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153</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INDEX TO FINANCIAL STATEMENTS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F-1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164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5935" cy="816483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w:t>
      </w:r>
    </w:p>
    <w:p>
      <w:pPr>
        <w:spacing w:after="0" w:line="108"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131" w:lineRule="exact"/>
        <w:rPr>
          <w:sz w:val="20"/>
          <w:szCs w:val="20"/>
          <w:color w:val="auto"/>
        </w:rPr>
      </w:pPr>
    </w:p>
    <w:p>
      <w:pPr>
        <w:ind w:left="2000" w:right="83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certificate of incorporation to be in effect upon the completion of this offering;</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130" w:lineRule="exact"/>
        <w:rPr>
          <w:rFonts w:ascii="Arial" w:cs="Arial" w:eastAsia="Arial" w:hAnsi="Arial"/>
          <w:sz w:val="18"/>
          <w:szCs w:val="18"/>
          <w:color w:val="auto"/>
        </w:rPr>
      </w:pPr>
    </w:p>
    <w:p>
      <w:pPr>
        <w:ind w:left="2000" w:right="679" w:hanging="354"/>
        <w:spacing w:after="0" w:line="270"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“completion window” is the period following the completion of this offering at the end of which, if we have not completed our initial business combination,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and as further described herein. The completion window ends 24 months from the closing of this offering, or 27 months from the closing of this offering if we have executed a letter of intent, agreement in principle or definitive agreement for an initial business combination within 24 months from the closing of this offering;</w:t>
      </w:r>
    </w:p>
    <w:p>
      <w:pPr>
        <w:spacing w:after="0" w:line="72" w:lineRule="exact"/>
        <w:rPr>
          <w:rFonts w:ascii="Arial" w:cs="Arial" w:eastAsia="Arial" w:hAnsi="Arial"/>
          <w:sz w:val="17"/>
          <w:szCs w:val="17"/>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directors and director nominees;</w:t>
      </w:r>
    </w:p>
    <w:p>
      <w:pPr>
        <w:spacing w:after="0" w:line="130" w:lineRule="exact"/>
        <w:rPr>
          <w:rFonts w:ascii="Arial" w:cs="Arial" w:eastAsia="Arial" w:hAnsi="Arial"/>
          <w:sz w:val="18"/>
          <w:szCs w:val="18"/>
          <w:color w:val="auto"/>
        </w:rPr>
      </w:pPr>
    </w:p>
    <w:p>
      <w:pPr>
        <w:ind w:left="2000" w:right="739" w:hanging="354"/>
        <w:spacing w:after="0" w:line="259"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“equity-linked securities” are to any debt or equity securities that are convertible, exercisable or exchangeable for shares of our Class A common stock issued in a financing transaction in connection with our initial business combination, including but not limited to a private placement of such securities;</w:t>
      </w:r>
    </w:p>
    <w:p>
      <w:pPr>
        <w:spacing w:after="0" w:line="78" w:lineRule="exact"/>
        <w:rPr>
          <w:rFonts w:ascii="Arial" w:cs="Arial" w:eastAsia="Arial" w:hAnsi="Arial"/>
          <w:sz w:val="18"/>
          <w:szCs w:val="18"/>
          <w:color w:val="auto"/>
        </w:rPr>
      </w:pPr>
    </w:p>
    <w:p>
      <w:pPr>
        <w:ind w:left="2000" w:right="1059" w:hanging="354"/>
        <w:spacing w:after="0" w:line="263"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our Class B common stock and the shares of our Class A common stock issued upon the automatic conversion thereof at the time of our initial business combination as provided herein;</w:t>
      </w:r>
    </w:p>
    <w:p>
      <w:pPr>
        <w:spacing w:after="0" w:line="89" w:lineRule="exact"/>
        <w:rPr>
          <w:rFonts w:ascii="Arial" w:cs="Arial" w:eastAsia="Arial" w:hAnsi="Arial"/>
          <w:sz w:val="18"/>
          <w:szCs w:val="18"/>
          <w:color w:val="auto"/>
        </w:rPr>
      </w:pPr>
    </w:p>
    <w:p>
      <w:pPr>
        <w:ind w:left="2000" w:right="6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any other holders of our founder shares immediately prior to this offering;</w:t>
      </w:r>
    </w:p>
    <w:p>
      <w:pPr>
        <w:spacing w:after="0" w:line="62" w:lineRule="exact"/>
        <w:rPr>
          <w:rFonts w:ascii="Arial" w:cs="Arial" w:eastAsia="Arial" w:hAnsi="Arial"/>
          <w:sz w:val="18"/>
          <w:szCs w:val="18"/>
          <w:color w:val="auto"/>
        </w:rPr>
      </w:pPr>
    </w:p>
    <w:p>
      <w:pPr>
        <w:ind w:left="2000" w:right="9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“letter agreement” refers to the letter agreement, the form of which is filed as an exhibit to the registration statement of which this prospectus forms a part;</w:t>
      </w:r>
    </w:p>
    <w:p>
      <w:pPr>
        <w:spacing w:after="0" w:line="75" w:lineRule="exact"/>
        <w:rPr>
          <w:rFonts w:ascii="Arial" w:cs="Arial" w:eastAsia="Arial" w:hAnsi="Arial"/>
          <w:sz w:val="18"/>
          <w:szCs w:val="18"/>
          <w:color w:val="auto"/>
        </w:rPr>
      </w:pPr>
    </w:p>
    <w:p>
      <w:pPr>
        <w:ind w:left="2000" w:right="12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 Klein and Company” are to M. Klein and Company, LLC, a Delaware limited liability company and its affiliates;</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30" w:lineRule="exact"/>
        <w:rPr>
          <w:rFonts w:ascii="Arial" w:cs="Arial" w:eastAsia="Arial" w:hAnsi="Arial"/>
          <w:sz w:val="18"/>
          <w:szCs w:val="18"/>
          <w:color w:val="auto"/>
        </w:rPr>
      </w:pPr>
    </w:p>
    <w:p>
      <w:pPr>
        <w:ind w:left="2000" w:right="95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“permitted withdrawals” means amounts withdrawn to fund our working capital requirements, subject to an annual limit of $1,000,000, and/or to pay our taxes;</w:t>
      </w:r>
    </w:p>
    <w:p>
      <w:pPr>
        <w:spacing w:after="0" w:line="62" w:lineRule="exact"/>
        <w:rPr>
          <w:rFonts w:ascii="Arial" w:cs="Arial" w:eastAsia="Arial" w:hAnsi="Arial"/>
          <w:sz w:val="18"/>
          <w:szCs w:val="18"/>
          <w:color w:val="auto"/>
        </w:rPr>
      </w:pPr>
    </w:p>
    <w:p>
      <w:pPr>
        <w:ind w:left="2000" w:right="699" w:hanging="354"/>
        <w:spacing w:after="0" w:line="25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are to a subscription of 16,000,000 warrants (or 18,250,000 warrants in the aggregate if the underwriters’ option to purchase additional units is exercised in full) at a price of $1.00 per warrant ($16,000,000 in the aggregate, or $18,250,000 in the aggregate if the underwriters’ option to purchase additional units is exercised in full) by our sponsor in a private placement that will close simultaneously with the closing of this offering.</w:t>
      </w:r>
    </w:p>
    <w:p>
      <w:pPr>
        <w:spacing w:after="0" w:line="93"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“private placement warrants” are to the warrants issued to our sponsor in the Private Placement;</w:t>
      </w:r>
    </w:p>
    <w:p>
      <w:pPr>
        <w:spacing w:after="0" w:line="128" w:lineRule="exact"/>
        <w:rPr>
          <w:rFonts w:ascii="Arial" w:cs="Arial" w:eastAsia="Arial" w:hAnsi="Arial"/>
          <w:sz w:val="17"/>
          <w:szCs w:val="17"/>
          <w:color w:val="auto"/>
        </w:rPr>
      </w:pPr>
    </w:p>
    <w:p>
      <w:pPr>
        <w:ind w:left="2000" w:right="65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75" w:lineRule="exact"/>
        <w:rPr>
          <w:rFonts w:ascii="Arial" w:cs="Arial" w:eastAsia="Arial" w:hAnsi="Arial"/>
          <w:sz w:val="18"/>
          <w:szCs w:val="18"/>
          <w:color w:val="auto"/>
        </w:rPr>
      </w:pPr>
    </w:p>
    <w:p>
      <w:pPr>
        <w:ind w:left="2000" w:right="659" w:hanging="354"/>
        <w:spacing w:after="0" w:line="286"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sponsor, officers and directors to the extent our sponsor, officers or directors purchase public shares, provided that each of their status as a “public stockholder” shall only exist with respect to such public shares;</w:t>
      </w:r>
    </w:p>
    <w:p>
      <w:pPr>
        <w:sectPr>
          <w:pgSz w:w="11900" w:h="16838" w:orient="portrait"/>
          <w:cols w:equalWidth="0" w:num="1">
            <w:col w:w="10139"/>
          </w:cols>
          <w:pgMar w:left="320" w:top="132" w:right="1440" w:bottom="1440" w:gutter="0" w:footer="0" w:header="0"/>
          <w:type w:val="continuous"/>
        </w:sectPr>
      </w:pPr>
    </w:p>
    <w:p>
      <w:pPr>
        <w:spacing w:after="0" w:line="38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301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5935" cy="83019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5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“sponsor” are to Annetta Sponsor LLC, a Delaware limited liability company and an affiliate of M. Klein and Company;</w:t>
      </w:r>
    </w:p>
    <w:p>
      <w:pPr>
        <w:spacing w:after="0" w:line="62" w:lineRule="exact"/>
        <w:rPr>
          <w:rFonts w:ascii="Arial" w:cs="Arial" w:eastAsia="Arial" w:hAnsi="Arial"/>
          <w:sz w:val="18"/>
          <w:szCs w:val="18"/>
          <w:color w:val="auto"/>
        </w:rPr>
      </w:pPr>
    </w:p>
    <w:p>
      <w:pPr>
        <w:ind w:left="2000" w:right="103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“underwriters’ option to purchase additional units” are to the underwriters’ 45-day option to purchase up to an additional 11,250,000 units to cover over-allotments, if any;</w:t>
      </w:r>
    </w:p>
    <w:p>
      <w:pPr>
        <w:spacing w:after="0" w:line="62" w:lineRule="exact"/>
        <w:rPr>
          <w:rFonts w:ascii="Arial" w:cs="Arial" w:eastAsia="Arial" w:hAnsi="Arial"/>
          <w:sz w:val="18"/>
          <w:szCs w:val="18"/>
          <w:color w:val="auto"/>
        </w:rPr>
      </w:pPr>
    </w:p>
    <w:p>
      <w:pPr>
        <w:ind w:left="2000" w:right="859" w:hanging="354"/>
        <w:spacing w:after="0" w:line="30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“warrants” are to our warrants sold as part of the units in this offering (whether they are purchased in this offering or thereafter in the open market) and the private placement warrants;</w:t>
      </w:r>
    </w:p>
    <w:p>
      <w:pPr>
        <w:spacing w:after="0" w:line="38" w:lineRule="exact"/>
        <w:rPr>
          <w:rFonts w:ascii="Arial" w:cs="Arial" w:eastAsia="Arial" w:hAnsi="Arial"/>
          <w:sz w:val="17"/>
          <w:szCs w:val="17"/>
          <w:color w:val="auto"/>
        </w:rPr>
      </w:pPr>
    </w:p>
    <w:p>
      <w:pPr>
        <w:jc w:val="both"/>
        <w:ind w:left="2000" w:right="839" w:hanging="354"/>
        <w:spacing w:after="0" w:line="263"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“warrant exercise date” are to the date on which the warrants will become exercisable, which is the later of 30 days after the completion of our initial business combination and 12 months from the closing of this offering;</w:t>
      </w:r>
    </w:p>
    <w:p>
      <w:pPr>
        <w:spacing w:after="0" w:line="75" w:lineRule="exact"/>
        <w:rPr>
          <w:rFonts w:ascii="Arial" w:cs="Arial" w:eastAsia="Arial" w:hAnsi="Arial"/>
          <w:sz w:val="18"/>
          <w:szCs w:val="18"/>
          <w:color w:val="auto"/>
        </w:rPr>
      </w:pPr>
    </w:p>
    <w:p>
      <w:pPr>
        <w:ind w:left="2000" w:right="759" w:hanging="354"/>
        <w:spacing w:after="0" w:line="30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“warrant expiration date” are to the date on which the warrants expire, which is five years after the completion of our initial business combination or earlier upon redemption or liquidation; and</w:t>
      </w:r>
    </w:p>
    <w:p>
      <w:pPr>
        <w:spacing w:after="0" w:line="38" w:lineRule="exact"/>
        <w:rPr>
          <w:rFonts w:ascii="Arial" w:cs="Arial" w:eastAsia="Arial" w:hAnsi="Arial"/>
          <w:sz w:val="17"/>
          <w:szCs w:val="17"/>
          <w:color w:val="auto"/>
        </w:rPr>
      </w:pPr>
    </w:p>
    <w:p>
      <w:pPr>
        <w:ind w:left="2000" w:right="137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Annetta Acquisition Corp, a Delaware corporation.</w:t>
      </w:r>
    </w:p>
    <w:p>
      <w:pPr>
        <w:spacing w:after="0" w:line="62" w:lineRule="exact"/>
        <w:rPr>
          <w:sz w:val="20"/>
          <w:szCs w:val="20"/>
          <w:color w:val="auto"/>
        </w:rPr>
      </w:pPr>
    </w:p>
    <w:p>
      <w:pPr>
        <w:ind w:left="1280" w:right="759" w:firstLine="360"/>
        <w:spacing w:after="0" w:line="263" w:lineRule="auto"/>
        <w:rPr>
          <w:sz w:val="20"/>
          <w:szCs w:val="20"/>
          <w:color w:val="auto"/>
        </w:rPr>
      </w:pPr>
      <w:r>
        <w:rPr>
          <w:rFonts w:ascii="Arial" w:cs="Arial" w:eastAsia="Arial" w:hAnsi="Arial"/>
          <w:sz w:val="18"/>
          <w:szCs w:val="18"/>
          <w:i w:val="1"/>
          <w:iCs w:val="1"/>
          <w:color w:val="auto"/>
        </w:rPr>
        <w:t>Unless we tell you otherwise, the information in this prospectus assumes that the underwriters will not exercise their option to purchase additional units and the forfeiture by our sponsor of 2,812,500 founder shares.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80" w:right="819" w:firstLine="360"/>
        <w:spacing w:after="0" w:line="271" w:lineRule="auto"/>
        <w:rPr>
          <w:sz w:val="20"/>
          <w:szCs w:val="20"/>
          <w:color w:val="auto"/>
        </w:rPr>
      </w:pPr>
      <w:r>
        <w:rPr>
          <w:rFonts w:ascii="Arial" w:cs="Arial" w:eastAsia="Arial" w:hAnsi="Arial"/>
          <w:sz w:val="17"/>
          <w:szCs w:val="17"/>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70"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 year career, including more than two decades at Citigroup Inc.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84" w:lineRule="exact"/>
        <w:rPr>
          <w:sz w:val="20"/>
          <w:szCs w:val="20"/>
          <w:color w:val="auto"/>
        </w:rPr>
      </w:pPr>
    </w:p>
    <w:p>
      <w:pPr>
        <w:ind w:left="1280" w:right="759" w:firstLine="360"/>
        <w:spacing w:after="0" w:line="271" w:lineRule="auto"/>
        <w:rPr>
          <w:sz w:val="20"/>
          <w:szCs w:val="20"/>
          <w:color w:val="auto"/>
        </w:rPr>
      </w:pPr>
      <w:r>
        <w:rPr>
          <w:rFonts w:ascii="Arial" w:cs="Arial" w:eastAsia="Arial" w:hAnsi="Arial"/>
          <w:sz w:val="17"/>
          <w:szCs w:val="17"/>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70"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Churchill Capital Corp (“CCC”), a special purpose acquisition company that completed a $690 million initial public offering in September 2018 and merged in May 2019 with Clarivate Analytics (“Clarivate”), a leading provider of comprehensive intellectual property and scientific information, analytical tools, and services.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69" w:lineRule="exact"/>
        <w:rPr>
          <w:sz w:val="20"/>
          <w:szCs w:val="20"/>
          <w:color w:val="auto"/>
        </w:rPr>
      </w:pPr>
    </w:p>
    <w:p>
      <w:pPr>
        <w:ind w:left="1280" w:right="679" w:firstLine="360"/>
        <w:spacing w:after="0" w:line="275" w:lineRule="auto"/>
        <w:rPr>
          <w:sz w:val="20"/>
          <w:szCs w:val="20"/>
          <w:color w:val="auto"/>
        </w:rPr>
      </w:pPr>
      <w:r>
        <w:rPr>
          <w:rFonts w:ascii="Arial" w:cs="Arial" w:eastAsia="Arial" w:hAnsi="Arial"/>
          <w:sz w:val="17"/>
          <w:szCs w:val="17"/>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w:t>
      </w:r>
    </w:p>
    <w:p>
      <w:pPr>
        <w:spacing w:after="0" w:line="68"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8"/>
          <w:szCs w:val="18"/>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 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77" w:lineRule="exact"/>
        <w:rPr>
          <w:sz w:val="20"/>
          <w:szCs w:val="20"/>
          <w:color w:val="auto"/>
        </w:rPr>
      </w:pPr>
    </w:p>
    <w:p>
      <w:pPr>
        <w:ind w:left="1280" w:right="739" w:firstLine="360"/>
        <w:spacing w:after="0" w:line="254" w:lineRule="auto"/>
        <w:rPr>
          <w:sz w:val="20"/>
          <w:szCs w:val="20"/>
          <w:color w:val="auto"/>
        </w:rPr>
      </w:pPr>
      <w:r>
        <w:rPr>
          <w:rFonts w:ascii="Arial" w:cs="Arial" w:eastAsia="Arial" w:hAnsi="Arial"/>
          <w:sz w:val="18"/>
          <w:szCs w:val="18"/>
          <w:color w:val="auto"/>
        </w:rPr>
        <w:t>M. Klein and Company has established strategic relationships with selected leading investors and financing providers (“Strategic Partners”). Such Strategic Partners may invest in our sponsor, thereby sharing in the appreciation of founder shares and private placement warrants, and assist M. Klein and Company in evaluating potential acquisition targets. In addition, Glenn R. August, the CEO and Founder of Oak Hill Advisors, L.P.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87"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M. Klein and Company has established an entity within the firm, Archimedes Advisors LLC, which will invest in our sponsor and which consists of operating partners (“Operating Partners” and, together with our Strategic Partners, our “Strategic and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959"/>
        <w:spacing w:after="0" w:line="286" w:lineRule="auto"/>
        <w:rPr>
          <w:sz w:val="20"/>
          <w:szCs w:val="20"/>
          <w:color w:val="auto"/>
        </w:rPr>
      </w:pPr>
      <w:r>
        <w:rPr>
          <w:rFonts w:ascii="Arial" w:cs="Arial" w:eastAsia="Arial" w:hAnsi="Arial"/>
          <w:sz w:val="17"/>
          <w:szCs w:val="17"/>
          <w:color w:val="auto"/>
        </w:rPr>
        <w:t>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57"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74" w:lineRule="exact"/>
        <w:rPr>
          <w:sz w:val="20"/>
          <w:szCs w:val="20"/>
          <w:color w:val="auto"/>
        </w:rPr>
      </w:pPr>
    </w:p>
    <w:p>
      <w:pPr>
        <w:ind w:left="1280" w:right="899" w:firstLine="360"/>
        <w:spacing w:after="0" w:line="272" w:lineRule="auto"/>
        <w:rPr>
          <w:sz w:val="20"/>
          <w:szCs w:val="20"/>
          <w:color w:val="auto"/>
        </w:rPr>
      </w:pPr>
      <w:r>
        <w:rPr>
          <w:rFonts w:ascii="Arial" w:cs="Arial" w:eastAsia="Arial" w:hAnsi="Arial"/>
          <w:sz w:val="17"/>
          <w:szCs w:val="17"/>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Strategy</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strategy is to:</w:t>
      </w:r>
    </w:p>
    <w:p>
      <w:pPr>
        <w:spacing w:after="0" w:line="131" w:lineRule="exact"/>
        <w:rPr>
          <w:sz w:val="20"/>
          <w:szCs w:val="20"/>
          <w:color w:val="auto"/>
        </w:rPr>
      </w:pPr>
    </w:p>
    <w:p>
      <w:pPr>
        <w:ind w:left="2000" w:right="779" w:hanging="354"/>
        <w:spacing w:after="0" w:line="27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founder to bring advice and attention to potential business combination targets;</w:t>
      </w:r>
    </w:p>
    <w:p>
      <w:pPr>
        <w:spacing w:after="0" w:line="75"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 and</w:t>
      </w:r>
    </w:p>
    <w:p>
      <w:pPr>
        <w:spacing w:after="0" w:line="130" w:lineRule="exact"/>
        <w:rPr>
          <w:rFonts w:ascii="Arial" w:cs="Arial" w:eastAsia="Arial" w:hAnsi="Arial"/>
          <w:sz w:val="18"/>
          <w:szCs w:val="18"/>
          <w:color w:val="auto"/>
        </w:rPr>
      </w:pPr>
    </w:p>
    <w:p>
      <w:pPr>
        <w:ind w:left="2000" w:right="879" w:hanging="354"/>
        <w:spacing w:after="0" w:line="27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w:t>
      </w:r>
    </w:p>
    <w:p>
      <w:pPr>
        <w:spacing w:after="0" w:line="62"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7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management team and M. Klein and Company have experience in:</w:t>
      </w:r>
    </w:p>
    <w:p>
      <w:pPr>
        <w:spacing w:after="0" w:line="131" w:lineRule="exact"/>
        <w:rPr>
          <w:sz w:val="20"/>
          <w:szCs w:val="20"/>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30"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w:t>
      </w:r>
    </w:p>
    <w:p>
      <w:pPr>
        <w:spacing w:after="0" w:line="130"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negotiating transactions favorable to investors;</w:t>
      </w:r>
    </w:p>
    <w:p>
      <w:pPr>
        <w:spacing w:after="0" w:line="130" w:lineRule="exact"/>
        <w:rPr>
          <w:rFonts w:ascii="Arial" w:cs="Arial" w:eastAsia="Arial" w:hAnsi="Arial"/>
          <w:sz w:val="18"/>
          <w:szCs w:val="18"/>
          <w:color w:val="auto"/>
        </w:rPr>
      </w:pPr>
    </w:p>
    <w:p>
      <w:pPr>
        <w:ind w:left="2000" w:right="819" w:hanging="354"/>
        <w:spacing w:after="0" w:line="277"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 and</w:t>
      </w:r>
    </w:p>
    <w:p>
      <w:pPr>
        <w:spacing w:after="0" w:line="75" w:lineRule="exact"/>
        <w:rPr>
          <w:rFonts w:ascii="Arial" w:cs="Arial" w:eastAsia="Arial" w:hAnsi="Arial"/>
          <w:sz w:val="18"/>
          <w:szCs w:val="18"/>
          <w:color w:val="auto"/>
        </w:rPr>
      </w:pPr>
    </w:p>
    <w:p>
      <w:pPr>
        <w:ind w:left="2000" w:right="779" w:hanging="354"/>
        <w:spacing w:after="0" w:line="277"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 Klein and Company’s Operating Partners have experience in:</w:t>
      </w:r>
    </w:p>
    <w:p>
      <w:pPr>
        <w:spacing w:after="0" w:line="117" w:lineRule="exact"/>
        <w:rPr>
          <w:sz w:val="20"/>
          <w:szCs w:val="20"/>
          <w:color w:val="auto"/>
        </w:rPr>
      </w:pPr>
    </w:p>
    <w:p>
      <w:pPr>
        <w:ind w:left="2000" w:right="879" w:hanging="354"/>
        <w:spacing w:after="0" w:line="277"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acquiring and integrating companies; and</w:t>
      </w:r>
    </w:p>
    <w:p>
      <w:pPr>
        <w:spacing w:after="0" w:line="117" w:lineRule="exact"/>
        <w:rPr>
          <w:rFonts w:ascii="Arial" w:cs="Arial" w:eastAsia="Arial" w:hAnsi="Arial"/>
          <w:sz w:val="18"/>
          <w:szCs w:val="18"/>
          <w:color w:val="auto"/>
        </w:rPr>
      </w:pPr>
    </w:p>
    <w:p>
      <w:pPr>
        <w:jc w:val="both"/>
        <w:ind w:left="2000" w:right="1159" w:hanging="354"/>
        <w:spacing w:after="0" w:line="263"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6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280" w:right="699" w:firstLine="360"/>
        <w:spacing w:after="0" w:line="255" w:lineRule="auto"/>
        <w:rPr>
          <w:sz w:val="20"/>
          <w:szCs w:val="20"/>
          <w:color w:val="auto"/>
        </w:rPr>
      </w:pPr>
      <w:r>
        <w:rPr>
          <w:rFonts w:ascii="Arial" w:cs="Arial" w:eastAsia="Arial" w:hAnsi="Arial"/>
          <w:sz w:val="18"/>
          <w:szCs w:val="18"/>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84" w:lineRule="exact"/>
        <w:rPr>
          <w:sz w:val="20"/>
          <w:szCs w:val="20"/>
          <w:color w:val="auto"/>
        </w:rPr>
      </w:pPr>
    </w:p>
    <w:p>
      <w:pPr>
        <w:ind w:left="2000" w:right="719" w:hanging="354"/>
        <w:spacing w:after="0" w:line="259"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of Operating Partners. </w:t>
      </w:r>
      <w:r>
        <w:rPr>
          <w:rFonts w:ascii="Arial" w:cs="Arial" w:eastAsia="Arial" w:hAnsi="Arial"/>
          <w:sz w:val="18"/>
          <w:szCs w:val="18"/>
          <w:color w:val="auto"/>
        </w:rPr>
        <w:t>We believe that our ability to leverage the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Operating Partners, who comprise former senior operating executives of S&amp;P 500 companies across multiple sectors and industries, will provide us a distinct advantage in being able to source, evaluate and consummate an attractive transaction.</w:t>
      </w:r>
    </w:p>
    <w:p>
      <w:pPr>
        <w:spacing w:after="0" w:line="78" w:lineRule="exact"/>
        <w:rPr>
          <w:rFonts w:ascii="Arial" w:cs="Arial" w:eastAsia="Arial" w:hAnsi="Arial"/>
          <w:sz w:val="18"/>
          <w:szCs w:val="18"/>
          <w:color w:val="auto"/>
        </w:rPr>
      </w:pPr>
    </w:p>
    <w:p>
      <w:pPr>
        <w:ind w:left="2000" w:right="699" w:hanging="354"/>
        <w:spacing w:after="0" w:line="254"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86" w:lineRule="exact"/>
        <w:rPr>
          <w:rFonts w:ascii="Arial" w:cs="Arial" w:eastAsia="Arial" w:hAnsi="Arial"/>
          <w:sz w:val="18"/>
          <w:szCs w:val="18"/>
          <w:color w:val="auto"/>
        </w:rPr>
      </w:pPr>
    </w:p>
    <w:p>
      <w:pPr>
        <w:ind w:left="2000" w:right="739" w:hanging="354"/>
        <w:spacing w:after="0" w:line="263"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Experience. </w:t>
      </w:r>
      <w:r>
        <w:rPr>
          <w:rFonts w:ascii="Arial" w:cs="Arial" w:eastAsia="Arial" w:hAnsi="Arial"/>
          <w:sz w:val="18"/>
          <w:szCs w:val="18"/>
          <w:color w:val="auto"/>
        </w:rPr>
        <w:t>We believe that our management’s track record of identifying and sourcing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positions us well to appropriately evaluate potential business combinations and select one that will be well received by the public markets.</w:t>
      </w:r>
    </w:p>
    <w:p>
      <w:pPr>
        <w:spacing w:after="0" w:line="89" w:lineRule="exact"/>
        <w:rPr>
          <w:rFonts w:ascii="Arial" w:cs="Arial" w:eastAsia="Arial" w:hAnsi="Arial"/>
          <w:sz w:val="18"/>
          <w:szCs w:val="18"/>
          <w:color w:val="auto"/>
        </w:rPr>
      </w:pPr>
    </w:p>
    <w:p>
      <w:pPr>
        <w:ind w:left="2000" w:right="659" w:hanging="354"/>
        <w:spacing w:after="0" w:line="254"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Our management team and sponsor believe that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Investment Criteria</w:t>
      </w:r>
    </w:p>
    <w:p>
      <w:pPr>
        <w:spacing w:after="0" w:line="108" w:lineRule="exact"/>
        <w:rPr>
          <w:sz w:val="20"/>
          <w:szCs w:val="20"/>
          <w:color w:val="auto"/>
        </w:rPr>
      </w:pPr>
    </w:p>
    <w:p>
      <w:pPr>
        <w:ind w:left="1280" w:right="1119" w:firstLine="360"/>
        <w:spacing w:after="0" w:line="277" w:lineRule="auto"/>
        <w:rPr>
          <w:sz w:val="20"/>
          <w:szCs w:val="20"/>
          <w:color w:val="auto"/>
        </w:rPr>
      </w:pPr>
      <w:r>
        <w:rPr>
          <w:rFonts w:ascii="Arial" w:cs="Arial" w:eastAsia="Arial" w:hAnsi="Arial"/>
          <w:sz w:val="18"/>
          <w:szCs w:val="18"/>
          <w:color w:val="auto"/>
        </w:rPr>
        <w:t>We have developed the following high level, non-exclusive investment criteria that we will use to screen for and evaluate target businesses. We will seek to acquire a business that:</w:t>
      </w:r>
    </w:p>
    <w:p>
      <w:pPr>
        <w:spacing w:after="0" w:line="62" w:lineRule="exact"/>
        <w:rPr>
          <w:sz w:val="20"/>
          <w:szCs w:val="20"/>
          <w:color w:val="auto"/>
        </w:rPr>
      </w:pPr>
    </w:p>
    <w:p>
      <w:pPr>
        <w:ind w:left="2000" w:right="1279" w:hanging="354"/>
        <w:spacing w:after="0" w:line="342"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Generates Stable Free Cash-Flow. </w:t>
      </w:r>
      <w:r>
        <w:rPr>
          <w:rFonts w:ascii="Arial" w:cs="Arial" w:eastAsia="Arial" w:hAnsi="Arial"/>
          <w:sz w:val="16"/>
          <w:szCs w:val="16"/>
          <w:color w:val="auto"/>
        </w:rPr>
        <w:t>We will seek to acquire a business that has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or has the near-term potential to generate, strong and sustainable free cash flow.</w:t>
      </w:r>
    </w:p>
    <w:p>
      <w:pPr>
        <w:spacing w:after="0" w:line="15" w:lineRule="exact"/>
        <w:rPr>
          <w:rFonts w:ascii="Arial" w:cs="Arial" w:eastAsia="Arial" w:hAnsi="Arial"/>
          <w:sz w:val="16"/>
          <w:szCs w:val="16"/>
          <w:color w:val="auto"/>
        </w:rPr>
      </w:pPr>
    </w:p>
    <w:p>
      <w:pPr>
        <w:ind w:left="2000" w:right="899" w:hanging="354"/>
        <w:spacing w:after="0" w:line="263"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75" w:lineRule="exact"/>
        <w:rPr>
          <w:rFonts w:ascii="Arial" w:cs="Arial" w:eastAsia="Arial" w:hAnsi="Arial"/>
          <w:sz w:val="18"/>
          <w:szCs w:val="18"/>
          <w:color w:val="auto"/>
        </w:rPr>
      </w:pPr>
    </w:p>
    <w:p>
      <w:pPr>
        <w:ind w:left="2000" w:right="739" w:hanging="354"/>
        <w:spacing w:after="0" w:line="263"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do not expect to participate in broadly marketed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but rather will aim to leverage our extensive network to source our business combination.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8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5935" cy="80879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799" w:hanging="354"/>
        <w:spacing w:after="0" w:line="257"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will seek to acquire a business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52" w:lineRule="exact"/>
        <w:rPr>
          <w:rFonts w:ascii="Arial" w:cs="Arial" w:eastAsia="Arial" w:hAnsi="Arial"/>
          <w:sz w:val="18"/>
          <w:szCs w:val="18"/>
          <w:color w:val="auto"/>
        </w:rPr>
      </w:pPr>
    </w:p>
    <w:p>
      <w:pPr>
        <w:ind w:left="2000" w:right="1059" w:hanging="354"/>
        <w:spacing w:after="0" w:line="308" w:lineRule="auto"/>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Has the Potential to Grow Through Further Acquisition Opportunities.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has the potential to grow inorganically through additional acquisitions.</w:t>
      </w:r>
    </w:p>
    <w:p>
      <w:pPr>
        <w:spacing w:after="0" w:line="38"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Acquisition Process</w:t>
      </w:r>
    </w:p>
    <w:p>
      <w:pPr>
        <w:spacing w:after="0" w:line="108" w:lineRule="exact"/>
        <w:rPr>
          <w:sz w:val="20"/>
          <w:szCs w:val="20"/>
          <w:color w:val="auto"/>
        </w:rPr>
      </w:pPr>
    </w:p>
    <w:p>
      <w:pPr>
        <w:ind w:left="1280" w:right="109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79"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87"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4" w:lineRule="exact"/>
        <w:rPr>
          <w:sz w:val="20"/>
          <w:szCs w:val="20"/>
          <w:color w:val="auto"/>
        </w:rPr>
      </w:pPr>
    </w:p>
    <w:p>
      <w:pPr>
        <w:jc w:val="both"/>
        <w:ind w:left="1280" w:right="659" w:firstLine="360"/>
        <w:spacing w:after="0" w:line="259" w:lineRule="auto"/>
        <w:rPr>
          <w:sz w:val="20"/>
          <w:szCs w:val="20"/>
          <w:color w:val="auto"/>
        </w:rPr>
      </w:pPr>
      <w:r>
        <w:rPr>
          <w:rFonts w:ascii="Arial" w:cs="Arial" w:eastAsia="Arial" w:hAnsi="Arial"/>
          <w:sz w:val="18"/>
          <w:szCs w:val="18"/>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79" w:lineRule="exact"/>
        <w:rPr>
          <w:sz w:val="20"/>
          <w:szCs w:val="20"/>
          <w:color w:val="auto"/>
        </w:rPr>
      </w:pPr>
    </w:p>
    <w:p>
      <w:pPr>
        <w:ind w:left="1280" w:right="699" w:firstLine="360"/>
        <w:spacing w:after="0" w:line="268"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ectPr>
          <w:pgSz w:w="11900" w:h="16838" w:orient="portrait"/>
          <w:cols w:equalWidth="0" w:num="1">
            <w:col w:w="10139"/>
          </w:cols>
          <w:pgMar w:left="320" w:top="131" w:right="1440" w:bottom="1440" w:gutter="0" w:footer="0" w:header="0"/>
          <w:type w:val="continuous"/>
        </w:sectPr>
      </w:pPr>
    </w:p>
    <w:p>
      <w:pPr>
        <w:spacing w:after="0" w:line="40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1159" w:firstLine="360"/>
        <w:spacing w:after="0" w:line="274" w:lineRule="auto"/>
        <w:rPr>
          <w:sz w:val="20"/>
          <w:szCs w:val="20"/>
          <w:color w:val="auto"/>
        </w:rPr>
      </w:pPr>
      <w:r>
        <w:rPr>
          <w:rFonts w:ascii="Arial" w:cs="Arial" w:eastAsia="Arial" w:hAnsi="Arial"/>
          <w:sz w:val="17"/>
          <w:szCs w:val="17"/>
          <w:color w:val="auto"/>
        </w:rPr>
        <w:t>In addition, none of the Strategic Partners or Operating Partners or their personnel (other than Mr. August) are officers or directors of our company and therefore owe us no fiduciary duties as such.</w:t>
      </w:r>
    </w:p>
    <w:p>
      <w:pPr>
        <w:ind w:left="1280" w:right="699"/>
        <w:spacing w:after="0" w:line="251" w:lineRule="auto"/>
        <w:rPr>
          <w:sz w:val="20"/>
          <w:szCs w:val="20"/>
          <w:color w:val="auto"/>
        </w:rPr>
      </w:pPr>
      <w:r>
        <w:rPr>
          <w:rFonts w:ascii="Arial" w:cs="Arial" w:eastAsia="Arial" w:hAnsi="Arial"/>
          <w:sz w:val="18"/>
          <w:szCs w:val="18"/>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 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8" w:lineRule="exact"/>
        <w:rPr>
          <w:sz w:val="20"/>
          <w:szCs w:val="20"/>
          <w:color w:val="auto"/>
        </w:rPr>
      </w:pPr>
    </w:p>
    <w:p>
      <w:pPr>
        <w:ind w:left="1280" w:right="679" w:firstLine="360"/>
        <w:spacing w:after="0" w:line="252" w:lineRule="auto"/>
        <w:rPr>
          <w:sz w:val="20"/>
          <w:szCs w:val="20"/>
          <w:color w:val="auto"/>
        </w:rPr>
      </w:pPr>
      <w:r>
        <w:rPr>
          <w:rFonts w:ascii="Arial" w:cs="Arial" w:eastAsia="Arial" w:hAnsi="Arial"/>
          <w:sz w:val="18"/>
          <w:szCs w:val="18"/>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92"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79"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108" w:lineRule="exact"/>
        <w:rPr>
          <w:sz w:val="20"/>
          <w:szCs w:val="20"/>
          <w:color w:val="auto"/>
        </w:rPr>
      </w:pPr>
    </w:p>
    <w:p>
      <w:pPr>
        <w:ind w:left="1280" w:right="699" w:firstLine="360"/>
        <w:spacing w:after="0" w:line="293" w:lineRule="auto"/>
        <w:rPr>
          <w:sz w:val="20"/>
          <w:szCs w:val="20"/>
          <w:color w:val="auto"/>
        </w:rPr>
      </w:pPr>
      <w:r>
        <w:rPr>
          <w:rFonts w:ascii="Arial" w:cs="Arial" w:eastAsia="Arial" w:hAnsi="Arial"/>
          <w:sz w:val="16"/>
          <w:szCs w:val="16"/>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79"/>
        <w:spacing w:after="0" w:line="263" w:lineRule="auto"/>
        <w:rPr>
          <w:sz w:val="20"/>
          <w:szCs w:val="20"/>
          <w:color w:val="auto"/>
        </w:rPr>
      </w:pPr>
      <w:r>
        <w:rPr>
          <w:rFonts w:ascii="Arial" w:cs="Arial" w:eastAsia="Arial" w:hAnsi="Arial"/>
          <w:sz w:val="18"/>
          <w:szCs w:val="18"/>
          <w:color w:val="auto"/>
        </w:rPr>
        <w:t>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76" w:lineRule="exact"/>
        <w:rPr>
          <w:sz w:val="20"/>
          <w:szCs w:val="20"/>
          <w:color w:val="auto"/>
        </w:rPr>
      </w:pPr>
    </w:p>
    <w:p>
      <w:pPr>
        <w:ind w:left="1280" w:right="659" w:firstLine="360"/>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7"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79" w:lineRule="exact"/>
        <w:rPr>
          <w:sz w:val="20"/>
          <w:szCs w:val="20"/>
          <w:color w:val="auto"/>
        </w:rPr>
      </w:pPr>
    </w:p>
    <w:p>
      <w:pPr>
        <w:ind w:left="1280" w:right="699" w:firstLine="360"/>
        <w:spacing w:after="0" w:line="267"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4" w:lineRule="exact"/>
        <w:rPr>
          <w:sz w:val="20"/>
          <w:szCs w:val="20"/>
          <w:color w:val="auto"/>
        </w:rPr>
      </w:pPr>
    </w:p>
    <w:p>
      <w:pPr>
        <w:ind w:left="1280" w:right="85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659" w:firstLine="6"/>
        <w:spacing w:after="0" w:line="265" w:lineRule="auto"/>
        <w:tabs>
          <w:tab w:leader="none" w:pos="15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80" w:right="101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40" w:lineRule="exact"/>
        <w:rPr>
          <w:sz w:val="20"/>
          <w:szCs w:val="20"/>
          <w:color w:val="auto"/>
        </w:rPr>
      </w:pPr>
    </w:p>
    <w:p>
      <w:pPr>
        <w:ind w:left="1280" w:right="839" w:firstLine="360"/>
        <w:spacing w:after="0" w:line="260" w:lineRule="auto"/>
        <w:rPr>
          <w:sz w:val="20"/>
          <w:szCs w:val="20"/>
          <w:color w:val="auto"/>
        </w:rPr>
      </w:pPr>
      <w:r>
        <w:rPr>
          <w:rFonts w:ascii="Arial" w:cs="Arial" w:eastAsia="Arial" w:hAnsi="Arial"/>
          <w:sz w:val="17"/>
          <w:szCs w:val="17"/>
          <w:color w:val="auto"/>
        </w:rPr>
        <w:t>Our executive offices are located at 640 Fifth Avenue,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10019 and our telephone number is (212) 380-7500. Upon completion of this offering, our corporate website address will be [•].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ind w:left="1280" w:right="779" w:firstLine="360"/>
        <w:spacing w:after="0" w:line="255" w:lineRule="auto"/>
        <w:rPr>
          <w:sz w:val="20"/>
          <w:szCs w:val="20"/>
          <w:color w:val="auto"/>
        </w:rPr>
      </w:pPr>
      <w:r>
        <w:rPr>
          <w:rFonts w:ascii="Arial" w:cs="Arial" w:eastAsia="Arial" w:hAnsi="Arial"/>
          <w:sz w:val="18"/>
          <w:szCs w:val="18"/>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80"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75,000,000 units (or 86,250,000 units if the underwriters’ option</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purchase additional units is exercised in full), at $10.00 per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unit, each unit consisting of:</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one share of Class A common stock; and</w:t>
      </w:r>
    </w:p>
    <w:p>
      <w:pPr>
        <w:spacing w:after="0" w:line="117"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one-fourth of one redeemable warrant to purchase one</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share of Class A common stock.</w:t>
      </w:r>
    </w:p>
    <w:p>
      <w:pPr>
        <w:sectPr>
          <w:pgSz w:w="11900" w:h="16838" w:orient="portrait"/>
          <w:cols w:equalWidth="0" w:num="1">
            <w:col w:w="10139"/>
          </w:cols>
          <w:pgMar w:left="320" w:top="132" w:right="1440" w:bottom="1440" w:gutter="0" w:footer="0" w:header="0"/>
          <w:type w:val="continuous"/>
        </w:sectPr>
      </w:pPr>
    </w:p>
    <w:p>
      <w:pPr>
        <w:spacing w:after="0" w:line="99" w:lineRule="exact"/>
        <w:rPr>
          <w:sz w:val="20"/>
          <w:szCs w:val="20"/>
          <w:color w:val="auto"/>
        </w:rPr>
      </w:pPr>
    </w:p>
    <w:p>
      <w:pPr>
        <w:jc w:val="center"/>
        <w:ind w:left="660"/>
        <w:spacing w:after="0"/>
        <w:rPr>
          <w:sz w:val="20"/>
          <w:szCs w:val="20"/>
          <w:color w:val="auto"/>
        </w:rPr>
      </w:pPr>
      <w:r>
        <w:rPr>
          <w:rFonts w:ascii="Arial" w:cs="Arial" w:eastAsia="Arial" w:hAnsi="Arial"/>
          <w:sz w:val="15"/>
          <w:szCs w:val="15"/>
          <w:b w:val="1"/>
          <w:bCs w:val="1"/>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60" w:right="40" w:hanging="179"/>
        <w:spacing w:after="0" w:line="314" w:lineRule="auto"/>
        <w:rPr>
          <w:sz w:val="20"/>
          <w:szCs w:val="20"/>
          <w:color w:val="auto"/>
        </w:rPr>
      </w:pPr>
      <w:r>
        <w:rPr>
          <w:rFonts w:ascii="Arial" w:cs="Arial" w:eastAsia="Arial" w:hAnsi="Arial"/>
          <w:sz w:val="16"/>
          <w:szCs w:val="16"/>
          <w:b w:val="1"/>
          <w:bCs w:val="1"/>
          <w:color w:val="auto"/>
        </w:rPr>
        <w:t>Trading commencement and separation of Class A common stock and warrants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Units: “CCIV.U”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“CCIV”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Warrants: “CCIV WS”</w:t>
      </w:r>
    </w:p>
    <w:p>
      <w:pPr>
        <w:spacing w:after="0" w:line="200" w:lineRule="exact"/>
        <w:rPr>
          <w:sz w:val="20"/>
          <w:szCs w:val="20"/>
          <w:color w:val="auto"/>
        </w:rPr>
      </w:pPr>
    </w:p>
    <w:p>
      <w:pPr>
        <w:spacing w:after="0" w:line="349" w:lineRule="exact"/>
        <w:rPr>
          <w:sz w:val="20"/>
          <w:szCs w:val="20"/>
          <w:color w:val="auto"/>
        </w:rPr>
      </w:pPr>
    </w:p>
    <w:p>
      <w:pPr>
        <w:ind w:right="699"/>
        <w:spacing w:after="0" w:line="256" w:lineRule="auto"/>
        <w:rPr>
          <w:sz w:val="20"/>
          <w:szCs w:val="20"/>
          <w:color w:val="auto"/>
        </w:rPr>
      </w:pPr>
      <w:r>
        <w:rPr>
          <w:rFonts w:ascii="Arial" w:cs="Arial" w:eastAsia="Arial" w:hAnsi="Arial"/>
          <w:sz w:val="17"/>
          <w:szCs w:val="17"/>
          <w:color w:val="auto"/>
        </w:rPr>
        <w:t>The units are expected to begin trading promptly after the date of this prospectus. The Class A common stock and warrants constituting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w:t>
      </w:r>
    </w:p>
    <w:p>
      <w:pPr>
        <w:spacing w:after="0" w:line="5" w:lineRule="exact"/>
        <w:rPr>
          <w:sz w:val="20"/>
          <w:szCs w:val="20"/>
          <w:color w:val="auto"/>
        </w:rPr>
      </w:pPr>
    </w:p>
    <w:p>
      <w:pPr>
        <w:ind w:right="719"/>
        <w:spacing w:after="0" w:line="252" w:lineRule="auto"/>
        <w:rPr>
          <w:sz w:val="20"/>
          <w:szCs w:val="20"/>
          <w:color w:val="auto"/>
        </w:rPr>
      </w:pPr>
      <w:r>
        <w:rPr>
          <w:rFonts w:ascii="Arial" w:cs="Arial" w:eastAsia="Arial" w:hAnsi="Arial"/>
          <w:sz w:val="18"/>
          <w:szCs w:val="18"/>
          <w:color w:val="auto"/>
        </w:rPr>
        <w:t>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four units, you will not be able to receive or trade a whole warrant.</w:t>
      </w:r>
    </w:p>
    <w:p>
      <w:pPr>
        <w:spacing w:after="0" w:line="84" w:lineRule="exact"/>
        <w:rPr>
          <w:sz w:val="20"/>
          <w:szCs w:val="20"/>
          <w:color w:val="auto"/>
        </w:rPr>
      </w:pPr>
    </w:p>
    <w:p>
      <w:pPr>
        <w:ind w:right="659"/>
        <w:spacing w:after="0" w:line="253"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0" w:lineRule="exact"/>
        <w:rPr>
          <w:sz w:val="20"/>
          <w:szCs w:val="20"/>
          <w:color w:val="auto"/>
        </w:rPr>
      </w:pPr>
    </w:p>
    <w:p>
      <w:pPr>
        <w:sectPr>
          <w:pgSz w:w="11900" w:h="16838" w:orient="portrait"/>
          <w:cols w:equalWidth="0" w:num="2">
            <w:col w:w="3740" w:space="720"/>
            <w:col w:w="567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Units:</w:t>
      </w:r>
    </w:p>
    <w:p>
      <w:pPr>
        <w:spacing w:after="0" w:line="117" w:lineRule="exact"/>
        <w:rPr>
          <w:sz w:val="20"/>
          <w:szCs w:val="20"/>
          <w:color w:val="auto"/>
        </w:rPr>
      </w:pPr>
    </w:p>
    <w:p>
      <w:pPr>
        <w:ind w:left="1820" w:right="20" w:hanging="179"/>
        <w:spacing w:after="0" w:line="266" w:lineRule="auto"/>
        <w:rPr>
          <w:sz w:val="20"/>
          <w:szCs w:val="20"/>
          <w:color w:val="auto"/>
        </w:rPr>
      </w:pPr>
      <w:r>
        <w:rPr>
          <w:rFonts w:ascii="Arial" w:cs="Arial" w:eastAsia="Arial" w:hAnsi="Arial"/>
          <w:sz w:val="18"/>
          <w:szCs w:val="18"/>
          <w:b w:val="1"/>
          <w:bCs w:val="1"/>
          <w:color w:val="auto"/>
        </w:rPr>
        <w:t>Number outstanding before this offering:</w:t>
      </w:r>
    </w:p>
    <w:p>
      <w:pPr>
        <w:spacing w:after="0" w:line="54" w:lineRule="exact"/>
        <w:rPr>
          <w:sz w:val="20"/>
          <w:szCs w:val="20"/>
          <w:color w:val="auto"/>
        </w:rPr>
      </w:pPr>
    </w:p>
    <w:p>
      <w:pPr>
        <w:ind w:left="1820" w:right="140" w:hanging="179"/>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1820" w:right="2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67" w:lineRule="exact"/>
        <w:rPr>
          <w:sz w:val="20"/>
          <w:szCs w:val="20"/>
          <w:color w:val="auto"/>
        </w:rPr>
      </w:pPr>
    </w:p>
    <w:p>
      <w:pPr>
        <w:ind w:left="1820" w:right="140" w:hanging="179"/>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Number of private placement</w:t>
      </w:r>
    </w:p>
    <w:p>
      <w:pPr>
        <w:spacing w:after="0" w:line="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warrants to be sold in the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Private Placement:</w:t>
      </w:r>
    </w:p>
    <w:p>
      <w:pPr>
        <w:spacing w:after="0" w:line="112" w:lineRule="exact"/>
        <w:rPr>
          <w:sz w:val="20"/>
          <w:szCs w:val="20"/>
          <w:color w:val="auto"/>
        </w:rPr>
      </w:pPr>
    </w:p>
    <w:p>
      <w:pPr>
        <w:ind w:left="1820" w:hanging="179"/>
        <w:spacing w:after="0" w:line="343" w:lineRule="auto"/>
        <w:rPr>
          <w:sz w:val="20"/>
          <w:szCs w:val="20"/>
          <w:color w:val="auto"/>
        </w:rPr>
      </w:pPr>
      <w:r>
        <w:rPr>
          <w:rFonts w:ascii="Arial" w:cs="Arial" w:eastAsia="Arial" w:hAnsi="Arial"/>
          <w:sz w:val="15"/>
          <w:szCs w:val="15"/>
          <w:b w:val="1"/>
          <w:bCs w:val="1"/>
          <w:color w:val="auto"/>
        </w:rPr>
        <w:t>Number of warrants to be outstanding after this offering and the Private Placement:</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75,000,000</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21,562,500</w:t>
      </w:r>
      <w:r>
        <w:rPr>
          <w:rFonts w:ascii="Arial" w:cs="Arial" w:eastAsia="Arial" w:hAnsi="Arial"/>
          <w:sz w:val="26"/>
          <w:szCs w:val="26"/>
          <w:color w:val="auto"/>
          <w:vertAlign w:val="superscript"/>
        </w:rPr>
        <w:t>(2) (4)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93,750,000</w:t>
      </w:r>
      <w:r>
        <w:rPr>
          <w:rFonts w:ascii="Arial" w:cs="Arial" w:eastAsia="Arial" w:hAnsi="Arial"/>
          <w:sz w:val="26"/>
          <w:szCs w:val="26"/>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16,000,000</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34,750,000</w:t>
      </w:r>
      <w:r>
        <w:rPr>
          <w:rFonts w:ascii="Arial" w:cs="Arial" w:eastAsia="Arial" w:hAnsi="Arial"/>
          <w:sz w:val="26"/>
          <w:szCs w:val="26"/>
          <w:color w:val="auto"/>
          <w:vertAlign w:val="superscript"/>
        </w:rPr>
        <w:t>(1)</w:t>
      </w:r>
    </w:p>
    <w:p>
      <w:pPr>
        <w:spacing w:after="0" w:line="75" w:lineRule="exact"/>
        <w:rPr>
          <w:sz w:val="20"/>
          <w:szCs w:val="20"/>
          <w:color w:val="auto"/>
        </w:rPr>
      </w:pPr>
    </w:p>
    <w:p>
      <w:pPr>
        <w:ind w:right="719"/>
        <w:spacing w:after="0" w:line="257" w:lineRule="auto"/>
        <w:rPr>
          <w:sz w:val="20"/>
          <w:szCs w:val="20"/>
          <w:color w:val="auto"/>
        </w:rPr>
      </w:pPr>
      <w:r>
        <w:rPr>
          <w:rFonts w:ascii="Arial" w:cs="Arial" w:eastAsia="Arial" w:hAnsi="Arial"/>
          <w:sz w:val="18"/>
          <w:szCs w:val="18"/>
          <w:color w:val="auto"/>
        </w:rPr>
        <w:t>Each whole warrant offered in this offering is exercisable to purchase one share of our Class A common stock, subject to adjustment as provided herein, and only whole warrants are exercisable. No fractional warrants will be issued upon separation of the units and only whole warrants will trade.</w:t>
      </w:r>
    </w:p>
    <w:p>
      <w:pPr>
        <w:spacing w:after="0" w:line="80" w:lineRule="exact"/>
        <w:rPr>
          <w:sz w:val="20"/>
          <w:szCs w:val="20"/>
          <w:color w:val="auto"/>
        </w:rPr>
      </w:pPr>
    </w:p>
    <w:p>
      <w:pPr>
        <w:ind w:right="679"/>
        <w:spacing w:after="0" w:line="270" w:lineRule="auto"/>
        <w:rPr>
          <w:sz w:val="20"/>
          <w:szCs w:val="20"/>
          <w:color w:val="auto"/>
        </w:rPr>
      </w:pPr>
      <w:r>
        <w:rPr>
          <w:rFonts w:ascii="Arial" w:cs="Arial" w:eastAsia="Arial" w:hAnsi="Arial"/>
          <w:sz w:val="17"/>
          <w:szCs w:val="17"/>
          <w:color w:val="auto"/>
        </w:rPr>
        <w:t>We structured each unit to contain one-fourth of one warrant, with each whole warrant exercisable for one share of Class A common stock, as compared to units issued by some other similar blank check companies which contain whole warrants exercisable for one whole share, in order to reduce the dilutive effect of the warrants upon completion of our initial business combination as compared to units that each contain a warrant to purchase one whole share, thus making us, we believe, a more attractive business combination partner for target businesses.</w:t>
      </w:r>
    </w:p>
    <w:p>
      <w:pPr>
        <w:spacing w:after="0" w:line="73" w:lineRule="exact"/>
        <w:rPr>
          <w:sz w:val="20"/>
          <w:szCs w:val="20"/>
          <w:color w:val="auto"/>
        </w:rPr>
      </w:pPr>
    </w:p>
    <w:p>
      <w:pPr>
        <w:ind w:right="759"/>
        <w:spacing w:after="0" w:line="277" w:lineRule="auto"/>
        <w:rPr>
          <w:sz w:val="20"/>
          <w:szCs w:val="20"/>
          <w:color w:val="auto"/>
        </w:rPr>
      </w:pPr>
      <w:r>
        <w:rPr>
          <w:rFonts w:ascii="Arial" w:cs="Arial" w:eastAsia="Arial" w:hAnsi="Arial"/>
          <w:sz w:val="18"/>
          <w:szCs w:val="18"/>
          <w:color w:val="auto"/>
        </w:rPr>
        <w:t>$11.50 per share of Class A common stock, subject to adjustment as described herein.</w:t>
      </w:r>
    </w:p>
    <w:p>
      <w:pPr>
        <w:spacing w:after="0" w:line="200" w:lineRule="exact"/>
        <w:rPr>
          <w:sz w:val="20"/>
          <w:szCs w:val="20"/>
          <w:color w:val="auto"/>
        </w:rPr>
      </w:pPr>
    </w:p>
    <w:p>
      <w:pPr>
        <w:sectPr>
          <w:pgSz w:w="11900" w:h="16838" w:orient="portrait"/>
          <w:cols w:equalWidth="0" w:num="2">
            <w:col w:w="4020" w:space="440"/>
            <w:col w:w="5679"/>
          </w:cols>
          <w:pgMar w:left="320" w:top="132" w:right="1440" w:bottom="1440" w:gutter="0" w:footer="0" w:header="0"/>
          <w:type w:val="continuous"/>
        </w:sectPr>
      </w:pPr>
    </w:p>
    <w:p>
      <w:pPr>
        <w:spacing w:after="0" w:line="146" w:lineRule="exact"/>
        <w:rPr>
          <w:sz w:val="20"/>
          <w:szCs w:val="20"/>
          <w:color w:val="auto"/>
        </w:rPr>
      </w:pPr>
    </w:p>
    <w:p>
      <w:pPr>
        <w:ind w:left="1640" w:right="819" w:hanging="354"/>
        <w:spacing w:after="0" w:line="277"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units and the forfeiture by our sponsor of 2,812,500 founder shares.</w:t>
      </w:r>
    </w:p>
    <w:p>
      <w:pPr>
        <w:spacing w:after="0" w:line="62" w:lineRule="exact"/>
        <w:rPr>
          <w:rFonts w:ascii="Arial" w:cs="Arial" w:eastAsia="Arial" w:hAnsi="Arial"/>
          <w:sz w:val="18"/>
          <w:szCs w:val="18"/>
          <w:color w:val="auto"/>
        </w:rPr>
      </w:pPr>
    </w:p>
    <w:p>
      <w:pPr>
        <w:jc w:val="both"/>
        <w:ind w:left="1640" w:right="859" w:hanging="354"/>
        <w:spacing w:after="0" w:line="263"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solely of founder shares and includes up to 2,812,500 shares that are subject to forfeiture by our sponsor depending on the extent to which the underwriters’ option to purchase additional units is exercised.</w:t>
      </w:r>
    </w:p>
    <w:p>
      <w:pPr>
        <w:spacing w:after="0" w:line="75" w:lineRule="exact"/>
        <w:rPr>
          <w:rFonts w:ascii="Arial" w:cs="Arial" w:eastAsia="Arial" w:hAnsi="Arial"/>
          <w:sz w:val="18"/>
          <w:szCs w:val="18"/>
          <w:color w:val="auto"/>
        </w:rPr>
      </w:pPr>
    </w:p>
    <w:p>
      <w:pPr>
        <w:ind w:left="1640" w:hanging="354"/>
        <w:spacing w:after="0"/>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75,000,000 public shares and 18,750,000 founder shares.</w:t>
      </w:r>
    </w:p>
    <w:p>
      <w:pPr>
        <w:spacing w:after="0" w:line="117" w:lineRule="exact"/>
        <w:rPr>
          <w:rFonts w:ascii="Arial" w:cs="Arial" w:eastAsia="Arial" w:hAnsi="Arial"/>
          <w:sz w:val="18"/>
          <w:szCs w:val="18"/>
          <w:color w:val="auto"/>
        </w:rPr>
      </w:pPr>
    </w:p>
    <w:p>
      <w:pPr>
        <w:ind w:left="1640" w:right="819" w:hanging="354"/>
        <w:spacing w:after="0" w:line="259"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Founder shares are classified as shares of Class B common stock, which shares will automatically convert into shares of Class A common stock at the time of our initial business combination on a one-for-one basis, subject to adjustment as described below adjacent to the caption “Founder shares conversion and anti-dilution rights.”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Arial" w:cs="Arial" w:eastAsia="Arial" w:hAnsi="Arial"/>
                <w:sz w:val="18"/>
                <w:szCs w:val="18"/>
                <w:b w:val="1"/>
                <w:bCs w:val="1"/>
                <w:color w:val="auto"/>
              </w:rPr>
              <w:t>Exercise period</w:t>
            </w: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warrants will become exercisable on the warrant exercise</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date, which is the later of:</w:t>
            </w:r>
          </w:p>
        </w:tc>
      </w:tr>
      <w:tr>
        <w:trPr>
          <w:trHeight w:val="310"/>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30 days after the completion of our initial business</w:t>
            </w:r>
          </w:p>
        </w:tc>
      </w:tr>
      <w:tr>
        <w:trPr>
          <w:trHeight w:val="230"/>
        </w:trPr>
        <w:tc>
          <w:tcPr>
            <w:tcW w:w="2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combination; and</w:t>
            </w:r>
          </w:p>
        </w:tc>
      </w:tr>
      <w:tr>
        <w:trPr>
          <w:trHeight w:val="324"/>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12 months from the closing of this offering;</w:t>
            </w:r>
          </w:p>
        </w:tc>
      </w:tr>
      <w:tr>
        <w:trPr>
          <w:trHeight w:val="310"/>
        </w:trPr>
        <w:tc>
          <w:tcPr>
            <w:tcW w:w="2500" w:type="dxa"/>
            <w:vAlign w:val="bottom"/>
          </w:tcPr>
          <w:p>
            <w:pPr>
              <w:spacing w:after="0"/>
              <w:rPr>
                <w:sz w:val="24"/>
                <w:szCs w:val="24"/>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provided in each case that we have an effective registration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statement under the Securities Act covering the issuance of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shares of common stock issuable upon exercise of the warrants</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and a current prospectus relating to them is available (or we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3"/>
              </w:rPr>
              <w:t>permit holders to exercise their warrants on a cashless basis under</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circumstances specified in the warrant agreement).</w:t>
            </w:r>
          </w:p>
        </w:tc>
      </w:tr>
      <w:tr>
        <w:trPr>
          <w:trHeight w:val="310"/>
        </w:trPr>
        <w:tc>
          <w:tcPr>
            <w:tcW w:w="2500" w:type="dxa"/>
            <w:vAlign w:val="bottom"/>
          </w:tcPr>
          <w:p>
            <w:pPr>
              <w:spacing w:after="0"/>
              <w:rPr>
                <w:sz w:val="24"/>
                <w:szCs w:val="24"/>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We are not registering the shares of Class A common stock</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issuable upon exercise of the warrants at this time. However, we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have agreed that as soon as practicable, but in no event later than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15 business days after the closing of our initial business</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combination, we will use our reasonable best efforts to file with</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SEC, and within 60 business days following our initial</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business combination to have declared effective, a registration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statement covering the issuance of the shares of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stock issuable upon exercise of the warrants and to maintain a</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current prospectus relating to those shares of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stock until the warrants expire or are redeemed, as specified in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5"/>
              </w:rPr>
              <w:t>warrant agreement. If a registration statement covering the shares</w:t>
            </w:r>
          </w:p>
        </w:tc>
      </w:tr>
      <w:tr>
        <w:trPr>
          <w:trHeight w:val="179"/>
        </w:trPr>
        <w:tc>
          <w:tcPr>
            <w:tcW w:w="2500" w:type="dxa"/>
            <w:vAlign w:val="bottom"/>
          </w:tcPr>
          <w:p>
            <w:pPr>
              <w:spacing w:after="0"/>
              <w:rPr>
                <w:sz w:val="15"/>
                <w:szCs w:val="15"/>
                <w:color w:val="auto"/>
              </w:rPr>
            </w:pPr>
          </w:p>
        </w:tc>
        <w:tc>
          <w:tcPr>
            <w:tcW w:w="5700" w:type="dxa"/>
            <w:vAlign w:val="bottom"/>
            <w:gridSpan w:val="2"/>
          </w:tcPr>
          <w:p>
            <w:pPr>
              <w:ind w:left="680"/>
              <w:spacing w:after="0" w:line="179" w:lineRule="exact"/>
              <w:rPr>
                <w:sz w:val="20"/>
                <w:szCs w:val="20"/>
                <w:color w:val="auto"/>
              </w:rPr>
            </w:pPr>
            <w:r>
              <w:rPr>
                <w:rFonts w:ascii="Arial" w:cs="Arial" w:eastAsia="Arial" w:hAnsi="Arial"/>
                <w:sz w:val="18"/>
                <w:szCs w:val="18"/>
                <w:color w:val="auto"/>
                <w:w w:val="93"/>
              </w:rPr>
              <w:t>of Class A common stock issuable upon exercise of the warrants is</w:t>
            </w:r>
          </w:p>
        </w:tc>
      </w:tr>
      <w:tr>
        <w:trPr>
          <w:trHeight w:val="266"/>
        </w:trPr>
        <w:tc>
          <w:tcPr>
            <w:tcW w:w="2500" w:type="dxa"/>
            <w:vAlign w:val="bottom"/>
          </w:tcPr>
          <w:p>
            <w:pPr>
              <w:spacing w:after="0"/>
              <w:rPr>
                <w:sz w:val="23"/>
                <w:szCs w:val="23"/>
                <w:color w:val="auto"/>
              </w:rPr>
            </w:pPr>
          </w:p>
        </w:tc>
        <w:tc>
          <w:tcPr>
            <w:tcW w:w="5700" w:type="dxa"/>
            <w:vAlign w:val="bottom"/>
            <w:gridSpan w:val="2"/>
          </w:tcPr>
          <w:p>
            <w:pPr>
              <w:ind w:left="680"/>
              <w:spacing w:after="0" w:line="266" w:lineRule="exact"/>
              <w:rPr>
                <w:sz w:val="20"/>
                <w:szCs w:val="20"/>
                <w:color w:val="auto"/>
              </w:rPr>
            </w:pPr>
            <w:r>
              <w:rPr>
                <w:rFonts w:ascii="Arial" w:cs="Arial" w:eastAsia="Arial" w:hAnsi="Arial"/>
                <w:sz w:val="18"/>
                <w:szCs w:val="18"/>
                <w:color w:val="auto"/>
              </w:rPr>
              <w:t>not effective by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business day after the closing of our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initial business combination, warrant holders may, until such time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as there is an effective registration statement and during any</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period when we will have failed to maintain an effective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registration statement, exercise warrants on a “cashless basis”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accordance with Section 3(a)(9) of the Securities Act or another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exemption. Notwithstanding the above, if our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stock is at the time of any exercise of a warrant not listed on a</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national securities exchange such that it satisfies the definition of</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a “covered security” under Section 18(b)(1) of the Securities Act,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we may, at our option, require holders of public warrants who</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exercise their warrants to do so on a “cashless basis”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accordance with Section 3(a)(9) of the Securities Act and, in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event we so elect, we will not be required to file or maintain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effect a registration statement, and in the event we do not so elect,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we will use our best efforts to register or qualify the shares under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applicable blue sky laws to the extent an exemption is not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available. The warrants will expire at 5:00 p.m., New York City</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time on the warrant expiration date, which is five years after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completion of our initial business combination or earlier upon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redemption or liquidation. On the exercise of any warrant,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warrant exercise price will be paid directly to us and not placed in</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trust account.</w:t>
            </w:r>
          </w:p>
        </w:tc>
      </w:tr>
      <w:tr>
        <w:trPr>
          <w:trHeight w:val="310"/>
        </w:trPr>
        <w:tc>
          <w:tcPr>
            <w:tcW w:w="250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Once the warrants become exercisable, we may redeem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outstanding warrants (except as described herein with respect to</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private placement warrants):</w:t>
            </w:r>
          </w:p>
        </w:tc>
      </w:tr>
      <w:tr>
        <w:trPr>
          <w:trHeight w:val="324"/>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in whole and not in part;</w:t>
            </w: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a price of $0.01 per warrant;</w:t>
      </w:r>
    </w:p>
    <w:p>
      <w:pPr>
        <w:spacing w:after="0" w:line="117"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upon a minimum of 30 days’ prior written notice of</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redemption, which we refer to as the 30-day redemption</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period; and</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if, and only if, the closing price of our Class A common</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stock equals or exceeds $18.00 per share (as adjusted for</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 splits, stock dividends, reorganizations,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recapitalizations and the like) for any 20 trading days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within a 30-trading day period ending on the third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trading day prior to the date on which we send the notice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of redemption to the warrant holders.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will not redeem the warrants for cash unless a registration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statement under the Securities Act covering the issuance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of Class A common stock issuable upon exercise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is then effective and a current prospectus relating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those shares of common stock is available throughout the 30-day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period, except if the warrants may be exercised on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cashless basis and such cashless exercise is exempt from</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registration under the Securities Act. If and when the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become redeemable by us, we may exercise our redemption right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even if we are unable to register or qualify the underlying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for sale under all applicable state securities laws.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Cashless Exercise</w:t>
      </w:r>
      <w:r>
        <w:rPr>
          <w:sz w:val="20"/>
          <w:szCs w:val="20"/>
          <w:color w:val="auto"/>
        </w:rPr>
        <w:tab/>
      </w:r>
      <w:r>
        <w:rPr>
          <w:rFonts w:ascii="Arial" w:cs="Arial" w:eastAsia="Arial" w:hAnsi="Arial"/>
          <w:sz w:val="17"/>
          <w:szCs w:val="17"/>
          <w:color w:val="auto"/>
        </w:rPr>
        <w:t>If we call the warrants for redemption for cash, as described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above, our management will have the option to require all holders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wish to exercise warrants to do so on a “cashless basis.”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determining whether to require all holders to exercise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on a “cashless basis,” our management will consider,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among other factors, our cash position, the number of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are outstanding and the dilutive effect on our stockholders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issuing the maximum number of shares of Class A common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issuable upon the exercise of our warrants. In such event, each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holder would pay the exercise price by surrendering the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that number of shares of Class A common stock equal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quotient obtained by dividing (x) the product of the number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of Class A common stock underlying the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multiplied by the excess of the “fair market value” of our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(defined above) over the exercise price of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by (y) the fair market value. Please see “Description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 Warrants — Public Stockholders’ Warrants” for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additional information.</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Election of directors; voting</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rights</w:t>
      </w:r>
      <w:r>
        <w:rPr>
          <w:sz w:val="20"/>
          <w:szCs w:val="20"/>
          <w:color w:val="auto"/>
        </w:rPr>
        <w:tab/>
      </w:r>
      <w:r>
        <w:rPr>
          <w:rFonts w:ascii="Arial" w:cs="Arial" w:eastAsia="Arial" w:hAnsi="Arial"/>
          <w:sz w:val="18"/>
          <w:szCs w:val="18"/>
          <w:color w:val="auto"/>
        </w:rPr>
        <w:t>Prior to the consummation of our initial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only holders of our Class B common stock will have the right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vote on the election of directors. Holders of the Class A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will not be entitled to vote on the election of directors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during such time. These provisions of our amended and restated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certificate of incorporation may only be amended if approved by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majority of at least 90% of our common stock voting at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 meeting. With respect to any other matter submitted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a vote of our stockholders, including any vote in connection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our initial business combination, except as required by</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or stock exchange rule, holders of our Class A</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and holders of our Class B common stock will vote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together as a single class, with each share entitling the holder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one vote.</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Founder shares</w:t>
      </w:r>
      <w:r>
        <w:rPr>
          <w:sz w:val="20"/>
          <w:szCs w:val="20"/>
          <w:color w:val="auto"/>
        </w:rPr>
        <w:tab/>
      </w:r>
      <w:r>
        <w:rPr>
          <w:rFonts w:ascii="Arial" w:cs="Arial" w:eastAsia="Arial" w:hAnsi="Arial"/>
          <w:sz w:val="16"/>
          <w:szCs w:val="16"/>
          <w:color w:val="auto"/>
        </w:rPr>
        <w:t>In May 2020, our sponsor purchased an aggregate of 21,562,500</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founder shares for an aggregate purchase price of $25,000,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approximately $0.001 per share. The number of founder shares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issued was determined based on the expectation that the founder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would represent 20% of the outstanding shares of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upon the completion of this offering. Prior to the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investment in the company of $25,000 by our sponsor,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had no assets, tangible or intangible. The purchase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the founder shares was determined by dividing the amount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cash contributed to us by the number of founder shares issued.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increase or decrease the size of this offering, we will effect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dividend or a share contribution back to capital or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appropriate mechanism, as applicable, with respect to our Class B</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immediately prior to the consummation of this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offering in such amount as to maintain the ownership of founder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by our initial stockholders at 20% of our issued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outstanding shares of our common stock upon the consummation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this offering.</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founder shares are subject to forfeiture by our sponsor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depending on the extent to which the underwriters’ option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purchase additional units is exercised.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founder shares are identical to the shares of Class A common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included in the units being sold in this offering, except that:</w:t>
      </w:r>
    </w:p>
    <w:p>
      <w:pPr>
        <w:spacing w:after="0" w:line="114"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only holders of the founder shares have the right to vote</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on the election and removal of directors prior to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consummation of our initial business combination;</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founder shares are subject to certain transfer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restrictions, as described in more detail below;</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sponsor, officers and directors have entered into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letter agreements with us, pursuant to which they have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agreed: (1) to waive their redemption rights with respect</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to any founder shares and public shares held by them, as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applicable, in connection with the completion of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initial business combination; (2) to waive their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redemption rights with respect to any founder shares and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public shares held by them in connection with 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stockholder vote to approve an amendment to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amended and restated certificate of incorporation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modify the substance or timing of our obligation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provide for the redemption of our public shares in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connection with an initial business combination or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redeem 100% of our public shares if we have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consummated our initial business combination within the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and (3) to waive their rights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liquidating distributions from the trust account with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respect to any founder shares they hold if we fail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complete our initial business combination within the</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(although they will be entitled to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liquidating distributions from the trust account with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respect to any public shares they hold if we fail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complete our initial business combination within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If we submit our initial business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combination to our public stockholders for a vote,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initial stockholders, officers and directors have agreed to</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vote any founder shares and any public shares held by</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them in favor of our initial business combination. As 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result, in addition to our initial stockholders’ founder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shares, we would need 28,125,001, or 37.5%, of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75,000,000 public shares sold in this offering to be voted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 favor of an initial business combination (assuming all</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issued and outstanding shares are voted and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underwriters’ option to purchase additional units is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exercised) in order to have such initial business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combination approved;</w:t>
      </w:r>
    </w:p>
    <w:p>
      <w:pPr>
        <w:spacing w:after="0" w:line="103" w:lineRule="exact"/>
        <w:rPr>
          <w:sz w:val="20"/>
          <w:szCs w:val="20"/>
          <w:color w:val="auto"/>
        </w:rPr>
      </w:pPr>
    </w:p>
    <w:p>
      <w:pPr>
        <w:ind w:left="5180" w:right="859" w:hanging="366"/>
        <w:spacing w:after="0" w:line="275" w:lineRule="auto"/>
        <w:tabs>
          <w:tab w:leader="none" w:pos="5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founder shares are automatically convertible into shares of our Class A common stock at the time of our initial business combination, on a one-for-one basis, subject to adjustment pursuant to certain anti-dilution rights, as described in more detail below; and</w:t>
      </w:r>
    </w:p>
    <w:p>
      <w:pPr>
        <w:spacing w:after="0" w:line="68" w:lineRule="exact"/>
        <w:rPr>
          <w:rFonts w:ascii="Arial" w:cs="Arial" w:eastAsia="Arial" w:hAnsi="Arial"/>
          <w:sz w:val="17"/>
          <w:szCs w:val="17"/>
          <w:color w:val="auto"/>
        </w:rPr>
      </w:pPr>
    </w:p>
    <w:p>
      <w:pPr>
        <w:ind w:left="5180" w:right="1399" w:hanging="366"/>
        <w:spacing w:after="0" w:line="277" w:lineRule="auto"/>
        <w:tabs>
          <w:tab w:leader="none" w:pos="5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the founder shares are entitled to registration rights.</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 founder</w:t>
      </w:r>
    </w:p>
    <w:p>
      <w:pPr>
        <w:spacing w:after="0" w:line="27" w:lineRule="exact"/>
        <w:rPr>
          <w:sz w:val="20"/>
          <w:szCs w:val="20"/>
          <w:color w:val="auto"/>
        </w:rPr>
      </w:pPr>
    </w:p>
    <w:p>
      <w:pPr>
        <w:ind w:left="4460" w:right="659" w:hanging="2999"/>
        <w:spacing w:after="0" w:line="267" w:lineRule="auto"/>
        <w:tabs>
          <w:tab w:leader="none" w:pos="4440" w:val="left"/>
        </w:tabs>
        <w:rPr>
          <w:sz w:val="20"/>
          <w:szCs w:val="20"/>
          <w:color w:val="auto"/>
        </w:rPr>
      </w:pPr>
      <w:r>
        <w:rPr>
          <w:rFonts w:ascii="Arial" w:cs="Arial" w:eastAsia="Arial" w:hAnsi="Arial"/>
          <w:sz w:val="17"/>
          <w:szCs w:val="17"/>
          <w:b w:val="1"/>
          <w:bCs w:val="1"/>
          <w:color w:val="auto"/>
        </w:rPr>
        <w:t>share</w:t>
      </w:r>
      <w:r>
        <w:rPr>
          <w:sz w:val="20"/>
          <w:szCs w:val="20"/>
          <w:color w:val="auto"/>
        </w:rPr>
        <w:tab/>
      </w: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w:t>
      </w:r>
    </w:p>
    <w:p>
      <w:pPr>
        <w:spacing w:after="0" w:line="7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Notwithstanding the foregoing, if the closing price of our common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equals or exceeds $12.00 per share (as adjusted for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splits, stock dividends, reorganizations, recapitalizations and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like) for any 20 trading days within any 30-trading day period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commencing at least 150 days after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the founder shares will be released from the lock-up.</w:t>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Founder shares conversation and</w:t>
      </w:r>
    </w:p>
    <w:p>
      <w:pPr>
        <w:spacing w:after="0" w:line="27" w:lineRule="exact"/>
        <w:rPr>
          <w:sz w:val="20"/>
          <w:szCs w:val="20"/>
          <w:color w:val="auto"/>
        </w:rPr>
      </w:pPr>
    </w:p>
    <w:p>
      <w:pPr>
        <w:ind w:left="4460" w:right="659" w:hanging="2987"/>
        <w:spacing w:after="0" w:line="270" w:lineRule="auto"/>
        <w:tabs>
          <w:tab w:leader="none" w:pos="4440" w:val="left"/>
        </w:tabs>
        <w:rPr>
          <w:sz w:val="20"/>
          <w:szCs w:val="20"/>
          <w:color w:val="auto"/>
        </w:rPr>
      </w:pPr>
      <w:r>
        <w:rPr>
          <w:rFonts w:ascii="Arial" w:cs="Arial" w:eastAsia="Arial" w:hAnsi="Arial"/>
          <w:sz w:val="18"/>
          <w:szCs w:val="18"/>
          <w:b w:val="1"/>
          <w:bCs w:val="1"/>
          <w:color w:val="auto"/>
        </w:rPr>
        <w:t>anti-dilution rights</w:t>
      </w:r>
      <w:r>
        <w:rPr>
          <w:sz w:val="20"/>
          <w:szCs w:val="20"/>
          <w:color w:val="auto"/>
        </w:rPr>
        <w:tab/>
      </w:r>
      <w:r>
        <w:rPr>
          <w:rFonts w:ascii="Arial" w:cs="Arial" w:eastAsia="Arial" w:hAnsi="Arial"/>
          <w:sz w:val="17"/>
          <w:szCs w:val="17"/>
          <w:color w:val="auto"/>
        </w:rPr>
        <w:t>The shares of Class B common stock will automatically convert into shares of Class A common stock at the time of our initial business combination on a one-for-one basis, subject to adjustment as provided herein. In the case that additional shares of Class A common stock, or equity-linked securities, are issued or deemed issued in excess of the amounts sold in this offering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related to the closing of our initial business combination, the</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ratio at which shares of Class B common stock shall convert into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of Class A common stock will be adjusted (unless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holders of a majority of the outstanding shares of Class B</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agree to waive such anti-dilution adjustment with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respect to any such issuance or deemed issuance) so that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number of shares of Class A common stock issuable upon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conversion of all shares of Class B common stock will equal,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aggregate, on an as-converted basis, 20% of the total number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all shares of common stock outstanding upon completion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this offering plus all shares of Class A common stock and equity-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linked securities issued or deemed issued in connection with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 (net of the number of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Class A common stock redeemed in connection with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excluding any shares or equity-linked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issued, or to be issued, to any seller in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in consideration for such seller’s interest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business combination target and any private placement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issued upon the conversion of working capital loans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made to us.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Private placement warrants</w:t>
      </w:r>
      <w:r>
        <w:rPr>
          <w:sz w:val="20"/>
          <w:szCs w:val="20"/>
          <w:color w:val="auto"/>
        </w:rPr>
        <w:tab/>
      </w:r>
      <w:r>
        <w:rPr>
          <w:rFonts w:ascii="Arial" w:cs="Arial" w:eastAsia="Arial" w:hAnsi="Arial"/>
          <w:sz w:val="16"/>
          <w:szCs w:val="16"/>
          <w:color w:val="auto"/>
        </w:rPr>
        <w:t>Our sponsor has subscribed to purchase an aggregate of</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16,000,000 private placement warrants (or 18,250,000 if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underwriters’ option to purchase additional units is exercised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full) at a price of $1.00 per warrant ($16,000,000 in the aggregate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$18,250,000 in the aggregate if the underwriters’ option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purchase additional units is exercised in full) in the Private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Placement. Each private placement warrant entitles the holder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thereof to purchase one share of Class A common stock at a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$11.50 per share, subject to adjustment as provided herein.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portion of the purchase price of the private placement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be added to the proceeds from this offering to be held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trust account. If we do not complete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within the completion window, the proceeds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sale of the private placement warrants held in the trust account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be used to fund the redemption of our public shares (subject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the requirements of applicable law) and the private placement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will expire worthless. The private placement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will not be redeemable by us so long as they are held by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sponsor or its permitted transferees (except as described below</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under “Principal Stockholders — Transfers of Founder Shares and</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Private Placement Warrants”). If the private placement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are held by holders other than our sponsor or its permitted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transferees, the private placement warrants will be redeemable by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and exercisable by the holders on the same basis as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included in the units being sold as part of this offering.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sponsor, as well as its permitted transferees, have the option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exercise the private placement warrants on a cashless basis.</w:t>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 private</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placement warrants</w:t>
      </w:r>
      <w:r>
        <w:rPr>
          <w:sz w:val="20"/>
          <w:szCs w:val="20"/>
          <w:color w:val="auto"/>
        </w:rPr>
        <w:tab/>
      </w:r>
      <w:r>
        <w:rPr>
          <w:rFonts w:ascii="Arial" w:cs="Arial" w:eastAsia="Arial" w:hAnsi="Arial"/>
          <w:sz w:val="17"/>
          <w:szCs w:val="17"/>
          <w:color w:val="auto"/>
        </w:rPr>
        <w:t>The private placement warrants (including the Class A common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issuable upon exercise of the private placement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not be transferable, assignable or salable until 30 days after</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completion of our initial business combination (except as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described under the section of this prospectus entitled “Principal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 Transfers of Founder Shares and Private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Placement Warrants”).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Proceeds to be held in trust</w:t>
      </w:r>
    </w:p>
    <w:p>
      <w:pPr>
        <w:spacing w:after="0" w:line="27" w:lineRule="exact"/>
        <w:rPr>
          <w:sz w:val="20"/>
          <w:szCs w:val="20"/>
          <w:color w:val="auto"/>
        </w:rPr>
      </w:pPr>
    </w:p>
    <w:p>
      <w:pPr>
        <w:ind w:left="4460" w:right="71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account</w:t>
      </w:r>
      <w:r>
        <w:rPr>
          <w:sz w:val="20"/>
          <w:szCs w:val="20"/>
          <w:color w:val="auto"/>
        </w:rPr>
        <w:tab/>
      </w:r>
      <w:r>
        <w:rPr>
          <w:rFonts w:ascii="Arial" w:cs="Arial" w:eastAsia="Arial" w:hAnsi="Arial"/>
          <w:sz w:val="17"/>
          <w:szCs w:val="17"/>
          <w:color w:val="auto"/>
        </w:rPr>
        <w:t>The rules of the NYSE provide that at least 90% of the gross proceeds from this offering and the sale of the private placement warrants be deposited in a trust account. Of the net proceeds we will receive from this offering and the sale of the private placement warrants described in this prospectus, $750.0 million ($10.00 per unit), or $862.5 million ($10.00 per unit) if the underwriters’ option to purchase additional units is exercised in full, will be deposited into a segregated trust account located in the United States with Continental Stock Transfer &amp; Trust Company acting as trustee and an aggregate of approximately $1.0 million will be used to pay expenses in connection with the closing of this offering and for working capital following this offering. The proceeds to be placed in the trust account include $26,250,000 (or up to $30,187,500 if the underwriters’ option to purchase additional units is exercised in full) in deferred underwriting commissions.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w:t>
      </w:r>
    </w:p>
    <w:p>
      <w:pPr>
        <w:spacing w:after="0" w:line="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Except with respect to interest earned on the funds held in the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that may be released to us as described below,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funds held in the trust account will not be released from the trust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account until the earliest of: (1) the completion of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(2) the redemption of any public shares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properly submitted in connection with a stockholder vote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amend our amended and restated certificate of incorporation (i)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modify the substance or timing of our obligation to provide for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redemption of our public shares in connection with an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or to redeem 100% of our public shares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do not complete our initial business combination within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window or (ii) with respect to any other material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provisions relating to the rights of holders of our Class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prior to our initial business combination or pre-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 business activity; and (3)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of all of our public shares if we are unable to complete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business combination within the completion window,</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subject to applicable law. The proceeds deposited in the trust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account could become subject to the claims of our creditors,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which could have priority over the claims of our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Anticipated expenses and funding</w:t>
      </w:r>
    </w:p>
    <w:p>
      <w:pPr>
        <w:spacing w:after="0" w:line="27" w:lineRule="exact"/>
        <w:rPr>
          <w:sz w:val="20"/>
          <w:szCs w:val="20"/>
          <w:color w:val="auto"/>
        </w:rPr>
      </w:pPr>
    </w:p>
    <w:p>
      <w:pPr>
        <w:ind w:left="4460" w:right="699" w:hanging="2999"/>
        <w:spacing w:after="0" w:line="270" w:lineRule="auto"/>
        <w:tabs>
          <w:tab w:leader="none" w:pos="4440" w:val="left"/>
        </w:tabs>
        <w:rPr>
          <w:sz w:val="20"/>
          <w:szCs w:val="20"/>
          <w:color w:val="auto"/>
        </w:rPr>
      </w:pPr>
      <w:r>
        <w:rPr>
          <w:rFonts w:ascii="Arial" w:cs="Arial" w:eastAsia="Arial" w:hAnsi="Arial"/>
          <w:sz w:val="17"/>
          <w:szCs w:val="17"/>
          <w:b w:val="1"/>
          <w:bCs w:val="1"/>
          <w:color w:val="auto"/>
        </w:rPr>
        <w:t>sources</w:t>
      </w:r>
      <w:r>
        <w:rPr>
          <w:sz w:val="20"/>
          <w:szCs w:val="20"/>
          <w:color w:val="auto"/>
        </w:rPr>
        <w:tab/>
      </w:r>
      <w:r>
        <w:rPr>
          <w:rFonts w:ascii="Arial" w:cs="Arial" w:eastAsia="Arial" w:hAnsi="Arial"/>
          <w:sz w:val="17"/>
          <w:szCs w:val="17"/>
          <w:color w:val="auto"/>
        </w:rPr>
        <w:t>Unless and until we complete our initial business combination, no proceeds held in the trust account will be available for our use, except permitted withdrawals. The funds in the trust account will be invested only in U.S. government treasury bills with a maturity of 185 days or less or in money market funds that meet certain conditions under Rule 2a-7 under the Investment Company Act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60" w:hanging="179"/>
        <w:spacing w:after="0" w:line="282"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66" w:lineRule="auto"/>
        <w:rPr>
          <w:sz w:val="20"/>
          <w:szCs w:val="20"/>
          <w:color w:val="auto"/>
        </w:rPr>
      </w:pPr>
      <w:r>
        <w:rPr>
          <w:rFonts w:ascii="Arial" w:cs="Arial" w:eastAsia="Arial" w:hAnsi="Arial"/>
          <w:sz w:val="17"/>
          <w:szCs w:val="17"/>
          <w:color w:val="auto"/>
        </w:rPr>
        <w:t>and that invest only in direct U.S. government obligations. Based upon current interest rates, we expect the trust account to generate approximately $3,750,000 of interest annually (assuming an interest rate of 0.50% per year); however, we can provide no assurances regarding this amount. Unless and until we complete our initial business combination, we may pay our expenses only from such interest withdrawn from the trust account and any loans or additional investments from our sponsor, members of our management team or any of their respective affiliates or other third parties, although they are under no obligation or other duty to loan funds to, or invest in, us, and provided that any such loans will not have any claim on the proceeds held in the trust account unless such proceeds are released to us upon completion of our initial business combination. If we complete our initial business combination, we expect to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all loans made to us by our sponsor, an affiliate of our sponsor or our officers and directors may be convertible into warrants at a price of $1.00 per warrant at the option of the lender at the time of the business combination. The warrants would be identical to the private placement warrants issued to our sponsor.</w:t>
      </w:r>
    </w:p>
    <w:p>
      <w:pPr>
        <w:spacing w:after="0" w:line="308" w:lineRule="exact"/>
        <w:rPr>
          <w:sz w:val="20"/>
          <w:szCs w:val="20"/>
          <w:color w:val="auto"/>
        </w:rPr>
      </w:pPr>
    </w:p>
    <w:p>
      <w:pPr>
        <w:ind w:right="659"/>
        <w:spacing w:after="0" w:line="269" w:lineRule="auto"/>
        <w:rPr>
          <w:sz w:val="20"/>
          <w:szCs w:val="20"/>
          <w:color w:val="auto"/>
        </w:rPr>
      </w:pPr>
      <w:r>
        <w:rPr>
          <w:rFonts w:ascii="Arial" w:cs="Arial" w:eastAsia="Arial" w:hAnsi="Arial"/>
          <w:sz w:val="17"/>
          <w:szCs w:val="17"/>
          <w:color w:val="auto"/>
        </w:rPr>
        <w:t>There is no limitation on our ability to raise funds privately or through loans in connection with our initial business combination. 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do not currently intend to purchase multiple businesses in unrelated industries in conjunction with our initial business combination, although there is no assurance that will be the case.</w:t>
      </w:r>
    </w:p>
    <w:p>
      <w:pPr>
        <w:spacing w:after="0" w:line="74"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If our board of directors is not able to independently determine the fair market value of the target business or businesses, we will obtain an opinion from an independent investment banking firm that is a member of FINRA or from an independent accounting firm. We will complete our initial business combination only if the post-transaction company in which our public stockholders own shares will own or acquire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w:t>
      </w:r>
    </w:p>
    <w:p>
      <w:pPr>
        <w:spacing w:after="0" w:line="200" w:lineRule="exact"/>
        <w:rPr>
          <w:sz w:val="20"/>
          <w:szCs w:val="20"/>
          <w:color w:val="auto"/>
        </w:rPr>
      </w:pPr>
    </w:p>
    <w:p>
      <w:pPr>
        <w:sectPr>
          <w:pgSz w:w="11900" w:h="16838" w:orient="portrait"/>
          <w:cols w:equalWidth="0" w:num="2">
            <w:col w:w="3900" w:space="560"/>
            <w:col w:w="5679"/>
          </w:cols>
          <w:pgMar w:left="320" w:top="131" w:right="1440" w:bottom="1440" w:gutter="0" w:footer="0" w:header="0"/>
          <w:type w:val="continuous"/>
        </w:sectPr>
      </w:pP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39"/>
        <w:spacing w:after="0" w:line="255" w:lineRule="auto"/>
        <w:rPr>
          <w:sz w:val="20"/>
          <w:szCs w:val="20"/>
          <w:color w:val="auto"/>
        </w:rPr>
      </w:pPr>
      <w:r>
        <w:rPr>
          <w:rFonts w:ascii="Arial" w:cs="Arial" w:eastAsia="Arial" w:hAnsi="Arial"/>
          <w:sz w:val="18"/>
          <w:szCs w:val="18"/>
          <w:color w:val="auto"/>
        </w:rPr>
        <w:t>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target businesses.</w:t>
      </w:r>
    </w:p>
    <w:p>
      <w:pPr>
        <w:spacing w:after="0" w:line="200" w:lineRule="exact"/>
        <w:rPr>
          <w:sz w:val="20"/>
          <w:szCs w:val="20"/>
          <w:color w:val="auto"/>
        </w:rPr>
      </w:pPr>
    </w:p>
    <w:p>
      <w:pPr>
        <w:spacing w:after="0" w:line="316" w:lineRule="exact"/>
        <w:rPr>
          <w:sz w:val="20"/>
          <w:szCs w:val="20"/>
          <w:color w:val="auto"/>
        </w:rPr>
      </w:pPr>
    </w:p>
    <w:p>
      <w:pPr>
        <w:ind w:left="6" w:right="659"/>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w:t>
      </w:r>
    </w:p>
    <w:p>
      <w:pPr>
        <w:spacing w:after="0" w:line="1" w:lineRule="exact"/>
        <w:rPr>
          <w:sz w:val="20"/>
          <w:szCs w:val="20"/>
          <w:color w:val="auto"/>
        </w:rPr>
      </w:pPr>
    </w:p>
    <w:p>
      <w:pPr>
        <w:ind w:left="6" w:right="659"/>
        <w:spacing w:after="0" w:line="266" w:lineRule="auto"/>
        <w:rPr>
          <w:sz w:val="20"/>
          <w:szCs w:val="20"/>
          <w:color w:val="auto"/>
        </w:rPr>
      </w:pPr>
      <w:r>
        <w:rPr>
          <w:rFonts w:ascii="Arial" w:cs="Arial" w:eastAsia="Arial" w:hAnsi="Arial"/>
          <w:sz w:val="17"/>
          <w:szCs w:val="17"/>
          <w:color w:val="auto"/>
        </w:rPr>
        <w:t>— Permitted purchases of our securities” for a description of how such persons will determine from which stockholders to seek to acquire securities. There is no limit on the number of shares or warrants such persons may purchase, or any restriction on the price that they may pay. Any such price per share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sponsor, directors, officers, advisors or any of their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Prior to the consummation of this offering, we will adopt an insider trading policy which will require insiders to:</w:t>
      </w:r>
    </w:p>
    <w:p>
      <w:pPr>
        <w:spacing w:after="0" w:line="79" w:lineRule="exact"/>
        <w:rPr>
          <w:sz w:val="20"/>
          <w:szCs w:val="20"/>
          <w:color w:val="auto"/>
        </w:rPr>
      </w:pPr>
    </w:p>
    <w:p>
      <w:pPr>
        <w:ind w:left="6" w:right="719" w:hanging="6"/>
        <w:spacing w:after="0" w:line="277" w:lineRule="auto"/>
        <w:tabs>
          <w:tab w:leader="none" w:pos="2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refrain from purchasing securities when they are in possession of any material non-public information; and</w:t>
      </w:r>
    </w:p>
    <w:p>
      <w:pPr>
        <w:spacing w:after="0" w:line="62" w:lineRule="exact"/>
        <w:rPr>
          <w:rFonts w:ascii="Arial" w:cs="Arial" w:eastAsia="Arial" w:hAnsi="Arial"/>
          <w:sz w:val="18"/>
          <w:szCs w:val="18"/>
          <w:color w:val="auto"/>
        </w:rPr>
      </w:pPr>
    </w:p>
    <w:p>
      <w:pPr>
        <w:ind w:left="6" w:right="659" w:hanging="6"/>
        <w:spacing w:after="0" w:line="254" w:lineRule="auto"/>
        <w:tabs>
          <w:tab w:leader="none" w:pos="2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84" w:lineRule="exact"/>
        <w:rPr>
          <w:sz w:val="20"/>
          <w:szCs w:val="20"/>
          <w:color w:val="auto"/>
        </w:rPr>
      </w:pPr>
    </w:p>
    <w:p>
      <w:pPr>
        <w:jc w:val="both"/>
        <w:ind w:left="6" w:right="719"/>
        <w:spacing w:after="0" w:line="286" w:lineRule="auto"/>
        <w:rPr>
          <w:sz w:val="20"/>
          <w:szCs w:val="20"/>
          <w:color w:val="auto"/>
        </w:rPr>
      </w:pPr>
      <w:r>
        <w:rPr>
          <w:rFonts w:ascii="Arial" w:cs="Arial" w:eastAsia="Arial" w:hAnsi="Arial"/>
          <w:sz w:val="17"/>
          <w:szCs w:val="17"/>
          <w:color w:val="auto"/>
        </w:rPr>
        <w:t>We do not currently anticipate that such purchases, if any, would constitute a tender offer subject to the tender offer rules under the Exchange Act or a going-private transaction subject to the</w:t>
      </w:r>
    </w:p>
    <w:p>
      <w:pPr>
        <w:spacing w:after="0" w:line="200" w:lineRule="exact"/>
        <w:rPr>
          <w:sz w:val="20"/>
          <w:szCs w:val="20"/>
          <w:color w:val="auto"/>
        </w:rPr>
      </w:pPr>
    </w:p>
    <w:p>
      <w:pPr>
        <w:sectPr>
          <w:pgSz w:w="11900" w:h="16838" w:orient="portrait"/>
          <w:cols w:equalWidth="0" w:num="2">
            <w:col w:w="4000" w:space="454"/>
            <w:col w:w="5686"/>
          </w:cols>
          <w:pgMar w:left="320" w:top="131" w:right="1440" w:bottom="1440" w:gutter="0" w:footer="0" w:header="0"/>
          <w:type w:val="continuous"/>
        </w:sectPr>
      </w:pPr>
    </w:p>
    <w:p>
      <w:pPr>
        <w:spacing w:after="0" w:line="2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60" w:hanging="179"/>
        <w:spacing w:after="0" w:line="343" w:lineRule="auto"/>
        <w:rPr>
          <w:sz w:val="20"/>
          <w:szCs w:val="20"/>
          <w:color w:val="auto"/>
        </w:rPr>
      </w:pPr>
      <w:r>
        <w:rPr>
          <w:rFonts w:ascii="Arial" w:cs="Arial" w:eastAsia="Arial" w:hAnsi="Arial"/>
          <w:sz w:val="15"/>
          <w:szCs w:val="15"/>
          <w:b w:val="1"/>
          <w:bCs w:val="1"/>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59"/>
        <w:spacing w:after="0" w:line="254" w:lineRule="auto"/>
        <w:rPr>
          <w:sz w:val="20"/>
          <w:szCs w:val="20"/>
          <w:color w:val="auto"/>
        </w:rPr>
      </w:pPr>
      <w:r>
        <w:rPr>
          <w:rFonts w:ascii="Arial" w:cs="Arial" w:eastAsia="Arial" w:hAnsi="Arial"/>
          <w:sz w:val="18"/>
          <w:szCs w:val="18"/>
          <w:color w:val="auto"/>
        </w:rPr>
        <w:t>going-private rules under the Exchange Act; however, if the purchasers determine at the time of any such purchases that the purchases are subject to such rules, the purchasers will comply with such rules. Our sponsor, directors, officers, advisors or any of their respective affiliates will be restricted from making purchases if such purchases would violate Section 9(a)(2) or Rule 10b-5 of the Exchange Act.</w:t>
      </w:r>
    </w:p>
    <w:p>
      <w:pPr>
        <w:spacing w:after="0" w:line="87" w:lineRule="exact"/>
        <w:rPr>
          <w:sz w:val="20"/>
          <w:szCs w:val="20"/>
          <w:color w:val="auto"/>
        </w:rPr>
      </w:pPr>
    </w:p>
    <w:p>
      <w:pPr>
        <w:ind w:right="659"/>
        <w:spacing w:after="0" w:line="269" w:lineRule="auto"/>
        <w:rPr>
          <w:sz w:val="20"/>
          <w:szCs w:val="20"/>
          <w:color w:val="auto"/>
        </w:rPr>
      </w:pPr>
      <w:r>
        <w:rPr>
          <w:rFonts w:ascii="Arial" w:cs="Arial" w:eastAsia="Arial" w:hAnsi="Arial"/>
          <w:sz w:val="17"/>
          <w:szCs w:val="17"/>
          <w:color w:val="auto"/>
        </w:rPr>
        <w:t>We expect that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77"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12" w:lineRule="exact"/>
        <w:rPr>
          <w:sz w:val="20"/>
          <w:szCs w:val="20"/>
          <w:color w:val="auto"/>
        </w:rPr>
      </w:pPr>
    </w:p>
    <w:p>
      <w:pPr>
        <w:ind w:right="699"/>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w:t>
      </w:r>
    </w:p>
    <w:p>
      <w:pPr>
        <w:spacing w:after="0" w:line="200" w:lineRule="exact"/>
        <w:rPr>
          <w:sz w:val="20"/>
          <w:szCs w:val="20"/>
          <w:color w:val="auto"/>
        </w:rPr>
      </w:pPr>
    </w:p>
    <w:p>
      <w:pPr>
        <w:sectPr>
          <w:pgSz w:w="11900" w:h="16838" w:orient="portrait"/>
          <w:cols w:equalWidth="0" w:num="2">
            <w:col w:w="3860" w:space="600"/>
            <w:col w:w="5679"/>
          </w:cols>
          <w:pgMar w:left="320" w:top="131"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right is being exercised must identify itself in order to</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validly redeem its shares. Each public stockholder may elect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redeem its public shares without voting, and if they do vote,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irrespective of whether they vote for or against the proposed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transaction. There will be no redemption rights upon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completion of our initial business combination with respect to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Our sponsor, officers and directors have entered into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letter agreement with us, pursuant to which they have agreed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waive their redemption rights with respect to any founder shares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any public shares held by them in connection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of our initial business combination.</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Manner of conducting</w:t>
      </w:r>
    </w:p>
    <w:p>
      <w:pPr>
        <w:spacing w:after="0" w:line="27" w:lineRule="exact"/>
        <w:rPr>
          <w:sz w:val="20"/>
          <w:szCs w:val="20"/>
          <w:color w:val="auto"/>
        </w:rPr>
      </w:pPr>
    </w:p>
    <w:p>
      <w:pPr>
        <w:ind w:left="4460" w:right="67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redemptions</w:t>
      </w:r>
      <w:r>
        <w:rPr>
          <w:sz w:val="20"/>
          <w:szCs w:val="20"/>
          <w:color w:val="auto"/>
        </w:rPr>
        <w:tab/>
      </w: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either: (1) in connection with a stockholder meeting called to approve the business combination; or (2)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a stockholder vote is not required and we do not decide to hold</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stockholder vote for business or other reasons, we will, pursuant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our amended and restated certificate of incorporation:</w:t>
      </w:r>
    </w:p>
    <w:p>
      <w:pPr>
        <w:spacing w:after="0" w:line="103" w:lineRule="exact"/>
        <w:rPr>
          <w:sz w:val="20"/>
          <w:szCs w:val="20"/>
          <w:color w:val="auto"/>
        </w:rPr>
      </w:pPr>
    </w:p>
    <w:p>
      <w:pPr>
        <w:jc w:val="both"/>
        <w:ind w:left="5180" w:right="999" w:hanging="366"/>
        <w:spacing w:after="0" w:line="263" w:lineRule="auto"/>
        <w:tabs>
          <w:tab w:leader="none" w:pos="5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ind w:left="5180" w:right="839" w:hanging="366"/>
        <w:spacing w:after="0" w:line="254" w:lineRule="auto"/>
        <w:tabs>
          <w:tab w:leader="none" w:pos="5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Upon the public announcement of our initial business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if we elect to conduct redemptions pursuant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tender offer rules, we and our sponsor will terminate any plan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established in accordance with Rule 10b5-1 to purchase shares of</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Class A common stock in the open market, in order to comply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Rule 14e-5 under the Exchange Act.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 the event we conduct redemptions pursuant to the tender offer</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rules, our offer to redeem will remain open for at least 20 business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days, in accordance with Rule 14e-1(a) under the Exchange Act,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we will not be permitted to complete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until the expiration of the tender offer period.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 the tender offer will be conditioned on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stockholders not tendering more than a specified number of public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which number will be based on the requirement that we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may not redeem public shares in an amount that would cause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net tangible assets, after payment of the deferred underwriting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commissions, to be less than $5,000,001 (so that we do not then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become subject to the SEC’s “penny stock” rules), or any greater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net tangible asset or cash requirement which may be contained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agreement relating to our initial business combination.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stockholders tender more shares than we have offered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purchase, we will withdraw the tender offer and not complete such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however, stockholder approval of the transaction is required by</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or stock exchange listing requirement, or we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decide to obtain stockholder approval for business or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reasons, we will:</w:t>
      </w:r>
    </w:p>
    <w:p>
      <w:pPr>
        <w:spacing w:after="0" w:line="103" w:lineRule="exact"/>
        <w:rPr>
          <w:sz w:val="20"/>
          <w:szCs w:val="20"/>
          <w:color w:val="auto"/>
        </w:rPr>
      </w:pPr>
    </w:p>
    <w:p>
      <w:pPr>
        <w:ind w:left="5180" w:right="719" w:hanging="366"/>
        <w:spacing w:after="0" w:line="279" w:lineRule="auto"/>
        <w:tabs>
          <w:tab w:leader="none" w:pos="5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63" w:lineRule="exact"/>
        <w:rPr>
          <w:rFonts w:ascii="Arial" w:cs="Arial" w:eastAsia="Arial" w:hAnsi="Arial"/>
          <w:sz w:val="17"/>
          <w:szCs w:val="17"/>
          <w:color w:val="auto"/>
        </w:rPr>
      </w:pPr>
    </w:p>
    <w:p>
      <w:pPr>
        <w:ind w:left="5180" w:hanging="366"/>
        <w:spacing w:after="0"/>
        <w:tabs>
          <w:tab w:leader="none" w:pos="5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expect that a final proxy statement would be mailed to public</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at least 10 days prior to the stockholder vote.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However, we expect that a draft proxy statement would be made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available to such stockholders well in advance of such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providing additional notice of redemption if we conduct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redemptions in conjunction with a proxy solicitation. Although we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are not required to do so, we currently intend to comply with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substantive and procedural requirements of Regulation 14A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any stockholder vote even if we are not able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maintain our NYSE listing or Exchange Act registration.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If we seek stockholder approval, unless otherwise required by</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regulation or stock exchange rules, we will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complete our initial business combination only if a majority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outstanding shares of common stock voted are voted in favor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business combination. A quorum for such meeting will consist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holders present in person or by proxy of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outstanding capital stock of the company representing a majority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voting power of all outstanding shares of capital stock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 entitled to vote at such meeting.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officers and directors will count towards this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quorum and have agreed to vote any founder shares and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public shares held by them in favor of our initial business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99"/>
        <w:spacing w:after="0" w:line="252" w:lineRule="auto"/>
        <w:rPr>
          <w:sz w:val="20"/>
          <w:szCs w:val="20"/>
          <w:color w:val="auto"/>
        </w:rPr>
      </w:pPr>
      <w:r>
        <w:rPr>
          <w:rFonts w:ascii="Arial" w:cs="Arial" w:eastAsia="Arial" w:hAnsi="Arial"/>
          <w:sz w:val="18"/>
          <w:szCs w:val="18"/>
          <w:color w:val="auto"/>
        </w:rPr>
        <w:t>combination. We expect that at the time of any stockholder vote relating to our initial business combination, our initial stockholders and their permitted transferees will own at least 20% of our outstanding shares of common stock entitled to vote thereon. As a result, in addition to our initial stockholders’ founder shares, we would need 28,125,001, or 37.5%, of the 75,000,000 public shares sold in this offering to be voted in favor of a transaction (assuming all issued and outstanding shares are voted and the option to purchase additional units is not exercised) in order to have such initial business combination approved. These quorum and voting thresholds and agreements may make it more likely that we will consummate our initial business combination.</w:t>
      </w:r>
    </w:p>
    <w:p>
      <w:pPr>
        <w:spacing w:after="0" w:line="91"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common stock submitted for redemption will be returned to the holders thereof.</w:t>
      </w:r>
    </w:p>
    <w:p>
      <w:pPr>
        <w:spacing w:after="0" w:line="200" w:lineRule="exact"/>
        <w:rPr>
          <w:sz w:val="20"/>
          <w:szCs w:val="20"/>
          <w:color w:val="auto"/>
        </w:rPr>
      </w:pPr>
    </w:p>
    <w:p>
      <w:pPr>
        <w:spacing w:after="0" w:line="309" w:lineRule="exact"/>
        <w:rPr>
          <w:sz w:val="20"/>
          <w:szCs w:val="20"/>
          <w:color w:val="auto"/>
        </w:rPr>
      </w:pPr>
    </w:p>
    <w:p>
      <w:pPr>
        <w:ind w:right="679"/>
        <w:spacing w:after="0" w:line="268"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stockholders to satisfy such delivery</w:t>
      </w:r>
    </w:p>
    <w:p>
      <w:pPr>
        <w:spacing w:after="0" w:line="200" w:lineRule="exact"/>
        <w:rPr>
          <w:sz w:val="20"/>
          <w:szCs w:val="20"/>
          <w:color w:val="auto"/>
        </w:rPr>
      </w:pPr>
    </w:p>
    <w:p>
      <w:pPr>
        <w:sectPr>
          <w:pgSz w:w="11900" w:h="16838" w:orient="portrait"/>
          <w:cols w:equalWidth="0" w:num="2">
            <w:col w:w="3880" w:space="58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60" w:right="140" w:hanging="179"/>
        <w:spacing w:after="0" w:line="298"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60" w:hanging="179"/>
        <w:spacing w:after="0" w:line="289" w:lineRule="auto"/>
        <w:rPr>
          <w:sz w:val="20"/>
          <w:szCs w:val="20"/>
          <w:color w:val="auto"/>
        </w:rPr>
      </w:pPr>
      <w:r>
        <w:rPr>
          <w:rFonts w:ascii="Arial" w:cs="Arial" w:eastAsia="Arial" w:hAnsi="Arial"/>
          <w:sz w:val="17"/>
          <w:szCs w:val="17"/>
          <w:b w:val="1"/>
          <w:bCs w:val="1"/>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86" w:lineRule="auto"/>
        <w:rPr>
          <w:sz w:val="20"/>
          <w:szCs w:val="20"/>
          <w:color w:val="auto"/>
        </w:rPr>
      </w:pPr>
      <w:r>
        <w:rPr>
          <w:rFonts w:ascii="Arial" w:cs="Arial" w:eastAsia="Arial" w:hAnsi="Arial"/>
          <w:sz w:val="17"/>
          <w:szCs w:val="17"/>
          <w:color w:val="auto"/>
        </w:rPr>
        <w:t>requirements, which will include the requirement that any beneficial owner on whose behalf a redemption right is being exercised must identify itself in order to validly redeem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against a business combination if such holder’s shares are not purchased by us or our affiliates at a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79"/>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(other than the election of directors), our amended and restated certificate of incorporation will provide that it may be amended by holders of a</w:t>
      </w:r>
    </w:p>
    <w:p>
      <w:pPr>
        <w:spacing w:after="0" w:line="200" w:lineRule="exact"/>
        <w:rPr>
          <w:sz w:val="20"/>
          <w:szCs w:val="20"/>
          <w:color w:val="auto"/>
        </w:rPr>
      </w:pPr>
    </w:p>
    <w:p>
      <w:pPr>
        <w:sectPr>
          <w:pgSz w:w="11900" w:h="16838" w:orient="portrait"/>
          <w:cols w:equalWidth="0" w:num="2">
            <w:col w:w="3980" w:space="480"/>
            <w:col w:w="5679"/>
          </w:cols>
          <w:pgMar w:left="320" w:top="131"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majority of our common stock entitled to vote thereon, subject to applicable provisions of the Delaware General Corporation Law, or DGCL, or applicable stock exchange rules. Prior to an initial business combination,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may choose. 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common stock upon approval of any such amendment at a per share price, payable in cash, equal to the aggregate amount then on deposit in the trust account, including interest (net of permitted withdrawals), divided by the number of then outstanding public shares.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Any permitted transferees would be subject to the same restrictions and other agreements of our initial stockholders with respect to any founder shares.</w:t>
      </w:r>
    </w:p>
    <w:p>
      <w:pPr>
        <w:spacing w:after="0" w:line="200" w:lineRule="exact"/>
        <w:rPr>
          <w:sz w:val="20"/>
          <w:szCs w:val="20"/>
          <w:color w:val="auto"/>
        </w:rPr>
      </w:pPr>
    </w:p>
    <w:p>
      <w:pPr>
        <w:spacing w:after="0" w:line="319" w:lineRule="exact"/>
        <w:rPr>
          <w:sz w:val="20"/>
          <w:szCs w:val="20"/>
          <w:color w:val="auto"/>
        </w:rPr>
      </w:pPr>
    </w:p>
    <w:p>
      <w:pPr>
        <w:ind w:right="719"/>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“Proposed Business —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w:t>
      </w:r>
    </w:p>
    <w:p>
      <w:pPr>
        <w:spacing w:after="0" w:line="200" w:lineRule="exact"/>
        <w:rPr>
          <w:sz w:val="20"/>
          <w:szCs w:val="20"/>
          <w:color w:val="auto"/>
        </w:rPr>
      </w:pPr>
    </w:p>
    <w:p>
      <w:pPr>
        <w:sectPr>
          <w:pgSz w:w="11900" w:h="16838" w:orient="portrait"/>
          <w:cols w:equalWidth="0" w:num="2">
            <w:col w:w="3900" w:space="56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60" w:hanging="179"/>
        <w:spacing w:after="0" w:line="314" w:lineRule="auto"/>
        <w:rPr>
          <w:sz w:val="20"/>
          <w:szCs w:val="20"/>
          <w:color w:val="auto"/>
        </w:rPr>
      </w:pPr>
      <w:r>
        <w:rPr>
          <w:rFonts w:ascii="Arial" w:cs="Arial" w:eastAsia="Arial" w:hAnsi="Arial"/>
          <w:sz w:val="16"/>
          <w:szCs w:val="16"/>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79"/>
        <w:spacing w:after="0" w:line="259" w:lineRule="auto"/>
        <w:rPr>
          <w:sz w:val="20"/>
          <w:szCs w:val="20"/>
          <w:color w:val="auto"/>
        </w:rPr>
      </w:pPr>
      <w:r>
        <w:rPr>
          <w:rFonts w:ascii="Arial" w:cs="Arial" w:eastAsia="Arial" w:hAnsi="Arial"/>
          <w:sz w:val="18"/>
          <w:szCs w:val="18"/>
          <w:color w:val="auto"/>
        </w:rPr>
        <w:t>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311" w:lineRule="exact"/>
        <w:rPr>
          <w:sz w:val="20"/>
          <w:szCs w:val="20"/>
          <w:color w:val="auto"/>
        </w:rPr>
      </w:pPr>
    </w:p>
    <w:p>
      <w:pPr>
        <w:ind w:left="6" w:right="659"/>
        <w:spacing w:after="0" w:line="268" w:lineRule="auto"/>
        <w:rPr>
          <w:sz w:val="20"/>
          <w:szCs w:val="20"/>
          <w:color w:val="auto"/>
        </w:rPr>
      </w:pPr>
      <w:r>
        <w:rPr>
          <w:rFonts w:ascii="Arial" w:cs="Arial" w:eastAsia="Arial" w:hAnsi="Arial"/>
          <w:sz w:val="17"/>
          <w:szCs w:val="17"/>
          <w:color w:val="auto"/>
        </w:rPr>
        <w:t>Our amended and restated certificate of incorporation provides that we will have only the completion window to complete our initial business combination. If we are unable to complete our initial business combination within the completion window, we will: (1) cease all operations except for the purpose of winding up;</w:t>
      </w:r>
    </w:p>
    <w:p>
      <w:pPr>
        <w:spacing w:after="0" w:line="3" w:lineRule="exact"/>
        <w:rPr>
          <w:sz w:val="20"/>
          <w:szCs w:val="20"/>
          <w:color w:val="auto"/>
        </w:rPr>
      </w:pPr>
    </w:p>
    <w:p>
      <w:pPr>
        <w:ind w:left="6" w:right="659" w:hanging="6"/>
        <w:spacing w:after="0" w:line="266" w:lineRule="auto"/>
        <w:tabs>
          <w:tab w:leader="none" w:pos="2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 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w:t>
      </w:r>
    </w:p>
    <w:p>
      <w:pPr>
        <w:spacing w:after="0" w:line="83" w:lineRule="exact"/>
        <w:rPr>
          <w:sz w:val="20"/>
          <w:szCs w:val="20"/>
          <w:color w:val="auto"/>
        </w:rPr>
      </w:pPr>
    </w:p>
    <w:p>
      <w:pPr>
        <w:ind w:left="6" w:right="659"/>
        <w:spacing w:after="0" w:line="268" w:lineRule="auto"/>
        <w:rPr>
          <w:sz w:val="20"/>
          <w:szCs w:val="20"/>
          <w:color w:val="auto"/>
        </w:rPr>
      </w:pPr>
      <w:r>
        <w:rPr>
          <w:rFonts w:ascii="Arial" w:cs="Arial" w:eastAsia="Arial" w:hAnsi="Arial"/>
          <w:sz w:val="17"/>
          <w:szCs w:val="17"/>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our sponsor or any of our officers, directors or any of their respective affiliates acquires public shares after this offering, they will be entitled to liquidating distributions from the trust account with respect to such public shares if we fail to complete our initial business combination within the completion window. The underwriters have agreed to waive their rights to their deferred underwriting commission held in the trust account in the event we do not complete our initial business combination and, in such event, such amounts will be included with the funds held in the trust account that will be available to fund the redemption of our public shares.</w:t>
      </w:r>
    </w:p>
    <w:p>
      <w:pPr>
        <w:spacing w:after="0" w:line="72" w:lineRule="exact"/>
        <w:rPr>
          <w:sz w:val="20"/>
          <w:szCs w:val="20"/>
          <w:color w:val="auto"/>
        </w:rPr>
      </w:pPr>
    </w:p>
    <w:p>
      <w:pPr>
        <w:ind w:left="6" w:right="659"/>
        <w:spacing w:after="0" w:line="270"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w:t>
      </w:r>
    </w:p>
    <w:p>
      <w:pPr>
        <w:spacing w:after="0" w:line="200" w:lineRule="exact"/>
        <w:rPr>
          <w:sz w:val="20"/>
          <w:szCs w:val="20"/>
          <w:color w:val="auto"/>
        </w:rPr>
      </w:pPr>
    </w:p>
    <w:p>
      <w:pPr>
        <w:sectPr>
          <w:pgSz w:w="11900" w:h="16838" w:orient="portrait"/>
          <w:cols w:equalWidth="0" w:num="2">
            <w:col w:w="3860" w:space="594"/>
            <w:col w:w="5686"/>
          </w:cols>
          <w:pgMar w:left="320" w:top="131" w:right="1440" w:bottom="1440" w:gutter="0" w:footer="0" w:header="0"/>
          <w:type w:val="continuous"/>
        </w:sectPr>
      </w:pP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of common stock upon approval of any such amendment at</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per share price, payable in cash, equal to the aggregate amount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then on deposit in the trust account, including interest (net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permitted withdrawals and up to $100,000 of interest to pay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dissolution expenses), divided by the number of then outstanding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public shares.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7"/>
          <w:szCs w:val="17"/>
          <w:color w:val="auto"/>
        </w:rPr>
        <w:t>There will be no finder’s fees, reimbursement, consulting fee,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monies in respect of any payment of a loan or other compensation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paid by us to our sponsor, officers or directors or our or any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their respective affiliates, for services rendered to us prior to or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the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(regardless of the type of transaction that it 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However, the following payments may be made to our sponsor,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officers or directors, or our or their affiliates, and, if made prior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initial business combination will be made from (i) funds held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outside the trust account or (ii) permitted withdrawals: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an aggregate of up to $600,000 in loans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made to us by our sponsor to cover offering-related and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organizational expenses;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the closing of our initial business combination, a</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customary financial advisory fee to M. Klein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Company, or another affiliate of our sponsor, in an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amount that constitutes a market standard financial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advisory fee for comparable transactions;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to an affiliate of our sponsor of a total of</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$50,000 per month, for up to 27 months, for office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space, administrative and support services;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for any out-of-pocket expenses related to</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identifying, investigating and completing an initial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combination; and</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which may be made by our sponsor,</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an affiliate of our sponsor or our officers and directors to</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finance transaction costs in connection with an intended</w:t>
      </w:r>
    </w:p>
    <w:p>
      <w:pPr>
        <w:spacing w:after="0" w:line="21"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initial business combination, the terms of which have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been determined nor have any written agreements been</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executed with respect thereto. Up to $1,500,000 of such</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loans may be convertible into warrants of the post-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combination entity at a price of $1.00 per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warrant at the option of the lender.</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audit committee will review on a quarterly basis all payments</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were made by us to our sponsor, officers or directors or our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of their respective affiliates.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Audit Committee</w:t>
      </w:r>
      <w:r>
        <w:rPr>
          <w:sz w:val="20"/>
          <w:szCs w:val="20"/>
          <w:color w:val="auto"/>
        </w:rPr>
        <w:tab/>
      </w:r>
      <w:r>
        <w:rPr>
          <w:rFonts w:ascii="Arial" w:cs="Arial" w:eastAsia="Arial" w:hAnsi="Arial"/>
          <w:sz w:val="17"/>
          <w:szCs w:val="17"/>
          <w:color w:val="auto"/>
        </w:rPr>
        <w:t>Prior to the effectiveness of this registration statement, we will</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have established and will maintain an audit committee to, among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things, monitor compliance with the terms described above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the other terms relating to this offering. If any noncompliance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is identified, then the audit committee will be charged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responsibility to immediately take all action necessary to rectify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such noncompliance or otherwise to cause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compliance with the terms of this offering. Please see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“Management — Committees of the Board of Directors — Audit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Committee” for additional information.</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Conflicts of Interest</w:t>
      </w:r>
      <w:r>
        <w:rPr>
          <w:sz w:val="20"/>
          <w:szCs w:val="20"/>
          <w:color w:val="auto"/>
        </w:rPr>
        <w:tab/>
      </w:r>
      <w:r>
        <w:rPr>
          <w:rFonts w:ascii="Arial" w:cs="Arial" w:eastAsia="Arial" w:hAnsi="Arial"/>
          <w:sz w:val="17"/>
          <w:szCs w:val="17"/>
          <w:color w:val="auto"/>
        </w:rPr>
        <w:t>Mr. Klein is the founder and managing partner of M. Klein and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Company and acts as a strategic advisor to its clients. M.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Company is an affiliate of our sponsor. Mr. Klein has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fiduciary duty to M. Klein and Company. As a result, Mr.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have a duty to offer acquisition opportunities to clients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 Klein and Company. Mr. Klein will have no duty to offer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acquisition opportunities to the Company unless presented to him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solely in his capacity as an officer or director of the Company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after he has satisfied his contractual and fiduciary obligations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other parties.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As a result, M. Klein and Company’s clients may compete with us</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acquisition opportunities in the same industries and sectors as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may target for our initial business combination. If any of them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decide to pursue any such opportunity, we may be precluded from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procuring such opportunities. In addition, investment ideas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generated within M. Klein and Company, including by Mr.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other persons who may make decisions for the company, may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 suitable both for us and for M. Klein and Company or any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its clients, and will be directed initially to such persons rather than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us. None of Mr. Klein, M. Klein and Company or members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management team who are also employed by M. Klein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have any obligation to present us with any opportunity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a potential business combination of which they become aware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unless it is offered to them solely in their capacity as a director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officer of the Company and after they have satisfied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contractual and fiduciary obligations to other parties.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Strategic and Operating Partners and their personnel, if any,</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have a duty to offer acquisition opportunities to clients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parties. Such persons will have no duty to offer acquisition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opportunities to the Company unless presented to them solely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their capacity as a director of the Company and after they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satisfied any contractual and fiduciary obligations to other parties.</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result, such persons may compete with us for acquisition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opportunities in the same industries and sectors as we may target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for our initial business combination. Consequently, we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precluded from procuring such opportunities. In addition,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investment ideas may be suitable both for us and for a Strategic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Partner or Operating Partner or any of its clients, and will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directed initially to such persons rather than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addition, Mr. Klein, M. Klein and Company and any of our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Strategic and Operating Partners or their personnel may sponsor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form other blank check companies similar to ours during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period in which we are seeking an initial business combination.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particular, Mr. Klein, M. Klein and Company, our Strategic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Operating Partners and our board of directors, actively engaged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Churchill Capital Corp II and Churchill Capital Corp III, special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purpose acquisition corporations that completed their initial public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offerings in July 2019 and February 2020,</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respectively. Churchill Capital Corp II and Churchill Capital Corp</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III, like us, may pursue initial business combination targets in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businesses or industries and have until July 1, 2021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February 19, 2022, respectively, to do so (absent an extension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accordance with their charters). Any such companies, including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Churchill Capital Corp II and Churchill Capital Corp III, may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present additional conflicts of interest in pursuing an acquisition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target.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Furthermore, our sponsor, officers and directors may participate in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formation of, or become an officer or director of, any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blank check company prior to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As a result, our sponsor, officers or directors could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have conflicts of interest in determining whether to present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opportunities to us or to any other blank</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check company with which they may become involved.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also may engage M. Klein and Company, or another affiliate</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our sponsor, as our lead financial advisor in connection with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business combination and may pay such affiliate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customary financial advisory fee in an amount that constitutes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market standard financial advisory fee for comparable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transactions. See “Risk Factors — We may engage M. Klein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or another affiliate of our sponsor, as our lead financial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advisor on our business combinations and other transactions.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fee in connection with such engagement may be conditioned upon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completion of such transactions. This financial interest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of such transactions may influence the advice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affiliate provides.”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described in “Proposed Business — Sourcing of Potential</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Targets” and “Management — Conflicts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 each of our officers and directors presently has, and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them in the future may have additional, fiduciary, contractual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obligations or duties to one or more other entities pursuant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which such officer or director is or will be required to present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opportunity to such entities. Accordingly,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of our officers or directors becomes aware of a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opportunity which is suitable for one or more entities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which he or she has fiduciary, contractual or other obligations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duties, he or she will honor these obligations and duties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 such business combination opportunity to such entities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first, and only present it to us if such entities reject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opportunity and he or she determines to present the opportunity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(including as described above). These conflicts may not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resolved in our favor and a potential target business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presented to another entity prior to its presentation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addition, none of the Operating Partners are officers or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directors of our company and therefore owe us no fiduciary duties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such. While we expect that they will assist us in identifying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business combination targets, they have no obligation to do so and</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devote a substantial portion of their business time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activities unrelated to us. Each Operating Partner may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fiduciary, contractual or other obligations or duties to other</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organizations to present business combination opportunities to</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such other organizations rather than to us. Accordingly, if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Operating Partner becomes aware of a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opportunity which is suitable for one or more entities to which 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or she has fiduciary, contractual or other obligations or duties, 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she will honor those obligations and duties to present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opportunity to such entities first and only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present it to us if such entities reject the opportunity and he or she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determines to present the opportunity to us. These conflicts may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be resolved in our favor and a potential business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presented to another entity prior to its presentation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potential conflicts described above may limit our ability to</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enter into a business combination or other transactions. These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circumstances could give rise to numerous situations where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interests may conflict. There can be no assurance that these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conflicts of interest with the potential for adverse effects 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 and investors will not arise.</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Indemnity</w:t>
      </w:r>
      <w:r>
        <w:rPr>
          <w:sz w:val="20"/>
          <w:szCs w:val="20"/>
          <w:color w:val="auto"/>
        </w:rPr>
        <w:tab/>
      </w:r>
      <w:r>
        <w:rPr>
          <w:rFonts w:ascii="Arial" w:cs="Arial" w:eastAsia="Arial" w:hAnsi="Arial"/>
          <w:sz w:val="18"/>
          <w:szCs w:val="18"/>
          <w:color w:val="auto"/>
        </w:rPr>
        <w:t>Our sponsor has agreed that it will be liable to us if and to the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extent any claims by a third party (other than our independent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registered public accounting firm) for services rendered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products sold to us, or a prospective target business with which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have entered into a written letter of intent, confidentiality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similar agreement or business combination agreement, reduce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amount of funds in the trust account to below: (1) $10.00 per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share; or (2) the actual amount per public share held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as of the date of the liquidation of the trust account,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less than $10.00 per share due to reductions in the value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assets, in each case net of permitted withdrawals, except as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any claims by a third party that executed a waiver of any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all rights to the monies held in the trust account (whether any such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waiver is enforceable) and except as to any claims under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indemnity of the underwriters of this offering against certain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liabilities, including liabilities under the Securities Act. We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independently verified whether our sponsor has sufficient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funds to satisfy its indemnity obligations and believe that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sponsor’s only assets are securities of our company and, therefore,</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sponsor may not be able to satisfy those obligations. We have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asked our sponsor to reserve for such obligations.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w:t>
      </w:r>
    </w:p>
    <w:p>
      <w:pPr>
        <w:spacing w:after="0" w:line="108"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w:t>
      </w:r>
    </w:p>
    <w:p>
      <w:pPr>
        <w:spacing w:after="0" w:line="1" w:lineRule="exact"/>
        <w:rPr>
          <w:sz w:val="20"/>
          <w:szCs w:val="20"/>
          <w:color w:val="auto"/>
        </w:rPr>
      </w:pPr>
    </w:p>
    <w:p>
      <w:pPr>
        <w:ind w:left="1280" w:right="719"/>
        <w:spacing w:after="0" w:line="253" w:lineRule="auto"/>
        <w:rPr>
          <w:sz w:val="20"/>
          <w:szCs w:val="20"/>
          <w:color w:val="auto"/>
        </w:rPr>
      </w:pPr>
      <w:r>
        <w:rPr>
          <w:rFonts w:ascii="Arial" w:cs="Arial" w:eastAsia="Arial" w:hAnsi="Arial"/>
          <w:sz w:val="18"/>
          <w:szCs w:val="18"/>
          <w:color w:val="auto"/>
        </w:rPr>
        <w:t>Rule 419 blank check offerings. Please see “Proposed Business — Comparison of This Offering to Those of Blank Check Companies Subject to Rule 419” for additional information concerning how Rule 419 blank check offerings differ from this offering. You should carefully consider these and the other risks set forth in the section entitled “Risk Factors” in this prospectus.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Summary Financial Data</w:t>
      </w:r>
    </w:p>
    <w:p>
      <w:pPr>
        <w:spacing w:after="0" w:line="189"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89"/>
              </w:rPr>
              <w:t>As of May 22, 2020</w:t>
            </w:r>
          </w:p>
        </w:tc>
      </w:tr>
      <w:tr>
        <w:trPr>
          <w:trHeight w:val="26"/>
        </w:trPr>
        <w:tc>
          <w:tcPr>
            <w:tcW w:w="6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7"/>
                <w:szCs w:val="17"/>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As Adjusted</w:t>
            </w:r>
          </w:p>
        </w:tc>
      </w:tr>
      <w:tr>
        <w:trPr>
          <w:trHeight w:val="26"/>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0"/>
        </w:trPr>
        <w:tc>
          <w:tcPr>
            <w:tcW w:w="6300" w:type="dxa"/>
            <w:vAlign w:val="bottom"/>
          </w:tcPr>
          <w:p>
            <w:pPr>
              <w:spacing w:after="0" w:line="270" w:lineRule="exact"/>
              <w:rPr>
                <w:sz w:val="20"/>
                <w:szCs w:val="20"/>
                <w:color w:val="auto"/>
              </w:rPr>
            </w:pPr>
            <w:r>
              <w:rPr>
                <w:rFonts w:ascii="Arial" w:cs="Arial" w:eastAsia="Arial" w:hAnsi="Arial"/>
                <w:sz w:val="18"/>
                <w:szCs w:val="18"/>
                <w:color w:val="auto"/>
              </w:rPr>
              <w:t>Working capital deficit</w:t>
            </w:r>
            <w:r>
              <w:rPr>
                <w:rFonts w:ascii="Arial" w:cs="Arial" w:eastAsia="Arial" w:hAnsi="Arial"/>
                <w:sz w:val="26"/>
                <w:szCs w:val="26"/>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(34,000)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723,774,000</w:t>
            </w:r>
          </w:p>
        </w:tc>
      </w:tr>
      <w:tr>
        <w:trPr>
          <w:trHeight w:val="270"/>
        </w:trPr>
        <w:tc>
          <w:tcPr>
            <w:tcW w:w="63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83,000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750,024,000</w:t>
            </w:r>
          </w:p>
        </w:tc>
      </w:tr>
      <w:tr>
        <w:trPr>
          <w:trHeight w:val="270"/>
        </w:trPr>
        <w:tc>
          <w:tcPr>
            <w:tcW w:w="6300" w:type="dxa"/>
            <w:vAlign w:val="bottom"/>
          </w:tcPr>
          <w:p>
            <w:pPr>
              <w:spacing w:after="0" w:line="270" w:lineRule="exact"/>
              <w:rPr>
                <w:sz w:val="20"/>
                <w:szCs w:val="20"/>
                <w:color w:val="auto"/>
              </w:rPr>
            </w:pPr>
            <w:r>
              <w:rPr>
                <w:rFonts w:ascii="Arial" w:cs="Arial" w:eastAsia="Arial" w:hAnsi="Arial"/>
                <w:sz w:val="18"/>
                <w:szCs w:val="18"/>
                <w:color w:val="auto"/>
              </w:rPr>
              <w:t>Total liabilities</w:t>
            </w:r>
            <w:r>
              <w:rPr>
                <w:rFonts w:ascii="Arial" w:cs="Arial" w:eastAsia="Arial" w:hAnsi="Arial"/>
                <w:sz w:val="26"/>
                <w:szCs w:val="26"/>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59,000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26,250,000</w:t>
            </w:r>
          </w:p>
        </w:tc>
      </w:tr>
      <w:tr>
        <w:trPr>
          <w:trHeight w:val="270"/>
        </w:trPr>
        <w:tc>
          <w:tcPr>
            <w:tcW w:w="63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Value of common stock subject to possible redemption</w:t>
            </w:r>
            <w:r>
              <w:rPr>
                <w:rFonts w:ascii="Arial" w:cs="Arial" w:eastAsia="Arial" w:hAnsi="Arial"/>
                <w:sz w:val="26"/>
                <w:szCs w:val="26"/>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718,773,990</w:t>
            </w:r>
          </w:p>
        </w:tc>
      </w:tr>
      <w:tr>
        <w:trPr>
          <w:trHeight w:val="355"/>
        </w:trPr>
        <w:tc>
          <w:tcPr>
            <w:tcW w:w="6300" w:type="dxa"/>
            <w:vAlign w:val="bottom"/>
          </w:tcPr>
          <w:p>
            <w:pPr>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26"/>
                <w:szCs w:val="26"/>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24,000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-1082040</wp:posOffset>
            </wp:positionV>
            <wp:extent cx="45688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117475</wp:posOffset>
            </wp:positionV>
            <wp:extent cx="123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ind w:left="1620" w:right="819" w:hanging="352"/>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includes $750,000,000 cash held in trust from the proceeds of this offering and the sale of the private placement warrants, plus $24,000 of actual stockholders’ equity as of May 22, 2020, less $26,250,000 of deferred underwriting commissions.</w:t>
      </w:r>
    </w:p>
    <w:p>
      <w:pPr>
        <w:spacing w:after="0" w:line="143" w:lineRule="exact"/>
        <w:rPr>
          <w:rFonts w:ascii="Arial" w:cs="Arial" w:eastAsia="Arial" w:hAnsi="Arial"/>
          <w:sz w:val="18"/>
          <w:szCs w:val="18"/>
          <w:color w:val="auto"/>
        </w:rPr>
      </w:pPr>
    </w:p>
    <w:p>
      <w:pPr>
        <w:ind w:left="1620" w:right="759" w:hanging="352"/>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equals $750,000,000 cash held in trust from the proceeds of this offering and the sale of the private placement warrants, plus $24,000 of actual stockholders’ equity as of May 22, 2020.</w:t>
      </w:r>
    </w:p>
    <w:p>
      <w:pPr>
        <w:spacing w:after="0" w:line="143" w:lineRule="exact"/>
        <w:rPr>
          <w:rFonts w:ascii="Arial" w:cs="Arial" w:eastAsia="Arial" w:hAnsi="Arial"/>
          <w:sz w:val="18"/>
          <w:szCs w:val="18"/>
          <w:color w:val="auto"/>
        </w:rPr>
      </w:pPr>
    </w:p>
    <w:p>
      <w:pPr>
        <w:ind w:left="1620" w:hanging="352"/>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includes $26,250,000 of deferred underwriting commissions.</w:t>
      </w:r>
    </w:p>
    <w:p>
      <w:pPr>
        <w:spacing w:after="0" w:line="198" w:lineRule="exact"/>
        <w:rPr>
          <w:rFonts w:ascii="Arial" w:cs="Arial" w:eastAsia="Arial" w:hAnsi="Arial"/>
          <w:sz w:val="18"/>
          <w:szCs w:val="18"/>
          <w:color w:val="auto"/>
        </w:rPr>
      </w:pPr>
    </w:p>
    <w:p>
      <w:pPr>
        <w:ind w:left="1620" w:right="1019" w:hanging="352"/>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equals the “as adjusted” total assets, less the “as adjusted” total liabilities, less the “as adjusted” stockholders’ equity, which is set to approximate the minimum net tangible assets threshold of at least $5,000,001.</w:t>
      </w:r>
    </w:p>
    <w:p>
      <w:pPr>
        <w:spacing w:after="0" w:line="143" w:lineRule="exact"/>
        <w:rPr>
          <w:rFonts w:ascii="Arial" w:cs="Arial" w:eastAsia="Arial" w:hAnsi="Arial"/>
          <w:sz w:val="18"/>
          <w:szCs w:val="18"/>
          <w:color w:val="auto"/>
        </w:rPr>
      </w:pPr>
    </w:p>
    <w:p>
      <w:pPr>
        <w:ind w:left="1620" w:right="659" w:hanging="352"/>
        <w:spacing w:after="0" w:line="273" w:lineRule="auto"/>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71,877,399 public shares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(initially $10.00 per share). The actual number of public shares that may be redeemed may exceed the aforementioned amount provided that we will not consummate an initial business combination unless we satisfy the $5,000,001 minimum net tangible assets threshold.</w:t>
      </w:r>
    </w:p>
    <w:p>
      <w:pPr>
        <w:spacing w:after="0" w:line="16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“as adjusted” information gives effect to the sale of the units in this offering, the sale of the private placement warrants, and the payment of the estimated expenses of this offering and assumes no exercise of the underwriters’ over-allotment option. The “as adjusted” total assets amount includes the $750,000,000 held in the trust account (which would be $862,500,000 if the underwriters’ over-allotment option is exercised in full) for the benefit of our public stockholders, which amount, less deferred underwriting commissions, will be available to us only upon the completion of our initial business combination within the completion window. The “as adjusted” total assets include $26,250,000 being held in the trust account (which would be $30,187,500 if the underwriters’ over-allotment option is exercised in full) representing deferred underwriting commissions. The underwriters will not be entitled to any interest accrued on the deferred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4"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7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a newly incorporated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Past performance by M. Klein and Company and members of our management team or our Strategic and Operating Partners may not be indicative of future performance of an investment in us.</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Information regarding performance by, or businesses associated with, M. Klein and Company and other members of our management team or our Strategic and Operating Partners is presented for informational purposes only. Any past experience and performance, including related to acquisitions, of M. Klein and Company and members of our management team or our Strategic and Operating Partners is not a guarantee either: (1) that we will be able to successfully identify a suitable candidate for our initial business combination; or (2) of any results with respect to any initial business combination we may consummate. You should not rely on the historical record and performance of M. Klein and Company and members of our management team or our Strategic and Operating Partners as indicative of the future performance of an investment in us or the returns we will, or are likely to, generate going forward. An investment in us is not an investment in M. Klein and Company or our Strategic and Operating Partners.</w:t>
      </w:r>
    </w:p>
    <w:p>
      <w:pPr>
        <w:spacing w:after="0" w:line="172" w:lineRule="exact"/>
        <w:rPr>
          <w:sz w:val="20"/>
          <w:szCs w:val="20"/>
          <w:color w:val="auto"/>
        </w:rPr>
      </w:pPr>
    </w:p>
    <w:p>
      <w:pPr>
        <w:ind w:left="1260" w:right="799"/>
        <w:spacing w:after="0" w:line="231"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8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may not hold a stockholder vote to approve our initial business combination unless the business combination would require stockholder approval under applicable law or stock exchange listing requirements or if we decide to hold a stockholder vote for business or other reasons. For instance, the NYSE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However, except as required by applicable law or stock exchange rules,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consummate our initial business combination even if holders of a majority of our outstanding public shares do not approve of the business combination we consummate. Please see “Proposed Business — Stockholders may not have the ability to approve our initial business combination” for additional information.</w:t>
      </w:r>
    </w:p>
    <w:p>
      <w:pPr>
        <w:spacing w:after="0" w:line="200" w:lineRule="exact"/>
        <w:rPr>
          <w:sz w:val="20"/>
          <w:szCs w:val="20"/>
          <w:color w:val="auto"/>
        </w:r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739"/>
        <w:spacing w:after="0" w:line="343"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initial stockholders, officers and directors have agreed (and their permitted transferees will agree) to vote any founder shares and any public shares held by them in favor of our initial business combination. As a result, in addition to our initial stockholders’ founder shares, we would need 28,125,001, or 37.5%, of the 75,000,000 public shares sold in this offering to be voted in favor of a transaction (assuming all issued and outstanding shares are voted and the option to purchase additional units is not exercised) in order to have such initial business combination approved. We expect that our initial stockholders and their permitted transferees will own at least 20% of our outstanding shares of common stock at the time of any such stockholder vote. Accordingly, if we seek stockholder approval of our initial business combination, it is more likely that the necessary stockholder approval will be received than would be the case if our initial stockholders and their permitted transferees agreed to vote their founder shares in accordance with the majority of the votes cast by our public stockholders.</w:t>
      </w:r>
    </w:p>
    <w:p>
      <w:pPr>
        <w:spacing w:after="0" w:line="168" w:lineRule="exact"/>
        <w:rPr>
          <w:sz w:val="20"/>
          <w:szCs w:val="20"/>
          <w:color w:val="auto"/>
        </w:rPr>
      </w:pPr>
    </w:p>
    <w:p>
      <w:pPr>
        <w:ind w:left="1260" w:right="719"/>
        <w:spacing w:after="0" w:line="235"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such business combination.</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stockholder approval, public stockholders may not have the right or opportunity to vote on the business combination.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78" w:lineRule="exact"/>
        <w:rPr>
          <w:sz w:val="20"/>
          <w:szCs w:val="20"/>
          <w:color w:val="auto"/>
        </w:rPr>
      </w:pPr>
    </w:p>
    <w:p>
      <w:pPr>
        <w:ind w:left="1260" w:right="679"/>
        <w:spacing w:after="0" w:line="235"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80"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76" w:lineRule="exact"/>
        <w:rPr>
          <w:sz w:val="20"/>
          <w:szCs w:val="20"/>
          <w:color w:val="auto"/>
        </w:rPr>
      </w:pPr>
    </w:p>
    <w:p>
      <w:pPr>
        <w:ind w:left="1260" w:right="979"/>
        <w:spacing w:after="0" w:line="400"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results in the issuance of shares of Class A common stock on a greater than one-to-one basis upon conversion of the Class B common stock at the time of our initial business combination. In addition, the amount of deferred underwriting commissions payable to the underwriters is not required to be adjusted for any shares that are redeemed in connection with an initial business combination. The above considerations may limit our ability to complete the most desirable business combination available to us or optimize our capital structure.</w:t>
      </w:r>
    </w:p>
    <w:p>
      <w:pPr>
        <w:spacing w:after="0" w:line="165"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7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83"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the completion window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8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the completion window.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ind w:left="1260" w:right="899"/>
        <w:spacing w:after="0" w:line="266"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completion window,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62"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Our sponsor, officers and directors have agreed that we must complete our initial business combination within the completion window.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80"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If we have not completed our initial business combination within such time period, we will: (1)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receive only $10.00 per share, or less than $10.00 per share, on the redemption of their shares, and our warrants will expire worthless. Please see “— If third parties bring claims against us, the proceeds held in the trust account could be reduced and the per share redemption amount received by stockholders may be less than $10.00 per share” and other risk factors herein.</w:t>
      </w:r>
    </w:p>
    <w:p>
      <w:pPr>
        <w:spacing w:after="0" w:line="7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If permitted withdrawals and other sources of working capital are insufficient, it could limit the amount available to fund our search for a target business or businesses and complete our initial business combination and we will depend on loans from our sponsor or management team to fund our search, to pay our taxes and to complete our initial business combination. If we are unable to obtain such loans, we may be unable to complete our initial business combination.</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None of the net proceeds of this offering and the sale of the private placement warrants will be available to us initially outside the trust account to fund our working capital requirements. In the event that our offering expenses exceed our estimate of $1,000,000, we may fund such excess with loans or additional investments from our sponsor, members of our management team or any of their respective affiliates or other third parties. Conversely, in the event that the offering expenses are less than our estimate of $1,000,000, the excess would be held outside of the trust account.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 $10.00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66" w:lineRule="exact"/>
        <w:rPr>
          <w:sz w:val="20"/>
          <w:szCs w:val="20"/>
          <w:color w:val="auto"/>
        </w:rPr>
      </w:pPr>
    </w:p>
    <w:p>
      <w:pPr>
        <w:jc w:val="both"/>
        <w:ind w:left="1260" w:right="659"/>
        <w:spacing w:after="0" w:line="303"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directors, officers, advisors or any of their respective affiliates may elect to purchase shares or warrants from the public, which may influence a vote on a proposed business combination and reduce the public “float” of our common stock.</w:t>
      </w:r>
    </w:p>
    <w:p>
      <w:pPr>
        <w:spacing w:after="0" w:line="35"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 — Permitted purchases of our securities” for a description of how such persons will determine from which stockholders to seek to acquire shares or warrants. Such a purchase may include a contractual acknowledgement that such public stockholder, although still the record holder of our shares is no longer the beneficial owner thereof and therefore agrees not to exercise its redemption rights. In the event that our sponsor, directors, officers, advisors or any of their respective affiliates purchase public shares in privately negotiated transactions from public stockholders who have already elected to exercise their redemption rights, such selling public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such purchases could be to vote such shares in favor of the business combination and</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92" w:lineRule="exact"/>
        <w:rPr>
          <w:sz w:val="20"/>
          <w:szCs w:val="20"/>
          <w:color w:val="auto"/>
        </w:rPr>
      </w:pPr>
    </w:p>
    <w:p>
      <w:pPr>
        <w:ind w:left="1260" w:right="939" w:firstLine="360"/>
        <w:spacing w:after="0" w:line="286" w:lineRule="auto"/>
        <w:rPr>
          <w:sz w:val="20"/>
          <w:szCs w:val="20"/>
          <w:color w:val="auto"/>
        </w:rPr>
      </w:pPr>
      <w:r>
        <w:rPr>
          <w:rFonts w:ascii="Arial" w:cs="Arial" w:eastAsia="Arial" w:hAnsi="Arial"/>
          <w:sz w:val="17"/>
          <w:szCs w:val="17"/>
          <w:color w:val="auto"/>
        </w:rPr>
        <w:t>In addition, if such purchases are made, the public “float” of our Class A common stock and the number of beneficial holders of our securities may be reduced, possibly making it difficult to maintain or obtain the quotation, listing or trading of our securities on a national securities exchange.</w:t>
      </w:r>
    </w:p>
    <w:p>
      <w:pPr>
        <w:spacing w:after="0" w:line="152" w:lineRule="exact"/>
        <w:rPr>
          <w:sz w:val="20"/>
          <w:szCs w:val="20"/>
          <w:color w:val="auto"/>
        </w:rPr>
      </w:pPr>
    </w:p>
    <w:p>
      <w:pPr>
        <w:jc w:val="both"/>
        <w:ind w:left="1260" w:right="1199"/>
        <w:spacing w:after="0" w:line="235"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80"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procedures, its shares may not be redeemed. Please see “Proposed Business — Tendering stock certificates in connection with a tender offer or redemption rights.”</w:t>
      </w:r>
    </w:p>
    <w:p>
      <w:pPr>
        <w:spacing w:after="0" w:line="171" w:lineRule="exact"/>
        <w:rPr>
          <w:sz w:val="20"/>
          <w:szCs w:val="20"/>
          <w:color w:val="auto"/>
        </w:rPr>
      </w:pPr>
    </w:p>
    <w:p>
      <w:pPr>
        <w:ind w:left="1260" w:right="679"/>
        <w:spacing w:after="0" w:line="235"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(1) the completion of our initial business combination, and then only in connection with those shares of Class A common stock that such stockholder properly elected to redeem, subject to the limitations described herein;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and as further described herein. In addition, if we are unable to complete an initial business combination within the completion window for any reason, compliance with Delaware law may require that we submit a plan of dissolution to our then-existing stockholders for approval prior to the distribution of the proceeds held in our trust account. In that case, public stockholders may be forced to wait beyond the completion window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159"/>
        <w:spacing w:after="0" w:line="274" w:lineRule="auto"/>
        <w:rPr>
          <w:sz w:val="20"/>
          <w:szCs w:val="20"/>
          <w:color w:val="auto"/>
        </w:rPr>
      </w:pPr>
      <w:r>
        <w:rPr>
          <w:rFonts w:ascii="Arial" w:cs="Arial" w:eastAsia="Arial" w:hAnsi="Arial"/>
          <w:sz w:val="17"/>
          <w:szCs w:val="17"/>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5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intend to apply to have our units listed on the NYSE on or promptly after the date of this prospectus and our Class A common stock and warrants listed on or promptly after their date of separation. Although after giving effect to this offering we expect to meet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stock price levels. In general, we must maintain a minimum number of holders of our securities.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our stock price would generally be required to be at least $4 per share. We cannot assure you that we will be able to meet those initial listing requirements at that time.</w:t>
      </w:r>
    </w:p>
    <w:p>
      <w:pPr>
        <w:spacing w:after="0" w:line="71"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If the NYSE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71" w:lineRule="exact"/>
        <w:rPr>
          <w:sz w:val="20"/>
          <w:szCs w:val="20"/>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980" w:right="1059" w:hanging="352"/>
        <w:spacing w:after="0" w:line="286" w:lineRule="auto"/>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57" w:lineRule="exact"/>
        <w:rPr>
          <w:rFonts w:ascii="Arial" w:cs="Arial" w:eastAsia="Arial" w:hAnsi="Arial"/>
          <w:sz w:val="17"/>
          <w:szCs w:val="17"/>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the NYSE, our units, Class A common stock and warrants will qualify as covered securities under such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such statute and we would be subject to regulation in each state in which we offer our securities.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11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our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w:t>
      </w: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86" w:lineRule="auto"/>
        <w:rPr>
          <w:sz w:val="20"/>
          <w:szCs w:val="20"/>
          <w:color w:val="auto"/>
        </w:rPr>
      </w:pPr>
      <w:r>
        <w:rPr>
          <w:rFonts w:ascii="Arial" w:cs="Arial" w:eastAsia="Arial" w:hAnsi="Arial"/>
          <w:sz w:val="17"/>
          <w:szCs w:val="17"/>
          <w:color w:val="auto"/>
        </w:rPr>
        <w:t>trust account were released to us in connection with our completion of our initial business combination. Please see “Proposed Business — Comparison of This Offering to Those of Blank Check Companies Subject to Rule 419” for a more detailed comparison of our offering to offerings that comply with Rule 419.</w:t>
      </w:r>
    </w:p>
    <w:p>
      <w:pPr>
        <w:spacing w:after="0" w:line="152" w:lineRule="exact"/>
        <w:rPr>
          <w:sz w:val="20"/>
          <w:szCs w:val="20"/>
          <w:color w:val="auto"/>
        </w:rPr>
      </w:pPr>
    </w:p>
    <w:p>
      <w:pPr>
        <w:ind w:left="1260" w:right="739"/>
        <w:spacing w:after="0" w:line="368" w:lineRule="auto"/>
        <w:rPr>
          <w:sz w:val="20"/>
          <w:szCs w:val="20"/>
          <w:color w:val="auto"/>
        </w:rPr>
      </w:pPr>
      <w:r>
        <w:rPr>
          <w:rFonts w:ascii="Arial" w:cs="Arial" w:eastAsia="Arial" w:hAnsi="Arial"/>
          <w:sz w:val="13"/>
          <w:szCs w:val="13"/>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our amended and restated certificate of incorporation does not restrict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the Excess Shares and, in order to dispose of such shares, would be required to sell your Excess Shares in open market transactions, potentially at a loss.</w:t>
      </w:r>
    </w:p>
    <w:p>
      <w:pPr>
        <w:spacing w:after="0" w:line="171"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or less in certain circumstances, on our redemption of their stock, and our warrants will expire worthless.</w:t>
      </w:r>
    </w:p>
    <w:p>
      <w:pPr>
        <w:spacing w:after="0" w:line="4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including, without limitation, M. Klein and Company and our Strategic and Operating Partners,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 Please see “Proposed Business — Certain Potential Conflicts of Interest Relating to M. Klein and Company” for a discussion on certain limitations related to other resources M. Klein and Company may, but is under no obligation or other duty to, provide us.</w:t>
      </w:r>
    </w:p>
    <w:p>
      <w:pPr>
        <w:spacing w:after="0" w:line="7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This inherent competitive limitation gives others an advantage in pursuing the acquisition of certain target businesses. Furthermore, in the event we seek stockholder approval of our initial business combination and we are obligated to pay cash for public shares that are redeemed, it will potentially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319"/>
        <w:spacing w:after="0" w:line="307" w:lineRule="auto"/>
        <w:rPr>
          <w:sz w:val="20"/>
          <w:szCs w:val="20"/>
          <w:color w:val="auto"/>
        </w:rPr>
      </w:pPr>
      <w:r>
        <w:rPr>
          <w:rFonts w:ascii="Arial" w:cs="Arial" w:eastAsia="Arial" w:hAnsi="Arial"/>
          <w:sz w:val="16"/>
          <w:szCs w:val="16"/>
          <w:b w:val="1"/>
          <w:bCs w:val="1"/>
          <w:i w:val="1"/>
          <w:iCs w:val="1"/>
          <w:color w:val="auto"/>
        </w:rPr>
        <w:t>If the funds available to us outside of the trust account are insufficient to allow us to operate for at least the completion window, we may be unable to complete our initial business combination.</w:t>
      </w:r>
    </w:p>
    <w:p>
      <w:pPr>
        <w:spacing w:after="0" w:line="2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funds available to us outside of the trust account may not be sufficient to allow us to operate for at least the completion window,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8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believe that the funds available to us outside of the trust account, including permitted withdrawals and loans or additional investments from our sponsor, will be sufficient to allow us to operate for at least the completion window;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8" w:lineRule="exact"/>
        <w:rPr>
          <w:sz w:val="20"/>
          <w:szCs w:val="20"/>
          <w:color w:val="auto"/>
        </w:rPr>
      </w:pPr>
    </w:p>
    <w:p>
      <w:pPr>
        <w:jc w:val="both"/>
        <w:ind w:left="1260" w:right="839"/>
        <w:spacing w:after="0" w:line="253" w:lineRule="auto"/>
        <w:rPr>
          <w:sz w:val="20"/>
          <w:szCs w:val="20"/>
          <w:color w:val="auto"/>
        </w:rPr>
      </w:pPr>
      <w:r>
        <w:rPr>
          <w:rFonts w:ascii="Arial" w:cs="Arial" w:eastAsia="Arial" w:hAnsi="Arial"/>
          <w:sz w:val="17"/>
          <w:szCs w:val="17"/>
          <w:b w:val="1"/>
          <w:bCs w:val="1"/>
          <w:i w:val="1"/>
          <w:iCs w:val="1"/>
          <w:color w:val="auto"/>
        </w:rPr>
        <w:t>We will depend on permitted withdrawals and loans from our sponsor or management team to fund our search, to pay our taxes and to complete our initial business combination. If we are unable to obtain such loans, we may be unable to complete our initial business combination.</w:t>
      </w:r>
    </w:p>
    <w:p>
      <w:pPr>
        <w:spacing w:after="0" w:line="7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None of the net proceeds of this offering and the sale of the private placement warrants will be available to us initially outside the trust account to fund our working capital requirements. In the event that our offering expenses exceed our estimate of $1,000,000, we may fund such excess with loans or additional investments from our sponsor, members of our management team or any of their respective affiliates or other third parties. Conversely, in the event that the offering expenses are less than our estimate of $1,000,000, the excess would be held outside of the trust account. 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Based upon current interest rates, we expect the trust account to generate approximately $3,750,000 of interest annually (assuming an interest rate of 0.50% per year); however, we can provide no assurances regarding this amount.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8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68" w:lineRule="exact"/>
        <w:rPr>
          <w:sz w:val="20"/>
          <w:szCs w:val="20"/>
          <w:color w:val="auto"/>
        </w:rPr>
      </w:pPr>
    </w:p>
    <w:p>
      <w:pPr>
        <w:ind w:left="1260" w:right="919"/>
        <w:spacing w:after="0" w:line="307" w:lineRule="auto"/>
        <w:rPr>
          <w:sz w:val="20"/>
          <w:szCs w:val="20"/>
          <w:color w:val="auto"/>
        </w:rPr>
      </w:pPr>
      <w:r>
        <w:rPr>
          <w:rFonts w:ascii="Arial" w:cs="Arial" w:eastAsia="Arial" w:hAnsi="Arial"/>
          <w:sz w:val="16"/>
          <w:szCs w:val="16"/>
          <w:b w:val="1"/>
          <w:bCs w:val="1"/>
          <w:i w:val="1"/>
          <w:iCs w:val="1"/>
          <w:color w:val="auto"/>
        </w:rPr>
        <w:t>If third parties bring claims against us, the proceeds held in the trust account could be reduced and the per share redemption amount received by stockholders may be less than $10.00 per share.</w:t>
      </w:r>
    </w:p>
    <w:p>
      <w:pPr>
        <w:spacing w:after="0" w:line="29"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completion window, or upon the exercise of a redemption right in connection with our initial business combination, we will be required to provide for payment of claims of creditors that were not waived that may be brought against us within the 10 years following redemption. Accordingly, the per share redemption amount received by public stockholders could be less than the $10.00 per share initially held in the trust account, due to claims of such creditors.</w:t>
      </w: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we have not asked our sponsor to reserve for such indemnification obligations. We have not asked our sponsor to reserve for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78" w:lineRule="exact"/>
        <w:rPr>
          <w:sz w:val="20"/>
          <w:szCs w:val="20"/>
          <w:color w:val="auto"/>
        </w:rPr>
      </w:pPr>
    </w:p>
    <w:p>
      <w:pPr>
        <w:ind w:left="1260" w:right="819"/>
        <w:spacing w:after="0" w:line="343" w:lineRule="auto"/>
        <w:rPr>
          <w:sz w:val="20"/>
          <w:szCs w:val="20"/>
          <w:color w:val="auto"/>
        </w:rPr>
      </w:pPr>
      <w:r>
        <w:rPr>
          <w:rFonts w:ascii="Arial" w:cs="Arial" w:eastAsia="Arial" w:hAnsi="Arial"/>
          <w:sz w:val="15"/>
          <w:szCs w:val="15"/>
          <w:b w:val="1"/>
          <w:bCs w:val="1"/>
          <w:i w:val="1"/>
          <w:iCs w:val="1"/>
          <w:color w:val="auto"/>
        </w:rPr>
        <w:t>Our independent directors may decide not to enforce the indemnification obligations of our sponsor, resulting in a reduction in the amount of funds in the trust account available for distribution to our public stockholders.</w:t>
      </w:r>
    </w:p>
    <w:p>
      <w:pPr>
        <w:spacing w:after="0" w:line="6"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In the event that the proceeds in the trust account are reduced below the lesser of: (1) $10.00 per public share; or (2) the actual amount per share held in the trust account as of the date of the liquidation of the trust account, if less than $10.00 per share due to reductions in the value of the trust assets, in each case net of permitted withdrawals,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73" w:lineRule="exact"/>
        <w:rPr>
          <w:sz w:val="20"/>
          <w:szCs w:val="20"/>
          <w:color w:val="auto"/>
        </w:rPr>
      </w:pPr>
    </w:p>
    <w:p>
      <w:pPr>
        <w:jc w:val="both"/>
        <w:ind w:left="1260" w:right="679"/>
        <w:spacing w:after="0" w:line="346" w:lineRule="auto"/>
        <w:rPr>
          <w:sz w:val="20"/>
          <w:szCs w:val="20"/>
          <w:color w:val="auto"/>
        </w:rPr>
      </w:pPr>
      <w:r>
        <w:rPr>
          <w:rFonts w:ascii="Arial" w:cs="Arial" w:eastAsia="Arial" w:hAnsi="Arial"/>
          <w:sz w:val="13"/>
          <w:szCs w:val="13"/>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78" w:lineRule="exact"/>
        <w:rPr>
          <w:sz w:val="20"/>
          <w:szCs w:val="20"/>
          <w:color w:val="auto"/>
        </w:rPr>
      </w:pPr>
    </w:p>
    <w:p>
      <w:pPr>
        <w:ind w:left="1260" w:right="719"/>
        <w:spacing w:after="0" w:line="289"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 share amount that would otherwise be received by our stockholders in connection with our liquidation may be reduced.</w:t>
      </w:r>
    </w:p>
    <w:p>
      <w:pPr>
        <w:spacing w:after="0" w:line="47"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79"/>
        <w:spacing w:after="0" w:line="286" w:lineRule="auto"/>
        <w:rPr>
          <w:sz w:val="20"/>
          <w:szCs w:val="20"/>
          <w:color w:val="auto"/>
        </w:rPr>
      </w:pPr>
      <w:r>
        <w:rPr>
          <w:rFonts w:ascii="Arial" w:cs="Arial" w:eastAsia="Arial" w:hAnsi="Arial"/>
          <w:sz w:val="17"/>
          <w:szCs w:val="17"/>
          <w:color w:val="auto"/>
        </w:rPr>
        <w:t>estate and subject to the claims of third parties with priority over the claims of our stockholders. To the extent any bankruptcy claims deplete the trust account, the per share amount that would otherwise be received by our public stockholders in connection with our liquidation would be reduced.</w:t>
      </w:r>
    </w:p>
    <w:p>
      <w:pPr>
        <w:spacing w:after="0" w:line="152" w:lineRule="exact"/>
        <w:rPr>
          <w:sz w:val="20"/>
          <w:szCs w:val="20"/>
          <w:color w:val="auto"/>
        </w:rPr>
      </w:pPr>
    </w:p>
    <w:p>
      <w:pPr>
        <w:ind w:left="1260" w:right="759"/>
        <w:spacing w:after="0" w:line="235"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8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43" w:lineRule="exact"/>
        <w:rPr>
          <w:sz w:val="20"/>
          <w:szCs w:val="20"/>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17"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130"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compliance with other rules and regulations that we are currently not subject to.</w:t>
      </w:r>
    </w:p>
    <w:p>
      <w:pPr>
        <w:spacing w:after="0" w:line="6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long-term. We do not plan to buy businesses or assets with a view to resale or profit from their resale.</w:t>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plan to buy unrelated businesses or assets or to be a passive investor.</w:t>
      </w:r>
    </w:p>
    <w:p>
      <w:pPr>
        <w:spacing w:after="0" w:line="117"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w:t>
      </w:r>
    </w:p>
    <w:p>
      <w:pPr>
        <w:ind w:left="1260" w:right="679"/>
        <w:spacing w:after="0" w:line="266" w:lineRule="auto"/>
        <w:rPr>
          <w:sz w:val="20"/>
          <w:szCs w:val="20"/>
          <w:color w:val="auto"/>
        </w:rPr>
      </w:pPr>
      <w:r>
        <w:rPr>
          <w:rFonts w:ascii="Arial" w:cs="Arial" w:eastAsia="Arial" w:hAnsi="Arial"/>
          <w:sz w:val="17"/>
          <w:szCs w:val="17"/>
          <w:color w:val="auto"/>
        </w:rPr>
        <w:t>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primary business objective, which is a business combination; (ii)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(iii)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consummate our initial business combination. If we are unable to complete our initial business combination, our public stockholders may receive only approximately $10.00 per share on the liquidation of our trust account and our warrants will expire</w:t>
      </w:r>
    </w:p>
    <w:p>
      <w:pPr>
        <w:sectPr>
          <w:pgSz w:w="11900" w:h="16838" w:orient="portrait"/>
          <w:cols w:equalWidth="0" w:num="1">
            <w:col w:w="10139"/>
          </w:cols>
          <w:pgMar w:left="320" w:top="132" w:right="1440" w:bottom="1440" w:gutter="0" w:footer="0" w:header="0"/>
        </w:sect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59" w:lineRule="auto"/>
        <w:rPr>
          <w:sz w:val="20"/>
          <w:szCs w:val="20"/>
          <w:color w:val="auto"/>
        </w:rPr>
      </w:pPr>
      <w:r>
        <w:rPr>
          <w:rFonts w:ascii="Arial" w:cs="Arial" w:eastAsia="Arial" w:hAnsi="Arial"/>
          <w:sz w:val="18"/>
          <w:szCs w:val="18"/>
          <w:color w:val="auto"/>
        </w:rPr>
        <w:t>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699"/>
        <w:spacing w:after="0" w:line="400" w:lineRule="auto"/>
        <w:rPr>
          <w:sz w:val="20"/>
          <w:szCs w:val="20"/>
          <w:color w:val="auto"/>
        </w:rPr>
      </w:pPr>
      <w:r>
        <w:rPr>
          <w:rFonts w:ascii="Arial" w:cs="Arial" w:eastAsia="Arial" w:hAnsi="Arial"/>
          <w:sz w:val="13"/>
          <w:szCs w:val="13"/>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78"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75" w:lineRule="exact"/>
        <w:rPr>
          <w:sz w:val="20"/>
          <w:szCs w:val="20"/>
          <w:color w:val="auto"/>
        </w:rPr>
      </w:pPr>
    </w:p>
    <w:p>
      <w:pPr>
        <w:ind w:left="1260" w:right="799" w:firstLine="360"/>
        <w:spacing w:after="0" w:line="245"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98"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8"/>
          <w:szCs w:val="18"/>
          <w:color w:val="auto"/>
        </w:rPr>
        <w:t>Because we do not intend to comply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consultants,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39"/>
        <w:spacing w:after="0" w:line="343" w:lineRule="auto"/>
        <w:rPr>
          <w:sz w:val="20"/>
          <w:szCs w:val="20"/>
          <w:color w:val="auto"/>
        </w:rPr>
      </w:pPr>
      <w:r>
        <w:rPr>
          <w:rFonts w:ascii="Arial" w:cs="Arial" w:eastAsia="Arial" w:hAnsi="Arial"/>
          <w:sz w:val="15"/>
          <w:szCs w:val="15"/>
          <w:b w:val="1"/>
          <w:bCs w:val="1"/>
          <w:i w:val="1"/>
          <w:iCs w:val="1"/>
          <w:color w:val="auto"/>
        </w:rPr>
        <w:t>We may not hold an annual meeting of stockholders until after we consummate our initial business combination and you will not be entitled to any of the corporate protections provided by such a meeting.</w:t>
      </w:r>
    </w:p>
    <w:p>
      <w:pPr>
        <w:spacing w:after="0" w:line="6"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may not hold an annual meeting of stockholders until after we consummate our initial business combination (unless required by the NYSE) and thus may not be in compliance with Section 211(b) of the DGCL, which requires an annual meeting of stockholders be held for the purposes of electing directors in accordance with a company’s bylaws unless such election is made by written consent in lieu of such a meeting. Therefore, if our stockholders want us to hold an annual meeting prior to our consummation of our initial business combination, they may attempt to force us to hold one by submitting an application to the Delaware Court of Chancery in accordance with Section 211(c) of the DGCL.</w:t>
      </w:r>
    </w:p>
    <w:p>
      <w:pPr>
        <w:spacing w:after="0" w:line="164" w:lineRule="exact"/>
        <w:rPr>
          <w:sz w:val="20"/>
          <w:szCs w:val="20"/>
          <w:color w:val="auto"/>
        </w:rPr>
      </w:pPr>
    </w:p>
    <w:p>
      <w:pPr>
        <w:ind w:left="1260" w:right="899"/>
        <w:spacing w:after="0" w:line="289" w:lineRule="auto"/>
        <w:rPr>
          <w:sz w:val="20"/>
          <w:szCs w:val="20"/>
          <w:color w:val="auto"/>
        </w:rPr>
      </w:pPr>
      <w:r>
        <w:rPr>
          <w:rFonts w:ascii="Arial" w:cs="Arial" w:eastAsia="Arial" w:hAnsi="Arial"/>
          <w:sz w:val="15"/>
          <w:szCs w:val="15"/>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7"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182" w:lineRule="exact"/>
        <w:rPr>
          <w:sz w:val="20"/>
          <w:szCs w:val="20"/>
          <w:color w:val="auto"/>
        </w:rPr>
      </w:pPr>
    </w:p>
    <w:p>
      <w:pPr>
        <w:jc w:val="both"/>
        <w:ind w:left="1260" w:right="699"/>
        <w:spacing w:after="0" w:line="235"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Class A common stock.</w:t>
      </w:r>
    </w:p>
    <w:p>
      <w:pPr>
        <w:spacing w:after="0" w:line="80" w:lineRule="exact"/>
        <w:rPr>
          <w:sz w:val="20"/>
          <w:szCs w:val="20"/>
          <w:color w:val="auto"/>
        </w:rPr>
      </w:pPr>
    </w:p>
    <w:p>
      <w:pPr>
        <w:jc w:val="both"/>
        <w:ind w:left="1260" w:right="779" w:firstLine="360"/>
        <w:spacing w:after="0" w:line="301"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initial stockholders and their permitted transferees can demand that we register the resale of their founder shares after those shares convert to shares of our Class A common stock at the time of our initial business combination. In addition, our sponsor and its permitted transferees can demand that we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register the resale of the private placement warrants and the shares of Class A common stock issuable upon exercise of the private placement warrants, and holders of warrants that may be issued upon conversion of working capital loans may demand that we register the resale of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or their permitted transferees, the private placement warrants owned by our sponsor or warrants issued in connection with working capital loans are registered for resale.</w:t>
      </w:r>
    </w:p>
    <w:p>
      <w:pPr>
        <w:spacing w:after="0" w:line="165" w:lineRule="exact"/>
        <w:rPr>
          <w:sz w:val="20"/>
          <w:szCs w:val="20"/>
          <w:color w:val="auto"/>
        </w:rPr>
      </w:pPr>
    </w:p>
    <w:p>
      <w:pPr>
        <w:ind w:left="1260" w:right="859"/>
        <w:spacing w:after="0" w:line="400" w:lineRule="auto"/>
        <w:rPr>
          <w:sz w:val="20"/>
          <w:szCs w:val="20"/>
          <w:color w:val="auto"/>
        </w:rPr>
      </w:pPr>
      <w:r>
        <w:rPr>
          <w:rFonts w:ascii="Arial" w:cs="Arial" w:eastAsia="Arial" w:hAnsi="Arial"/>
          <w:sz w:val="13"/>
          <w:szCs w:val="13"/>
          <w:b w:val="1"/>
          <w:bCs w:val="1"/>
          <w:i w:val="1"/>
          <w:iCs w:val="1"/>
          <w:color w:val="auto"/>
        </w:rPr>
        <w:t>Our search for a business combination, and any target business with which we ultimately consummate a business combination, may be materially adversely affected by the recent novel coronavirus (“COVID-19”) outbreak.</w:t>
      </w:r>
    </w:p>
    <w:p>
      <w:pPr>
        <w:spacing w:after="0" w:line="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On March 11, 2020, the World Health Organization officially declared the outbreak of the COVID-19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1" w:lineRule="exact"/>
        <w:rPr>
          <w:sz w:val="20"/>
          <w:szCs w:val="20"/>
          <w:color w:val="auto"/>
        </w:rPr>
      </w:pPr>
    </w:p>
    <w:p>
      <w:pPr>
        <w:ind w:left="1260" w:right="759"/>
        <w:spacing w:after="0" w:line="253" w:lineRule="auto"/>
        <w:rPr>
          <w:sz w:val="20"/>
          <w:szCs w:val="20"/>
          <w:color w:val="auto"/>
        </w:rPr>
      </w:pPr>
      <w:r>
        <w:rPr>
          <w:rFonts w:ascii="Arial" w:cs="Arial" w:eastAsia="Arial" w:hAnsi="Arial"/>
          <w:sz w:val="17"/>
          <w:szCs w:val="17"/>
          <w:b w:val="1"/>
          <w:bCs w:val="1"/>
          <w:i w:val="1"/>
          <w:iCs w:val="1"/>
          <w:color w:val="auto"/>
        </w:rPr>
        <w:t>Because we are neither limited to evaluating target businesses in a particular industry nor have we identified any specific target businesses with which to pursue our initial business combination, you will be unable to ascertain the merits or risks of any particular target business’s operations.</w:t>
      </w:r>
    </w:p>
    <w:p>
      <w:pPr>
        <w:spacing w:after="0" w:line="7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may seek to complete a business combination with an operating company in any industry or sector. However, we will not, under our amended and restated certificate of incorporation, be permitted to effectuate our initial business combination with another blank check company or similar company with nominal operations. Because we have not yet identified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246" w:lineRule="auto"/>
        <w:rPr>
          <w:sz w:val="20"/>
          <w:szCs w:val="20"/>
          <w:color w:val="auto"/>
        </w:rPr>
      </w:pPr>
      <w:r>
        <w:rPr>
          <w:rFonts w:ascii="Arial" w:cs="Arial" w:eastAsia="Arial" w:hAnsi="Arial"/>
          <w:sz w:val="18"/>
          <w:szCs w:val="18"/>
          <w:b w:val="1"/>
          <w:bCs w:val="1"/>
          <w:i w:val="1"/>
          <w:iCs w:val="1"/>
          <w:color w:val="auto"/>
        </w:rPr>
        <w:t>We may seek acquisition opportunities in acquisition targets that may be outside of our management’s areas of expertise.</w:t>
      </w:r>
    </w:p>
    <w:p>
      <w:pPr>
        <w:spacing w:after="0" w:line="75"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78"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71" w:lineRule="exact"/>
        <w:rPr>
          <w:sz w:val="20"/>
          <w:szCs w:val="20"/>
          <w:color w:val="auto"/>
        </w:rPr>
      </w:pPr>
    </w:p>
    <w:p>
      <w:pPr>
        <w:ind w:left="1260" w:right="1019"/>
        <w:spacing w:after="0" w:line="276" w:lineRule="auto"/>
        <w:rPr>
          <w:sz w:val="20"/>
          <w:szCs w:val="20"/>
          <w:color w:val="auto"/>
        </w:rPr>
      </w:pPr>
      <w:r>
        <w:rPr>
          <w:rFonts w:ascii="Arial" w:cs="Arial" w:eastAsia="Arial" w:hAnsi="Arial"/>
          <w:sz w:val="16"/>
          <w:szCs w:val="16"/>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intense competition and difficulties in obtaining and retaining key personnel.</w:t>
      </w:r>
    </w:p>
    <w:p>
      <w:pPr>
        <w:spacing w:after="0" w:line="5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1" w:lineRule="exact"/>
        <w:rPr>
          <w:sz w:val="20"/>
          <w:szCs w:val="20"/>
          <w:color w:val="auto"/>
        </w:rPr>
      </w:pPr>
    </w:p>
    <w:p>
      <w:pPr>
        <w:ind w:left="1260" w:right="859"/>
        <w:spacing w:after="0" w:line="303"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3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that is a member of FINRA or from an independent accounting firm that the price we are paying is fair to our stockholders from a financial point of view.</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addition, if our board of directors is not able to determine the fair market value of the target business or businesses, in connection with the NYSE rules that require that an initial business combination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will obtain an opinion from an independent investment banking firm that is a member of FINRA or from an independent accounting firm with respect to the satisfaction of such criteria.</w:t>
      </w:r>
    </w:p>
    <w:p>
      <w:pPr>
        <w:spacing w:after="0" w:line="87"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Other than the two circumstances described above, we are not required to obtain an opinion from an independent investment banking firm that is a member of FINRA or from an independent accounting firm.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79" w:lineRule="exact"/>
        <w:rPr>
          <w:sz w:val="20"/>
          <w:szCs w:val="20"/>
          <w:color w:val="auto"/>
        </w:rPr>
      </w:pPr>
    </w:p>
    <w:p>
      <w:pPr>
        <w:ind w:left="1260" w:right="679"/>
        <w:spacing w:after="0" w:line="283"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described herein. Any such issuances would dilute the interest of our stockholders and likely present other risks.</w:t>
      </w:r>
    </w:p>
    <w:p>
      <w:pPr>
        <w:spacing w:after="0" w:line="5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authorize the issuance of up to 240,000,000 shares of Class A common stock, par value $0.0001 per share, and 60,000,000 shares of Class B common stock, par value $0.0001 per share and 1,000,000 shares of undesignated preferred stock, par value $0.0001 per share. Immediately after this offering, there will be 130,250,000 and 41,250,000 (assuming in each case, that the underwriters have not exercised their option to purchase additional units) authorized but unissued shares of Class A and Class B common stock, respectively, available for issuance, which amount takes into account shares reserved for issuance upon exercise of outstanding warrants but not upon the conversion of the Class B common stock. Shares of Class B common stock are automatically convertible into shares of our Class A common stock at the time of our initial business combination, initially at a one-for-one ratio but subject to adjustment as set forth herein. Immediately after this offering, there will be no shares of preferred stock issued and outstanding.</w:t>
      </w:r>
    </w:p>
    <w:p>
      <w:pPr>
        <w:spacing w:after="0" w:line="7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We may issue a substantial number of additional shares of Class A common stock, and may issue shares of preferred stock, in order to complete our initial business combination or under an employee incentive plan after completion of our initial business combination (although our amended and restated certificate of incorporation will provide that we may not issue additional securities that can vote on amendments to our amended and restated certificate of incorporation or on our initial business combination or that would entitle holders thereof to receive funds from the trust account). We may also issue shares upon conversion of the Class B common stock at a ratio greater than one-to-one at the time of our initial business combination as a result of the anti-dilution provisions described herein. However, our amended and restated certificate of incorporation will provide, among other things, that prior to our initial business combination, we may not issue additional shares of capital stock that would entitle the holders thereof to (1) receive funds from the trust account or (2) vote on any initial business combination. The issuance of additional shares of common or preferred stock:</w:t>
      </w:r>
    </w:p>
    <w:p>
      <w:pPr>
        <w:spacing w:after="0" w:line="173" w:lineRule="exact"/>
        <w:rPr>
          <w:sz w:val="20"/>
          <w:szCs w:val="20"/>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84"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129"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38" w:lineRule="exact"/>
        <w:rPr>
          <w:rFonts w:ascii="Arial" w:cs="Arial" w:eastAsia="Arial" w:hAnsi="Arial"/>
          <w:sz w:val="17"/>
          <w:szCs w:val="17"/>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Resources could be wasted in researching initial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8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70"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responsibilities. We do not intend to have any full-time employees prior to the completion of our business combination. Each of our officers and directors is engaged in several other business endeavors for which he or she may be entitled to substantial compensation and our officers and directors are not obligated to contribute any specific number of hours per week to our affairs.</w:t>
      </w:r>
    </w:p>
    <w:p>
      <w:pPr>
        <w:spacing w:after="0" w:line="7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w:t>
      </w:r>
    </w:p>
    <w:p>
      <w:pPr>
        <w:spacing w:after="0" w:line="80"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Mr. August is the Founder and CEO of OHA and acts as a strategic advisor to its clients. Mr. August has a fiduciary duty to OHA. As a result, Mr. August may have a duty to offer acquisition opportunities to clients of OHA. Mr. August will have no duty to offer acquisition opportunities to the Company unless presented to him solely in his capacity as a director of the Company.</w:t>
      </w:r>
    </w:p>
    <w:p>
      <w:pPr>
        <w:spacing w:after="0" w:line="79" w:lineRule="exact"/>
        <w:rPr>
          <w:sz w:val="20"/>
          <w:szCs w:val="20"/>
          <w:color w:val="auto"/>
        </w:rPr>
      </w:pPr>
    </w:p>
    <w:p>
      <w:pPr>
        <w:jc w:val="both"/>
        <w:ind w:left="1260" w:right="699" w:firstLine="360"/>
        <w:spacing w:after="0" w:line="257" w:lineRule="auto"/>
        <w:rPr>
          <w:sz w:val="20"/>
          <w:szCs w:val="20"/>
          <w:color w:val="auto"/>
        </w:rPr>
      </w:pPr>
      <w:r>
        <w:rPr>
          <w:rFonts w:ascii="Arial" w:cs="Arial" w:eastAsia="Arial" w:hAnsi="Arial"/>
          <w:sz w:val="18"/>
          <w:szCs w:val="18"/>
          <w:color w:val="auto"/>
        </w:rPr>
        <w:t>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Please see “Management — Directors, Director Nominees and Executive Officers” for a discussion of our officers’ and directors’ other business affairs.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dependent upon our officers and directors and their departure could adversely affect our ability to operate.</w:t>
      </w:r>
    </w:p>
    <w:p>
      <w:pPr>
        <w:spacing w:after="0" w:line="13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operations are dependent upon a relatively small group of individuals. We believe that our success depends on the continued service of our officers and directors, at least until we have completed our initial business combination. We do not have an employment agreement with, or key-man insurance on the life of any of our other directors or officers. The unexpected loss of the services of one or more of our directors or officers could have a detrimental effect on us.</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839"/>
        <w:spacing w:after="0" w:line="368" w:lineRule="auto"/>
        <w:rPr>
          <w:sz w:val="20"/>
          <w:szCs w:val="20"/>
          <w:color w:val="auto"/>
        </w:rPr>
      </w:pPr>
      <w:r>
        <w:rPr>
          <w:rFonts w:ascii="Arial" w:cs="Arial" w:eastAsia="Arial" w:hAnsi="Arial"/>
          <w:sz w:val="13"/>
          <w:szCs w:val="13"/>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we do not currently expect that any of them will do so.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57" w:lineRule="exact"/>
        <w:rPr>
          <w:sz w:val="20"/>
          <w:szCs w:val="20"/>
          <w:color w:val="auto"/>
        </w:rPr>
      </w:pPr>
    </w:p>
    <w:p>
      <w:pPr>
        <w:ind w:left="1260" w:right="919" w:firstLine="360"/>
        <w:spacing w:after="0" w:line="253" w:lineRule="auto"/>
        <w:rPr>
          <w:sz w:val="20"/>
          <w:szCs w:val="20"/>
          <w:color w:val="auto"/>
        </w:rPr>
      </w:pPr>
      <w:r>
        <w:rPr>
          <w:rFonts w:ascii="Arial" w:cs="Arial" w:eastAsia="Arial" w:hAnsi="Arial"/>
          <w:sz w:val="18"/>
          <w:szCs w:val="18"/>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83" w:lineRule="exact"/>
        <w:rPr>
          <w:sz w:val="20"/>
          <w:szCs w:val="20"/>
          <w:color w:val="auto"/>
        </w:rPr>
      </w:pPr>
    </w:p>
    <w:p>
      <w:pPr>
        <w:ind w:left="1260" w:right="739"/>
        <w:spacing w:after="0" w:line="283" w:lineRule="auto"/>
        <w:rPr>
          <w:sz w:val="20"/>
          <w:szCs w:val="20"/>
          <w:color w:val="auto"/>
        </w:rPr>
      </w:pPr>
      <w:r>
        <w:rPr>
          <w:rFonts w:ascii="Arial" w:cs="Arial" w:eastAsia="Arial" w:hAnsi="Arial"/>
          <w:sz w:val="15"/>
          <w:szCs w:val="15"/>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cause our key personnel to have conflicts of interest in determining whether to proceed with a particular business combination. However, we do not expect that any of our key personnel will remain with us after the completion of our initial business combination.</w:t>
      </w:r>
    </w:p>
    <w:p>
      <w:pPr>
        <w:spacing w:after="0" w:line="50"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as we do not expect that any of our key personnel will remain with us after the completion of our initial business combination. The determination as to whether any of our key personnel will remain with us will be made at the time of our initial business combination.</w:t>
      </w:r>
    </w:p>
    <w:p>
      <w:pPr>
        <w:spacing w:after="0" w:line="173" w:lineRule="exact"/>
        <w:rPr>
          <w:sz w:val="20"/>
          <w:szCs w:val="20"/>
          <w:color w:val="auto"/>
        </w:rPr>
      </w:pPr>
    </w:p>
    <w:p>
      <w:pPr>
        <w:jc w:val="both"/>
        <w:ind w:left="1260" w:right="679"/>
        <w:spacing w:after="0" w:line="235"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80"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officers and directors of an initial business combination candidate may resign upon completion of our initial business combination. The departure of a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acquisition candidate’s management team will remain associated with the initial business combination candidate following our initial business combination, it is possible that members of the management of an acquisition candidate will not wish to remain in place. As a result, we may need to reconstitute the management team of the post-transaction company in connection with our initial business combination, which may adversely impact our ability to complete an initial business combination in a timely manner or at all.</w:t>
      </w:r>
    </w:p>
    <w:p>
      <w:pPr>
        <w:spacing w:after="0" w:line="172" w:lineRule="exact"/>
        <w:rPr>
          <w:sz w:val="20"/>
          <w:szCs w:val="20"/>
          <w:color w:val="auto"/>
        </w:rPr>
      </w:pPr>
    </w:p>
    <w:p>
      <w:pPr>
        <w:ind w:left="1260" w:right="659"/>
        <w:spacing w:after="0" w:line="368" w:lineRule="auto"/>
        <w:rPr>
          <w:sz w:val="20"/>
          <w:szCs w:val="20"/>
          <w:color w:val="auto"/>
        </w:rPr>
      </w:pPr>
      <w:r>
        <w:rPr>
          <w:rFonts w:ascii="Arial" w:cs="Arial" w:eastAsia="Arial" w:hAnsi="Arial"/>
          <w:sz w:val="13"/>
          <w:szCs w:val="13"/>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(such as operating companies or investment vehicles) that are engaged in a similar business. We do not have employment contracts with our officers and directors that will limit their ability to work at other businesses.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3"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83"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In addition, none of the Operating Partners are officers or directors of our company and therefore owe us no fiduciary duties as such. While we expect that they will assist us in identifying business combination targets, they have no obligation to do so and may devote a substantial portion of their business time to activities unrelated to us. Each Operating Partner may have fiduciary, contractual or other obligations or duties to other organizations to present business combination opportunities to such other organizations</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rather than to us. Accordingly, if any Operating Partner becomes aware of a business combination opportunity which is suitable for one or more entities to which he or she has fiduciary, contractual or other obligations or duties, he or she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70"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Please see “Management — Directors, Director Nominees and Executive Officers,” “Management — Conflicts of Interest” and “Certain Relationships and Related Party Transactions” for a discussion of our officers’ and directors’ business affiliations and potential conflicts of interest.</w:t>
      </w:r>
    </w:p>
    <w:p>
      <w:pPr>
        <w:spacing w:after="0" w:line="170"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M. Klein and Company, our sponsor or our directors or officers.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87" w:lineRule="exact"/>
        <w:rPr>
          <w:sz w:val="20"/>
          <w:szCs w:val="20"/>
          <w:color w:val="auto"/>
        </w:rPr>
      </w:pPr>
    </w:p>
    <w:p>
      <w:pPr>
        <w:ind w:left="1260" w:right="779" w:firstLine="360"/>
        <w:spacing w:after="0" w:line="296" w:lineRule="auto"/>
        <w:rPr>
          <w:sz w:val="20"/>
          <w:szCs w:val="20"/>
          <w:color w:val="auto"/>
        </w:rPr>
      </w:pPr>
      <w:r>
        <w:rPr>
          <w:rFonts w:ascii="Arial" w:cs="Arial" w:eastAsia="Arial" w:hAnsi="Arial"/>
          <w:sz w:val="16"/>
          <w:szCs w:val="16"/>
          <w:color w:val="auto"/>
        </w:rPr>
        <w:t>In particular, affiliates of our sponsor, our directors and our officers have invested, and may in the future invest, in a broad array of sectors, including those in which our company may invest. As a result, there may be substantial overlap between companies that would be a suitable business combination for us and companies that would make an attractive target for such other affiliates. Please see “Proposed Business — Certain Potential Conflicts of Interest Relating to M. Klein and Company” for additional information.</w:t>
      </w:r>
    </w:p>
    <w:p>
      <w:pPr>
        <w:spacing w:after="0" w:line="148"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M. Klein and Company, our sponsor, officers or directors which may raise potential conflicts of interest.</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In light of the involvement of our sponsor, officers and directors with other businesses, we may decide to acquire one or more businesses affiliated with or competitive with M. Klein and Company, our sponsor, officers and directors, and their respective affiliates. Our directors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and “— Selection of a target business and structuring of our initial business combination” and such transaction was approved by a majority of our independent and disinterested directors. Despite our agreement to obtain an opinion from an independent investment banking firm that is a member of FINRA or from an independent accounting firm, regarding the fairness to our stockholders from a financial point of view of a business combination with one or more domestic or international businesses affiliated with M. Klein and Company, our sponsor, officers or directors, potential conflicts of interest still may exist and, as a result, the terms of the business combination may not be as advantageous to our public stockholders as they would be absent any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59"/>
        <w:spacing w:after="0" w:line="246" w:lineRule="auto"/>
        <w:rPr>
          <w:sz w:val="20"/>
          <w:szCs w:val="20"/>
          <w:color w:val="auto"/>
        </w:rPr>
      </w:pPr>
      <w:r>
        <w:rPr>
          <w:rFonts w:ascii="Arial" w:cs="Arial" w:eastAsia="Arial" w:hAnsi="Arial"/>
          <w:sz w:val="17"/>
          <w:szCs w:val="17"/>
          <w:b w:val="1"/>
          <w:bCs w:val="1"/>
          <w:i w:val="1"/>
          <w:iCs w:val="1"/>
          <w:color w:val="auto"/>
        </w:rPr>
        <w:t>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may engage M. Klein and Company, or another affiliate of our sponsor, as a financial advisor in connection with our initial business combination and pay such affiliate a customary financial advisory fee in an amount that constitutes a market standard financial advisory fee for comparable transactions. Pursuant to any such engagement, the affiliate may earn its fee upon closing of the initial business combination. The payment of such fee would likely be conditioned upon the completion of the initial business combination. Therefore, our sponsor may have additional financial interests in the completion of the initial business combination. These financial interests may influence the advice any such affiliate provides us as our financial advisor, which advice would contribute to our decision on whether to pursue a business combination with any particular target.</w:t>
      </w:r>
    </w:p>
    <w:p>
      <w:pPr>
        <w:spacing w:after="0" w:line="183" w:lineRule="exact"/>
        <w:rPr>
          <w:sz w:val="20"/>
          <w:szCs w:val="20"/>
          <w:color w:val="auto"/>
        </w:rPr>
      </w:pPr>
    </w:p>
    <w:p>
      <w:pPr>
        <w:ind w:left="1260" w:right="859"/>
        <w:spacing w:after="0" w:line="368" w:lineRule="auto"/>
        <w:rPr>
          <w:sz w:val="20"/>
          <w:szCs w:val="20"/>
          <w:color w:val="auto"/>
        </w:rPr>
      </w:pPr>
      <w:r>
        <w:rPr>
          <w:rFonts w:ascii="Arial" w:cs="Arial" w:eastAsia="Arial" w:hAnsi="Arial"/>
          <w:sz w:val="13"/>
          <w:szCs w:val="13"/>
          <w:b w:val="1"/>
          <w:bCs w:val="1"/>
          <w:i w:val="1"/>
          <w:iCs w:val="1"/>
          <w:color w:val="auto"/>
        </w:rPr>
        <w:t>Since our initial stockholders will lose their entire investment in us if our initial business combination is not completed (other than with respect to any public shares they may hold), a conflict of interest may arise in determining whether a particular business combination target is appropriate for our initial business combination.</w:t>
      </w:r>
    </w:p>
    <w:p>
      <w:pPr>
        <w:spacing w:after="0" w:line="1"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May 2020, our sponsor purchased an aggregate of 21,562,500 founder shares for an aggregate purchase price of $25,000, or approximately $0.001 per share. The number of founder shares issued was determined based on the expectation that the founder shares would represent 20% of the outstanding shares of common stock upon the completion of this offering. The founder shares will be worthless if we do not complete an initial business combination.</w:t>
      </w:r>
    </w:p>
    <w:p>
      <w:pPr>
        <w:spacing w:after="0" w:line="80"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In addition, our sponsor has subscribed to purchase an aggregate of 16,000,000 (or 18,250,000 if the underwriters’ option to purchase additional units is exercised in full) private placement warrants for a purchase price of $16,000,000 (or $18,250,000) if the underwriters’ option to purchase additional units is exercised in full), or $1.00 per warrant, that will also be worthless if we do not complete our initial business combination. Each private placement warrant entitles the holder thereof to purchase one share of our Class A common stock at a price of $11.50 per share, subject to adjustment as provided herein.</w:t>
      </w:r>
    </w:p>
    <w:p>
      <w:pPr>
        <w:spacing w:after="0" w:line="7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8"/>
          <w:szCs w:val="18"/>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w:t>
      </w:r>
    </w:p>
    <w:p>
      <w:pPr>
        <w:spacing w:after="0" w:line="99"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for completing our initial business combination nears.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99"/>
        <w:spacing w:after="0" w:line="235"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68" w:lineRule="exact"/>
        <w:rPr>
          <w:sz w:val="20"/>
          <w:szCs w:val="20"/>
          <w:color w:val="auto"/>
        </w:rPr>
      </w:pPr>
    </w:p>
    <w:p>
      <w:pPr>
        <w:ind w:left="1980" w:right="163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29"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3"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4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84"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143"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43"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29" w:lineRule="exact"/>
        <w:rPr>
          <w:rFonts w:ascii="Arial" w:cs="Arial" w:eastAsia="Arial" w:hAnsi="Arial"/>
          <w:sz w:val="18"/>
          <w:szCs w:val="18"/>
          <w:color w:val="auto"/>
        </w:rPr>
      </w:pPr>
    </w:p>
    <w:p>
      <w:pPr>
        <w:ind w:left="1980" w:right="999" w:hanging="352"/>
        <w:spacing w:after="0" w:line="263"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materially negatively impact our operations and profitability.</w:t>
      </w:r>
    </w:p>
    <w:p>
      <w:pPr>
        <w:spacing w:after="0" w:line="8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net proceeds from this offering and the sale of the private placement warrants will provide us with $750,000,000 (or $862,500,000 if the underwriters’ option to purchase additional units is exercised in full) that we may use to complete our initial business combination (which includes $26,250,000, or up to $30,187,500 if the underwriters’ option to purchase additional units is exercised in full, of deferred underwriting commissions being held in the trust account).</w:t>
      </w:r>
    </w:p>
    <w:p>
      <w:pPr>
        <w:spacing w:after="0" w:line="80"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w:t>
      </w:r>
    </w:p>
    <w:p>
      <w:pPr>
        <w:spacing w:after="0" w:line="2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06" w:lineRule="exact"/>
        <w:rPr>
          <w:sz w:val="20"/>
          <w:szCs w:val="20"/>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62" w:lineRule="exact"/>
        <w:rPr>
          <w:sz w:val="20"/>
          <w:szCs w:val="20"/>
          <w:color w:val="auto"/>
        </w:rPr>
      </w:pPr>
    </w:p>
    <w:p>
      <w:pPr>
        <w:jc w:val="both"/>
        <w:ind w:left="1260" w:right="959" w:firstLine="360"/>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left="1260" w:right="819"/>
        <w:spacing w:after="0" w:line="253"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7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3"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8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74" w:lineRule="exact"/>
        <w:rPr>
          <w:sz w:val="20"/>
          <w:szCs w:val="20"/>
          <w:color w:val="auto"/>
        </w:rPr>
      </w:pPr>
    </w:p>
    <w:p>
      <w:pPr>
        <w:ind w:left="1260" w:right="699"/>
        <w:spacing w:after="0" w:line="303"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35"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our initial business combination may collectively own a minority interest in the post business combination company, depending on valuations ascribed to the target and us in our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699"/>
        <w:spacing w:after="0" w:line="235"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80"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not provide a specified maximum redemption threshold, except that in no event will we redeem our public shares in an amount that would cause our net tangible assets, after payment of the deferred underwriting commissions, to be less than $5,000,001 (such that we do not then become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common stock submitted for redemption will be returned to the holders thereof, and we instead may search for an alternate business combination.</w:t>
      </w:r>
    </w:p>
    <w:p>
      <w:pPr>
        <w:spacing w:after="0" w:line="166" w:lineRule="exact"/>
        <w:rPr>
          <w:sz w:val="20"/>
          <w:szCs w:val="20"/>
          <w:color w:val="auto"/>
        </w:rPr>
      </w:pPr>
    </w:p>
    <w:p>
      <w:pPr>
        <w:ind w:left="1260" w:right="879"/>
        <w:spacing w:after="0" w:line="283" w:lineRule="auto"/>
        <w:rPr>
          <w:sz w:val="20"/>
          <w:szCs w:val="20"/>
          <w:color w:val="auto"/>
        </w:rPr>
      </w:pPr>
      <w:r>
        <w:rPr>
          <w:rFonts w:ascii="Arial" w:cs="Arial" w:eastAsia="Arial" w:hAnsi="Arial"/>
          <w:sz w:val="15"/>
          <w:szCs w:val="15"/>
          <w:b w:val="1"/>
          <w:bCs w:val="1"/>
          <w:i w:val="1"/>
          <w:iCs w:val="1"/>
          <w:color w:val="auto"/>
        </w:rPr>
        <w:t>In order to effectuate an initial business combination, blank check companies have, in the recent past, amended various provisions of their charters and modified governing instruments, including their warrant agreements. We cannot assure you that we will not seek to amend our amended and restated certificate of incorporation or governing instruments, including our warrant agreement, in a manner that will make it easier for us to complete our initial business combination that some of our stockholders or warrant holders may not support.</w:t>
      </w:r>
    </w:p>
    <w:p>
      <w:pPr>
        <w:spacing w:after="0" w:line="5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We cannot assure you that we will not seek to amend our charter or governing instruments or extend the time to consummate an initial business combination in order to effectuate our initial business combination.</w:t>
      </w:r>
    </w:p>
    <w:p>
      <w:pPr>
        <w:spacing w:after="0" w:line="178" w:lineRule="exact"/>
        <w:rPr>
          <w:sz w:val="20"/>
          <w:szCs w:val="20"/>
          <w:color w:val="auto"/>
        </w:rPr>
      </w:pPr>
    </w:p>
    <w:p>
      <w:pPr>
        <w:ind w:left="1260" w:right="759"/>
        <w:spacing w:after="0" w:line="279" w:lineRule="auto"/>
        <w:rPr>
          <w:sz w:val="20"/>
          <w:szCs w:val="20"/>
          <w:color w:val="auto"/>
        </w:rPr>
      </w:pPr>
      <w:r>
        <w:rPr>
          <w:rFonts w:ascii="Arial" w:cs="Arial" w:eastAsia="Arial" w:hAnsi="Arial"/>
          <w:sz w:val="15"/>
          <w:szCs w:val="15"/>
          <w:b w:val="1"/>
          <w:bCs w:val="1"/>
          <w:i w:val="1"/>
          <w:iCs w:val="1"/>
          <w:color w:val="auto"/>
        </w:rPr>
        <w:t>Certain provisions of our amended and restated certificate of incorporation that relate to our pre-business combination activity (and corresponding provisions of the agreement governing the release of funds from our trust account) may be amended with the approval of holders of not less than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5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provide that any of its provisions (other than amendments relating to the appointment of directors, which require the approval by a majority of at least 90% of our common stock voting at a stockholder meeting)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our amended and restated certificate of incorporation will provide that it may be amended by holders of a majority of our common stock, subject to applicable provisions of the DGCL, or applicable stock exchange rules. We may not issue additional securities that can vote on amendments to our amended and restated certificate of incorporation or on our initial business combination.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of our amended and restated certificate of incorporation which will govern our pre-business combination behavior more easily than some other blank check companies, and this may increase our ability to complete our initial business combination with which you do not agree. Our stockholders may pursue remedies against us for any breach of our amended and restated certificate of incorporation.</w:t>
      </w:r>
    </w:p>
    <w:p>
      <w:pPr>
        <w:spacing w:after="0" w:line="79"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agreements related to this offering may be amended without stockholder approval.</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Certain agreements, including the underwriting agreement relating to this offering, the letter agreement among us and our sponsor, officers and directors, and the registration rights agreement among us and our initial stockholders, may be amended without stockholder approval. These agreements contain various provisions that our public stockholders might deem to be material.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amendments would not require approval from our stockholders, may result in the completion of our initial business combination that may not otherwise have been possible, and may have an adverse effect on the value of an investment in our securities.</w:t>
      </w:r>
    </w:p>
    <w:p>
      <w:pPr>
        <w:spacing w:after="0" w:line="172" w:lineRule="exact"/>
        <w:rPr>
          <w:sz w:val="20"/>
          <w:szCs w:val="20"/>
          <w:color w:val="auto"/>
        </w:rPr>
      </w:pPr>
    </w:p>
    <w:p>
      <w:pPr>
        <w:ind w:left="1260" w:right="799"/>
        <w:spacing w:after="0" w:line="235"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identified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(including from M. Klein and Company) or to abandon the proposed business combination. We cannot assure you that such financing will be available on acceptable terms, if at all. M. Klein and Company is not obligated to provide, or seek, any such financing or, except as expressly set forth herein, to provide any other services to us.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62"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Upon the closing of this offering, our initial stockholders will own 20% of our outstanding common stock (assuming they do not purchase any units in this offering). In addition, the founder shares, all of which are held by our initial stockholders, will entitle the holders to elect all of our directors prior to the consummation of our initial business combination. Holders of our public shares will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 Please see “Proposed Business — Permitted purchases of our securities.”</w:t>
      </w:r>
    </w:p>
    <w:p>
      <w:pPr>
        <w:spacing w:after="0" w:line="178" w:lineRule="exact"/>
        <w:rPr>
          <w:sz w:val="20"/>
          <w:szCs w:val="20"/>
          <w:color w:val="auto"/>
        </w:rPr>
      </w:pPr>
    </w:p>
    <w:p>
      <w:pPr>
        <w:ind w:left="1260" w:right="719"/>
        <w:spacing w:after="0" w:line="274" w:lineRule="auto"/>
        <w:rPr>
          <w:sz w:val="20"/>
          <w:szCs w:val="20"/>
          <w:color w:val="auto"/>
        </w:rPr>
      </w:pPr>
      <w:r>
        <w:rPr>
          <w:rFonts w:ascii="Arial" w:cs="Arial" w:eastAsia="Arial" w:hAnsi="Arial"/>
          <w:sz w:val="17"/>
          <w:szCs w:val="17"/>
          <w:b w:val="1"/>
          <w:bCs w:val="1"/>
          <w:i w:val="1"/>
          <w:iCs w:val="1"/>
          <w:color w:val="auto"/>
        </w:rPr>
        <w:t>Our sponsor contributed $25,000, or approximately $0.001 per founder share, and, accordingly, you will experience immediate and substantial dilution from the purchase of our Class A common stock.</w:t>
      </w:r>
    </w:p>
    <w:p>
      <w:pPr>
        <w:spacing w:after="0" w:line="5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 included in the unit) and the pro forma net tangible book value per share of our Class A common stock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97.7% (or $9.77 per share, assuming no exercise of the underwriters’ over-allotment option), the difference between the pro forma net tangible book value per share of $0.23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68" w:lineRule="exact"/>
        <w:rPr>
          <w:sz w:val="20"/>
          <w:szCs w:val="20"/>
          <w:color w:val="auto"/>
        </w:rPr>
      </w:pPr>
    </w:p>
    <w:p>
      <w:pPr>
        <w:ind w:left="1260" w:right="879"/>
        <w:spacing w:after="0" w:line="283"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warrants could be converted into cash or stock (at a ratio different than initially provided), the exercise period could be shortened and the number of shares of our Class A common stock purchasable upon exercise of a warrant could be decreased, all without your approval.</w:t>
      </w:r>
    </w:p>
    <w:p>
      <w:pPr>
        <w:spacing w:after="0" w:line="5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purchasable upon exercise of a warrant. Our initial stockholders may purchase public warrants with the intention of reducing the number of public warrants outstanding or to vote such warrants on any matters submitted to warrantholders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81"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75"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186"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common stock and make it more difficult to effectuate our initial business combination.</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will be issuing warrants to purchase 18,750,000 shares of our Class A common stock (or up to 21,562,500 shares of our Class A common stock if the underwriters’ option to purchase additional units is exercised in full), at a price of $11.50 per whole share (subject to adjustment as provided herein), as part of the units offered by this prospectus. Simultaneously with the closing of this offering, we also will be issuing in the Private Placement an aggregate of 16,000,000 (or 18,250,000 if the underwriters’ option to purchase additional units is exercised in full) private placement warrants, each exercisable to purchase one share of Class A common stock at a price of $11.50 per share, subject to adjustment as provided herein. Our initial stockholders currently hold 21,562,500 founder shares (up to 2,812,500 of which are subject to forfeiture by our sponsor depending on the extent to which the underwriters’ option to purchase additional units is exercised). The founder shares are convertible into shares of Class A common stock on a one-for-one basis, subject to adjustment as set forth herein.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w:t>
      </w:r>
    </w:p>
    <w:p>
      <w:pPr>
        <w:spacing w:after="0" w:line="76"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To the extent we issue shares of Class A common stock to effectuate a business transaction, the potential for the issuance of a substantial number of additional shares of Class A common stock upon exercise of these warrants or conversion rights could make us a less attractive acquisition vehicle to a target business. Any such issuance will increase the number of outstanding shares of our Class A common stock and reduce the value of the Class A common stock issued to complete the business transaction. Therefore, our warrants and founder shares may make it more difficult to effectuate a business combination or increase the cost of acquiring the target business.</w:t>
      </w:r>
    </w:p>
    <w:p>
      <w:pPr>
        <w:spacing w:after="0" w:line="87"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private placement warrants are identical to the warrants sold as part of the units in this offering except that, so long as they are held by our sponsor or its permitted transferees: (1) they will not be redeemable by us; (2) they (including the Class A common stock issuable upon exercise of these warrants) may not, subject to certain limited exceptions, be transferred, assigned or sold by our sponsor until 30 days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color w:val="auto"/>
        </w:rPr>
        <w:t>after the completion of our initial business combination; (3) they may be exercised by the holders on a cashless basis; and (4) the holders thereof (including with respect to the shares of common stock issuable upon exercise of these warrants) are entitled to registration rights.</w:t>
      </w:r>
    </w:p>
    <w:p>
      <w:pPr>
        <w:spacing w:after="0" w:line="170" w:lineRule="exact"/>
        <w:rPr>
          <w:sz w:val="20"/>
          <w:szCs w:val="20"/>
          <w:color w:val="auto"/>
        </w:rPr>
      </w:pPr>
    </w:p>
    <w:p>
      <w:pPr>
        <w:ind w:left="1260" w:right="699"/>
        <w:spacing w:after="0" w:line="246"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76"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114" w:lineRule="exact"/>
        <w:rPr>
          <w:sz w:val="20"/>
          <w:szCs w:val="20"/>
          <w:color w:val="auto"/>
        </w:rPr>
      </w:pPr>
    </w:p>
    <w:p>
      <w:pPr>
        <w:ind w:left="1980" w:right="129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44"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suitable acquisition opportunities;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Although these factors were considered, the determination of our offering size, price and the terms of the units, including the Class A common stock and warrants underlying the units, is more arbitrary than the pricing of securities of an operating company in a particular industry since we have no historical operations or financial results.</w:t>
      </w:r>
    </w:p>
    <w:p>
      <w:pPr>
        <w:spacing w:after="0" w:line="173" w:lineRule="exact"/>
        <w:rPr>
          <w:sz w:val="20"/>
          <w:szCs w:val="20"/>
          <w:color w:val="auto"/>
        </w:rPr>
      </w:pPr>
    </w:p>
    <w:p>
      <w:pPr>
        <w:ind w:left="1260" w:right="1199"/>
        <w:spacing w:after="0" w:line="246"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75"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64" w:lineRule="exact"/>
        <w:rPr>
          <w:sz w:val="20"/>
          <w:szCs w:val="20"/>
          <w:color w:val="auto"/>
        </w:rPr>
      </w:pPr>
    </w:p>
    <w:p>
      <w:pPr>
        <w:ind w:left="1260" w:right="1119"/>
        <w:spacing w:after="0" w:line="400"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w:t>
      </w:r>
    </w:p>
    <w:p>
      <w:pPr>
        <w:spacing w:after="0" w:line="173" w:lineRule="exact"/>
        <w:rPr>
          <w:sz w:val="20"/>
          <w:szCs w:val="20"/>
          <w:color w:val="auto"/>
        </w:rPr>
      </w:pPr>
    </w:p>
    <w:p>
      <w:pPr>
        <w:ind w:left="1260" w:right="699"/>
        <w:spacing w:after="0" w:line="368" w:lineRule="auto"/>
        <w:rPr>
          <w:sz w:val="20"/>
          <w:szCs w:val="20"/>
          <w:color w:val="auto"/>
        </w:rPr>
      </w:pPr>
      <w:r>
        <w:rPr>
          <w:rFonts w:ascii="Arial" w:cs="Arial" w:eastAsia="Arial" w:hAnsi="Arial"/>
          <w:sz w:val="13"/>
          <w:szCs w:val="13"/>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ind w:left="1260" w:right="779"/>
        <w:spacing w:after="0" w:line="235"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759"/>
        <w:spacing w:after="0" w:line="235"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8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three-year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w:t>
      </w:r>
    </w:p>
    <w:p>
      <w:pPr>
        <w:spacing w:after="0" w:line="2"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79"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7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require,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This provision may have the effect of discouraging lawsuits against our directors and officers.</w:t>
      </w:r>
    </w:p>
    <w:p>
      <w:pPr>
        <w:spacing w:after="0" w:line="179" w:lineRule="exact"/>
        <w:rPr>
          <w:sz w:val="20"/>
          <w:szCs w:val="20"/>
          <w:color w:val="auto"/>
        </w:rPr>
      </w:pPr>
    </w:p>
    <w:p>
      <w:pPr>
        <w:ind w:left="1260" w:right="719"/>
        <w:spacing w:after="0" w:line="266" w:lineRule="auto"/>
        <w:rPr>
          <w:sz w:val="20"/>
          <w:szCs w:val="20"/>
          <w:color w:val="auto"/>
        </w:rPr>
      </w:pPr>
      <w:r>
        <w:rPr>
          <w:rFonts w:ascii="Arial" w:cs="Arial" w:eastAsia="Arial" w:hAnsi="Arial"/>
          <w:sz w:val="16"/>
          <w:szCs w:val="16"/>
          <w:b w:val="1"/>
          <w:bCs w:val="1"/>
          <w:i w:val="1"/>
          <w:iCs w:val="1"/>
          <w:color w:val="auto"/>
        </w:rPr>
        <w:t>If our management team pursues a company with operations or opportunities outside of the United States for our initial business combination, we may face additional burdens in connection with investigating, agreeing to and completing such combination, and if we effect such initial business combination, we would be subject to a variety of additional risks that may negatively impact our operations.</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84"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03" w:lineRule="exact"/>
        <w:rPr>
          <w:sz w:val="20"/>
          <w:szCs w:val="20"/>
          <w:color w:val="auto"/>
        </w:rPr>
      </w:pPr>
    </w:p>
    <w:p>
      <w:pPr>
        <w:ind w:left="1980" w:right="87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 and complying with commercial and legal requirements of overseas markets;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obligatory military service by personnel;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appropriation of assets.</w:t>
      </w:r>
    </w:p>
    <w:p>
      <w:pPr>
        <w:spacing w:after="0" w:line="11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73" w:lineRule="exact"/>
        <w:rPr>
          <w:sz w:val="20"/>
          <w:szCs w:val="20"/>
          <w:color w:val="auto"/>
        </w:rPr>
      </w:pPr>
    </w:p>
    <w:p>
      <w:pPr>
        <w:ind w:left="1260" w:right="699"/>
        <w:spacing w:after="0" w:line="400" w:lineRule="auto"/>
        <w:rPr>
          <w:sz w:val="20"/>
          <w:szCs w:val="20"/>
          <w:color w:val="auto"/>
        </w:rPr>
      </w:pPr>
      <w:r>
        <w:rPr>
          <w:rFonts w:ascii="Arial" w:cs="Arial" w:eastAsia="Arial" w:hAnsi="Arial"/>
          <w:sz w:val="13"/>
          <w:szCs w:val="13"/>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79" w:lineRule="exact"/>
        <w:rPr>
          <w:sz w:val="20"/>
          <w:szCs w:val="20"/>
          <w:color w:val="auto"/>
        </w:rPr>
      </w:pPr>
    </w:p>
    <w:p>
      <w:pPr>
        <w:ind w:left="1260" w:right="1119"/>
        <w:spacing w:after="0" w:line="274"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53"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As of May 22, 2020, we had $25,000 in cash and a working capital deficiency of $34,000.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Some statements contained in this prospectus, and certain oral statements made from time to time by our representatives in connection with this offering,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45" w:lineRule="exact"/>
        <w:rPr>
          <w:sz w:val="20"/>
          <w:szCs w:val="20"/>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71"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16"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and potential conflicts of interest relating to M. Klein and Company and our directors, officers and other affiliates;</w:t>
      </w:r>
    </w:p>
    <w:p>
      <w:pPr>
        <w:spacing w:after="0" w:line="116"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draw from the support and expertise of the M. Klein and Company and our directors, officers and other affiliates;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71"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pool of prospective target businesses, including the location and industry of such target businesses;</w:t>
      </w:r>
    </w:p>
    <w:p>
      <w:pPr>
        <w:spacing w:after="0" w:line="129"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to us of funds from interest income on the trust account balance;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1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0139"/>
          </w:cols>
          <w:pgMar w:left="320" w:top="132" w:right="1440" w:bottom="1440" w:gutter="0" w:footer="0" w:header="0"/>
        </w:sect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1119" w:firstLine="360"/>
        <w:spacing w:after="0" w:line="263" w:lineRule="auto"/>
        <w:rPr>
          <w:sz w:val="20"/>
          <w:szCs w:val="20"/>
          <w:color w:val="auto"/>
        </w:rPr>
      </w:pPr>
      <w:r>
        <w:rPr>
          <w:rFonts w:ascii="Arial" w:cs="Arial" w:eastAsia="Arial" w:hAnsi="Arial"/>
          <w:sz w:val="18"/>
          <w:szCs w:val="18"/>
          <w:color w:val="auto"/>
        </w:rPr>
        <w:t>We are offering 75,000,000 units at an offering price of $10.00 per unit. We estimate that the net proceeds of this offering together with the funds we will receive from the sale of the private placement warrants will be used as set forth in the following table.</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Without Option</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to Purchase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Additional Units</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Additional Units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Exercised in Full</w:t>
            </w:r>
          </w:p>
        </w:tc>
        <w:tc>
          <w:tcPr>
            <w:tcW w:w="0" w:type="dxa"/>
            <w:vAlign w:val="bottom"/>
          </w:tcPr>
          <w:p>
            <w:pPr>
              <w:spacing w:after="0"/>
              <w:rPr>
                <w:sz w:val="1"/>
                <w:szCs w:val="1"/>
                <w:color w:val="auto"/>
              </w:rPr>
            </w:pPr>
          </w:p>
        </w:tc>
      </w:tr>
      <w:tr>
        <w:trPr>
          <w:trHeight w:val="26"/>
        </w:trPr>
        <w:tc>
          <w:tcPr>
            <w:tcW w:w="5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9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line="243"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6"/>
                <w:szCs w:val="26"/>
                <w:color w:val="auto"/>
                <w:vertAlign w:val="superscript"/>
              </w:rPr>
              <w:t>(1)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$750,000,000</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$862,500,000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 from private placement warrants offered in the private</w:t>
            </w:r>
          </w:p>
        </w:tc>
        <w:tc>
          <w:tcPr>
            <w:tcW w:w="9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18,250,000</w:t>
            </w:r>
          </w:p>
        </w:tc>
        <w:tc>
          <w:tcPr>
            <w:tcW w:w="1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980" w:type="dxa"/>
            <w:vAlign w:val="bottom"/>
          </w:tcPr>
          <w:p>
            <w:pPr>
              <w:spacing w:after="0"/>
              <w:rPr>
                <w:sz w:val="20"/>
                <w:szCs w:val="20"/>
                <w:color w:val="auto"/>
              </w:rPr>
            </w:pPr>
            <w:r>
              <w:rPr>
                <w:rFonts w:ascii="Arial" w:cs="Arial" w:eastAsia="Arial" w:hAnsi="Arial"/>
                <w:sz w:val="18"/>
                <w:szCs w:val="18"/>
                <w:color w:val="auto"/>
              </w:rPr>
              <w:t>Total gross proceeds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766,000,000</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880,750,000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right w:val="single" w:sz="8" w:color="CCEEFF"/>
            </w:tcBorders>
            <w:shd w:val="clear" w:color="auto" w:fill="CCEEFF"/>
          </w:tcPr>
          <w:p>
            <w:pPr>
              <w:spacing w:after="0" w:line="183" w:lineRule="exact"/>
              <w:rPr>
                <w:sz w:val="20"/>
                <w:szCs w:val="20"/>
                <w:color w:val="auto"/>
              </w:rPr>
            </w:pPr>
            <w:r>
              <w:rPr>
                <w:rFonts w:ascii="Arial" w:cs="Arial" w:eastAsia="Arial" w:hAnsi="Arial"/>
                <w:sz w:val="15"/>
                <w:szCs w:val="15"/>
                <w:b w:val="1"/>
                <w:bCs w:val="1"/>
                <w:color w:val="auto"/>
              </w:rPr>
              <w:t>Estimated offering expenses</w:t>
            </w:r>
            <w:r>
              <w:rPr>
                <w:rFonts w:ascii="Arial" w:cs="Arial" w:eastAsia="Arial" w:hAnsi="Arial"/>
                <w:sz w:val="21"/>
                <w:szCs w:val="21"/>
                <w:color w:val="auto"/>
                <w:vertAlign w:val="superscript"/>
              </w:rPr>
              <w:t>(2)</w:t>
            </w: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80" w:type="dxa"/>
            <w:vAlign w:val="bottom"/>
          </w:tcPr>
          <w:p>
            <w:pPr>
              <w:spacing w:after="0" w:line="192" w:lineRule="exact"/>
              <w:rPr>
                <w:sz w:val="20"/>
                <w:szCs w:val="20"/>
                <w:color w:val="auto"/>
              </w:rPr>
            </w:pPr>
            <w:r>
              <w:rPr>
                <w:rFonts w:ascii="Arial" w:cs="Arial" w:eastAsia="Arial" w:hAnsi="Arial"/>
                <w:sz w:val="18"/>
                <w:szCs w:val="18"/>
                <w:color w:val="auto"/>
              </w:rPr>
              <w:t>Underwriting commissions (2.0% of gross proceeds from units offered to</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5980" w:type="dxa"/>
            <w:vAlign w:val="bottom"/>
          </w:tcPr>
          <w:p>
            <w:pPr>
              <w:ind w:left="180"/>
              <w:spacing w:after="0" w:line="281" w:lineRule="exact"/>
              <w:rPr>
                <w:sz w:val="20"/>
                <w:szCs w:val="20"/>
                <w:color w:val="auto"/>
              </w:rPr>
            </w:pPr>
            <w:r>
              <w:rPr>
                <w:rFonts w:ascii="Arial" w:cs="Arial" w:eastAsia="Arial" w:hAnsi="Arial"/>
                <w:sz w:val="18"/>
                <w:szCs w:val="18"/>
                <w:color w:val="auto"/>
              </w:rPr>
              <w:t>public, excluding deferred portion)</w:t>
            </w:r>
            <w:r>
              <w:rPr>
                <w:rFonts w:ascii="Arial" w:cs="Arial" w:eastAsia="Arial" w:hAnsi="Arial"/>
                <w:sz w:val="26"/>
                <w:szCs w:val="26"/>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15,000,000</w:t>
            </w:r>
          </w:p>
        </w:tc>
        <w:tc>
          <w:tcPr>
            <w:tcW w:w="1000" w:type="dxa"/>
            <w:vAlign w:val="bottom"/>
          </w:tcPr>
          <w:p>
            <w:pPr>
              <w:jc w:val="right"/>
              <w:spacing w:after="0"/>
              <w:rPr>
                <w:sz w:val="20"/>
                <w:szCs w:val="20"/>
                <w:color w:val="auto"/>
              </w:rPr>
            </w:pPr>
            <w:r>
              <w:rPr>
                <w:rFonts w:ascii="Arial" w:cs="Arial" w:eastAsia="Arial" w:hAnsi="Arial"/>
                <w:sz w:val="18"/>
                <w:szCs w:val="18"/>
                <w:color w:val="auto"/>
              </w:rPr>
              <w:t>17,250,000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00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SEC/FINRA Expenses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241,828</w:t>
            </w:r>
          </w:p>
        </w:tc>
        <w:tc>
          <w:tcPr>
            <w:tcW w:w="1000" w:type="dxa"/>
            <w:vAlign w:val="bottom"/>
          </w:tcPr>
          <w:p>
            <w:pPr>
              <w:jc w:val="right"/>
              <w:spacing w:after="0"/>
              <w:rPr>
                <w:sz w:val="20"/>
                <w:szCs w:val="20"/>
                <w:color w:val="auto"/>
              </w:rPr>
            </w:pPr>
            <w:r>
              <w:rPr>
                <w:rFonts w:ascii="Arial" w:cs="Arial" w:eastAsia="Arial" w:hAnsi="Arial"/>
                <w:sz w:val="18"/>
                <w:szCs w:val="18"/>
                <w:color w:val="auto"/>
              </w:rPr>
              <w:t>241,828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285,000</w:t>
            </w:r>
          </w:p>
        </w:tc>
        <w:tc>
          <w:tcPr>
            <w:tcW w:w="1000" w:type="dxa"/>
            <w:vAlign w:val="bottom"/>
          </w:tcPr>
          <w:p>
            <w:pPr>
              <w:jc w:val="right"/>
              <w:spacing w:after="0"/>
              <w:rPr>
                <w:sz w:val="20"/>
                <w:szCs w:val="20"/>
                <w:color w:val="auto"/>
              </w:rPr>
            </w:pPr>
            <w:r>
              <w:rPr>
                <w:rFonts w:ascii="Arial" w:cs="Arial" w:eastAsia="Arial" w:hAnsi="Arial"/>
                <w:sz w:val="18"/>
                <w:szCs w:val="18"/>
                <w:color w:val="auto"/>
              </w:rPr>
              <w:t>285,000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tcPr>
          <w:p>
            <w:pPr>
              <w:spacing w:after="0" w:line="270" w:lineRule="exact"/>
              <w:rPr>
                <w:sz w:val="20"/>
                <w:szCs w:val="20"/>
                <w:color w:val="auto"/>
              </w:rPr>
            </w:pPr>
            <w:r>
              <w:rPr>
                <w:rFonts w:ascii="Arial" w:cs="Arial" w:eastAsia="Arial" w:hAnsi="Arial"/>
                <w:sz w:val="18"/>
                <w:szCs w:val="18"/>
                <w:color w:val="auto"/>
              </w:rPr>
              <w:t>Miscellaneous expenses</w:t>
            </w:r>
            <w:r>
              <w:rPr>
                <w:rFonts w:ascii="Arial" w:cs="Arial" w:eastAsia="Arial" w:hAnsi="Arial"/>
                <w:sz w:val="26"/>
                <w:szCs w:val="26"/>
                <w:color w:val="auto"/>
                <w:vertAlign w:val="superscript"/>
              </w:rPr>
              <w:t>(4)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8,172</w:t>
            </w:r>
          </w:p>
        </w:tc>
        <w:tc>
          <w:tcPr>
            <w:tcW w:w="1000" w:type="dxa"/>
            <w:vAlign w:val="bottom"/>
          </w:tcPr>
          <w:p>
            <w:pPr>
              <w:jc w:val="right"/>
              <w:spacing w:after="0"/>
              <w:rPr>
                <w:sz w:val="20"/>
                <w:szCs w:val="20"/>
                <w:color w:val="auto"/>
              </w:rPr>
            </w:pPr>
            <w:r>
              <w:rPr>
                <w:rFonts w:ascii="Arial" w:cs="Arial" w:eastAsia="Arial" w:hAnsi="Arial"/>
                <w:sz w:val="18"/>
                <w:szCs w:val="18"/>
                <w:color w:val="auto"/>
              </w:rPr>
              <w:t>8,172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offering expenses (other than underwriting commissions)</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750,000,000</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862,500,000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Held in trust account</w:t>
            </w:r>
            <w:r>
              <w:rPr>
                <w:rFonts w:ascii="Arial" w:cs="Arial" w:eastAsia="Arial" w:hAnsi="Arial"/>
                <w:sz w:val="26"/>
                <w:szCs w:val="26"/>
                <w:color w:val="auto"/>
                <w:vertAlign w:val="superscript"/>
              </w:rPr>
              <w:t>(3)</w:t>
            </w: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right w:val="single" w:sz="8" w:color="CCEEFF"/>
            </w:tcBorders>
            <w:vMerge w:val="continue"/>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$750,000,000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$862,500,000</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Percent of public offering size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-334010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-334010</wp:posOffset>
            </wp:positionV>
            <wp:extent cx="45688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-659765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-659765</wp:posOffset>
            </wp:positionV>
            <wp:extent cx="45688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-2510790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-3128645</wp:posOffset>
            </wp:positionV>
            <wp:extent cx="45605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819" w:hanging="352"/>
        <w:spacing w:after="0" w:line="261"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76" w:lineRule="exact"/>
        <w:rPr>
          <w:rFonts w:ascii="Arial" w:cs="Arial" w:eastAsia="Arial" w:hAnsi="Arial"/>
          <w:sz w:val="18"/>
          <w:szCs w:val="18"/>
          <w:color w:val="auto"/>
        </w:rPr>
      </w:pPr>
    </w:p>
    <w:p>
      <w:pPr>
        <w:ind w:left="1620" w:right="779" w:hanging="352"/>
        <w:spacing w:after="0" w:line="274" w:lineRule="auto"/>
        <w:tabs>
          <w:tab w:leader="none" w:pos="1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sponsor has agreed to loan us up to $600,000 as described in this prospectus. As of May 22, 2020, there were no amounts outstanding under such promissory note. These loans will be repaid upon completion of this offering out of the $1,000,000 of offering proceeds that has been allocated for the payment of offering expenses (other than underwriting commissions) not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loans or additional investments from our sponsor.</w:t>
      </w:r>
    </w:p>
    <w:p>
      <w:pPr>
        <w:spacing w:after="0" w:line="68" w:lineRule="exact"/>
        <w:rPr>
          <w:rFonts w:ascii="Arial" w:cs="Arial" w:eastAsia="Arial" w:hAnsi="Arial"/>
          <w:sz w:val="16"/>
          <w:szCs w:val="16"/>
          <w:color w:val="auto"/>
        </w:rPr>
      </w:pPr>
    </w:p>
    <w:p>
      <w:pPr>
        <w:ind w:left="1620" w:right="859" w:hanging="352"/>
        <w:spacing w:after="0" w:line="23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underwriters have agreed to defer underwriting commissions equal to 3.5% of the gross proceeds of this offering. Upon completion of our initial business combination, $26,250,000, which constitutes the underwriters’ deferred commissions (or up to $30,187,500 if the underwriters’ option to purchase additional units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46" w:lineRule="exact"/>
        <w:rPr>
          <w:rFonts w:ascii="Arial" w:cs="Arial" w:eastAsia="Arial" w:hAnsi="Arial"/>
          <w:sz w:val="18"/>
          <w:szCs w:val="18"/>
          <w:color w:val="auto"/>
        </w:rPr>
      </w:pPr>
    </w:p>
    <w:p>
      <w:pPr>
        <w:ind w:left="1620" w:right="879" w:hanging="352"/>
        <w:spacing w:after="0" w:line="261"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organizational and administrative expenses and may include amounts related to above-listed expenses in the event actual amounts exceed estimates.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8"/>
          <w:szCs w:val="18"/>
          <w:color w:val="auto"/>
        </w:rPr>
        <w:t>The rules of NYSE provide that at least 90% of the gross proceeds from this offering and the sale of the private placement warrants be deposited in a trust account. Of the net proceeds of this offering and the sale of the private placement warrants, $750,000,000 (or $862,500,000 if the underwriters’ over-allotment option is exercised in full), including $26,250,000 (or $30,187,500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Based on current interest rates, we estimate that the interest earned on the trust account will be approximately $3,750,000 per year, assuming an interest rate of 0.50% per year. We will not be permitted to withdraw any of the principal or interest held in the trust account, except with respect to permitted withdrawals. The funds held in the trust account will not be released from the trust account until the earliest of: (1) the completion of our initial business combination; (2) the redemption of any public shares properly submitted in connection with a stockholder vote to amend our amended and restated certificate of incorporation to modify the substance and timing of our obligation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Based on current interest rates, we expect that interest earned on the trust account will be sufficient to pay taxes.</w:t>
      </w:r>
    </w:p>
    <w:p>
      <w:pPr>
        <w:spacing w:after="0" w:line="9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Following this offering and 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During that period, we expect our other principal expenses to include franchise and income taxes; regulatory reporting requirements; NYSE continued listing fees; and office space, administrative and support services. We will enter into the Administrative Services Agreement, pursuant to which we will pay an affiliate of our sponsor a total of $50,000 per month for office space, administrative and support services. Upon completion of our initial business combination or our liquidation, we will cease paying these monthly fees.</w:t>
      </w:r>
    </w:p>
    <w:p>
      <w:pPr>
        <w:spacing w:after="0" w:line="7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expect to fund our working capital requirements prior to the time of our initial business combination with permitted withdrawals from the interest earned on the trust account, subject to an annual limit of $1,000,000, and permitted withdrawals to pay taxes. In addition,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do not believe third parties will be willing to loan such funds and provide a waiver against any and all rights to seek access to funds in our trust account.</w:t>
      </w:r>
    </w:p>
    <w:p>
      <w:pPr>
        <w:spacing w:after="0" w:line="6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also purchase shares in privately negotiated transactions or in the open market either prior to or following the completion of our initial business combination. Please see “Proposed Business — Permitted purchases of our securities” for a description of how such persons will determine from which stockholders to seek to acquire shares. The price per share paid in any such transaction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may not redeem our public shares in an amount that would cause our net tangible assets, after payment of the deferred underwriting commissions, to be less than $5,000,001 (so that we do not then become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business combination, and instead may search for an alternate business combination.</w:t>
      </w:r>
    </w:p>
    <w:p>
      <w:pPr>
        <w:spacing w:after="0" w:line="69"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earlier to occur of: (1) the completion of our initial business combination and then, only in connection with those public shares that such stockholder has properly elected to redeem, subject to the limitations described in this prospectus;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In no other circumstances will a public stockholder have any right or interest of any kind to or in the trust account.</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agreed to (1) waive their redemption rights with respect to any founder shares and any public shares held by them in connection with the completion of our initial business combination and (2)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In addition, our initial stockholders, officers and directors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in or after this offering, they will be entitled to liquidating distributions from the trust account with respect to such public shares if we fail to complete our initial business combination within the completion window.</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stock dividends in the foreseeable future, except if we increase the size of this offering, in which case we will effect a stock dividend or other appropriate mechanism immediately prior to the consummation of this offering in an amount as to maintain the ownership of our initial stockholders prior to this offering at 20% of our issued and outstanding shares of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1240" w:firstLine="360"/>
        <w:spacing w:after="0" w:line="270" w:lineRule="auto"/>
        <w:rPr>
          <w:sz w:val="20"/>
          <w:szCs w:val="20"/>
          <w:color w:val="auto"/>
        </w:rPr>
      </w:pPr>
      <w:r>
        <w:rPr>
          <w:rFonts w:ascii="Arial" w:cs="Arial" w:eastAsia="Arial" w:hAnsi="Arial"/>
          <w:sz w:val="17"/>
          <w:szCs w:val="17"/>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73" w:lineRule="exact"/>
        <w:rPr>
          <w:sz w:val="20"/>
          <w:szCs w:val="20"/>
          <w:color w:val="auto"/>
        </w:rPr>
      </w:pPr>
    </w:p>
    <w:p>
      <w:pPr>
        <w:ind w:left="1260" w:right="1340" w:firstLine="360"/>
        <w:spacing w:after="0" w:line="252" w:lineRule="auto"/>
        <w:rPr>
          <w:sz w:val="20"/>
          <w:szCs w:val="20"/>
          <w:color w:val="auto"/>
        </w:rPr>
      </w:pPr>
      <w:r>
        <w:rPr>
          <w:rFonts w:ascii="Arial" w:cs="Arial" w:eastAsia="Arial" w:hAnsi="Arial"/>
          <w:sz w:val="18"/>
          <w:szCs w:val="18"/>
          <w:color w:val="auto"/>
        </w:rPr>
        <w:t>At May 22, 2020, our net tangible book value deficit was $34,000, or approximately $(0.00) per share of Class B common stock. After giving effect to the sale of 75,000,000 shares of Class A common stock included in the units we are offering by this prospectus, the sale of the private placement warrants and the deduction of underwriting commissions and estimated expenses of this offering, our pro forma net tangible book value at May 22, 2020 would have been $5,000,010 or $0.23 per share, representing an immediate increase in net tangible book value (as decreased by the value of the 71,877,399 shares of Class A common stock that may be redeemed for cash in connection with our initial business combination and assuming no exercise of the underwriters’ option to purchase additional units) of $0.23 per share to our initial stockholders as of the date of this prospectus and an immediate dilution of $9.77 per share or 97.7% to our public stockholders not exercising their redemption rights. The dilution to new investors if the underwriters exercise their option to purchase additional units in full would be an immediate dilution of $9.80 per share or 98.0%.</w:t>
      </w:r>
    </w:p>
    <w:p>
      <w:pPr>
        <w:spacing w:after="0" w:line="92" w:lineRule="exact"/>
        <w:rPr>
          <w:sz w:val="20"/>
          <w:szCs w:val="20"/>
          <w:color w:val="auto"/>
        </w:rPr>
      </w:pPr>
    </w:p>
    <w:p>
      <w:pPr>
        <w:ind w:left="1260" w:right="1340" w:firstLine="360"/>
        <w:spacing w:after="0" w:line="308" w:lineRule="auto"/>
        <w:rPr>
          <w:sz w:val="20"/>
          <w:szCs w:val="20"/>
          <w:color w:val="auto"/>
        </w:rPr>
      </w:pPr>
      <w:r>
        <w:rPr>
          <w:rFonts w:ascii="Arial" w:cs="Arial" w:eastAsia="Arial" w:hAnsi="Arial"/>
          <w:sz w:val="17"/>
          <w:szCs w:val="17"/>
          <w:color w:val="auto"/>
        </w:rPr>
        <w:t>The following table illustrates the dilution to the public stockholders on a per share basis, assuming no value is attributed to the warrants included in the units or the private placement warrants: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40" w:type="dxa"/>
            <w:vAlign w:val="bottom"/>
          </w:tcPr>
          <w:p>
            <w:pPr>
              <w:spacing w:after="0"/>
              <w:rPr>
                <w:sz w:val="21"/>
                <w:szCs w:val="21"/>
                <w:color w:val="auto"/>
              </w:rPr>
            </w:pPr>
          </w:p>
        </w:tc>
      </w:tr>
      <w:tr>
        <w:trPr>
          <w:trHeight w:val="277"/>
        </w:trPr>
        <w:tc>
          <w:tcPr>
            <w:tcW w:w="77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(0.00)</w:t>
            </w:r>
          </w:p>
        </w:tc>
      </w:tr>
      <w:tr>
        <w:trPr>
          <w:trHeight w:val="290"/>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w w:val="98"/>
              </w:rPr>
              <w:t>Pro forma net tangible book value after this offering and the sale of the private placement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98"/>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24"/>
                <w:szCs w:val="24"/>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772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-410845</wp:posOffset>
            </wp:positionV>
            <wp:extent cx="4894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pacing w:after="0" w:line="141" w:lineRule="exact"/>
        <w:rPr>
          <w:sz w:val="20"/>
          <w:szCs w:val="20"/>
          <w:color w:val="auto"/>
        </w:rPr>
      </w:pPr>
    </w:p>
    <w:p>
      <w:pPr>
        <w:ind w:left="1260" w:right="1300" w:firstLine="360"/>
        <w:spacing w:after="0" w:line="254"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option to purchase additional units) by $718,773,990 because holders of up to approximately 95.8%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(net of permitted withdrawals) divided by the number of shares of Class A common stock sold in this offering).</w:t>
      </w:r>
    </w:p>
    <w:p>
      <w:pPr>
        <w:spacing w:after="0" w:line="84" w:lineRule="exact"/>
        <w:rPr>
          <w:sz w:val="20"/>
          <w:szCs w:val="20"/>
          <w:color w:val="auto"/>
        </w:rPr>
      </w:pPr>
    </w:p>
    <w:p>
      <w:pPr>
        <w:ind w:left="1260" w:right="1840"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20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26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6"/>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Price per</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2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360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Initial Stockholders</w:t>
            </w:r>
            <w:r>
              <w:rPr>
                <w:rFonts w:ascii="Arial" w:cs="Arial" w:eastAsia="Arial" w:hAnsi="Arial"/>
                <w:sz w:val="26"/>
                <w:szCs w:val="26"/>
                <w:color w:val="auto"/>
                <w:vertAlign w:val="superscript"/>
              </w:rPr>
              <w:t>(1)(2)</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18,750,000</w:t>
            </w:r>
          </w:p>
        </w:tc>
        <w:tc>
          <w:tcPr>
            <w:tcW w:w="9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0.003%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$0.001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Public Stockholders</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75,000,000</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80.00%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750,000,000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99.997%</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$10.00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6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93,750,000</w:t>
            </w:r>
          </w:p>
        </w:tc>
        <w:tc>
          <w:tcPr>
            <w:tcW w:w="9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750,025,000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-788035</wp:posOffset>
            </wp:positionV>
            <wp:extent cx="5575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-788035</wp:posOffset>
            </wp:positionV>
            <wp:extent cx="1885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-788035</wp:posOffset>
            </wp:positionV>
            <wp:extent cx="231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-788035</wp:posOffset>
            </wp:positionV>
            <wp:extent cx="3025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2577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-1122045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-1122045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-1122045</wp:posOffset>
            </wp:positionV>
            <wp:extent cx="2940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-1122045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520065</wp:posOffset>
            </wp:positionV>
            <wp:extent cx="12344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799" w:hanging="352"/>
        <w:spacing w:after="0" w:line="308" w:lineRule="auto"/>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Assumes the full forfeiture of 2,812,500 shares that are subject to forfeiture by our sponsor depending on the extent to which the underwriters’ option to purchase additional units is exercised.</w:t>
      </w:r>
    </w:p>
    <w:p>
      <w:pPr>
        <w:spacing w:after="0" w:line="105" w:lineRule="exact"/>
        <w:rPr>
          <w:rFonts w:ascii="Arial" w:cs="Arial" w:eastAsia="Arial" w:hAnsi="Arial"/>
          <w:sz w:val="17"/>
          <w:szCs w:val="17"/>
          <w:color w:val="auto"/>
        </w:rPr>
      </w:pPr>
    </w:p>
    <w:p>
      <w:pPr>
        <w:ind w:left="1620" w:right="759" w:hanging="352"/>
        <w:spacing w:after="0" w:line="259"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Assumes conversion of Class B common stock into Class A common stock on a one-for-one basis. The dilution to public stockholders would increase to the extent that the anti-dilution provisions of the Class B common stock result in the issuance of shares of Class A common stock on a greater than one-to-one basis upon such conversion.</w:t>
      </w:r>
    </w:p>
    <w:p>
      <w:pPr>
        <w:spacing w:after="0" w:line="173"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pro forma net tangible book value per share as of May 22, 2020 giving effect to the offering is calculated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57"/>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this offering and sale of the private placement warrants, net of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750,000,000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Plus: offering costs paid for in advance</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underwriters’ commissions payable</w:t>
            </w: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(26,250,000)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260" w:type="dxa"/>
            <w:vAlign w:val="bottom"/>
            <w:gridSpan w:val="3"/>
          </w:tcPr>
          <w:p>
            <w:pPr>
              <w:spacing w:after="0"/>
              <w:rPr>
                <w:sz w:val="20"/>
                <w:szCs w:val="20"/>
                <w:color w:val="auto"/>
              </w:rPr>
            </w:pPr>
            <w:r>
              <w:rPr>
                <w:rFonts w:ascii="Arial" w:cs="Arial" w:eastAsia="Arial" w:hAnsi="Arial"/>
                <w:sz w:val="18"/>
                <w:szCs w:val="18"/>
                <w:color w:val="auto"/>
              </w:rPr>
              <w:t>Less: amount of Class A common stock subject to redemption to maintain net tangible</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assets of $5,000,001</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(718,773,990)</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of Class B common stock outstanding prior to this offering</w:t>
            </w:r>
          </w:p>
        </w:tc>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gridSpan w:val="3"/>
          </w:tcPr>
          <w:p>
            <w:pPr>
              <w:spacing w:after="0"/>
              <w:rPr>
                <w:sz w:val="20"/>
                <w:szCs w:val="20"/>
                <w:color w:val="auto"/>
              </w:rPr>
            </w:pPr>
            <w:r>
              <w:rPr>
                <w:rFonts w:ascii="Arial" w:cs="Arial" w:eastAsia="Arial" w:hAnsi="Arial"/>
                <w:sz w:val="18"/>
                <w:szCs w:val="18"/>
                <w:color w:val="auto"/>
              </w:rPr>
              <w:t>Shares forfeited if option to purchase additional units is not exercised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(2,812,500)</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Shares of Class A common stock included in the units offered</w:t>
            </w:r>
          </w:p>
        </w:tc>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180" w:type="dxa"/>
            <w:vAlign w:val="bottom"/>
          </w:tcPr>
          <w:p>
            <w:pPr>
              <w:spacing w:after="0"/>
              <w:rPr>
                <w:sz w:val="20"/>
                <w:szCs w:val="20"/>
                <w:color w:val="auto"/>
              </w:rPr>
            </w:pPr>
            <w:r>
              <w:rPr>
                <w:rFonts w:ascii="Arial" w:cs="Arial" w:eastAsia="Arial" w:hAnsi="Arial"/>
                <w:sz w:val="18"/>
                <w:szCs w:val="18"/>
                <w:color w:val="auto"/>
                <w:w w:val="94"/>
              </w:rPr>
              <w:t>Less: shares subject to redemption to maintain net tangible assets of</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w w:val="97"/>
              </w:rPr>
              <w:t>$5,000,001</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(71,877,399)</w:t>
            </w:r>
          </w:p>
        </w:tc>
        <w:tc>
          <w:tcPr>
            <w:tcW w:w="0" w:type="dxa"/>
            <w:vAlign w:val="bottom"/>
          </w:tcPr>
          <w:p>
            <w:pPr>
              <w:spacing w:after="0"/>
              <w:rPr>
                <w:sz w:val="1"/>
                <w:szCs w:val="1"/>
                <w:color w:val="auto"/>
              </w:rPr>
            </w:pPr>
          </w:p>
        </w:tc>
      </w:tr>
      <w:tr>
        <w:trPr>
          <w:trHeight w:val="277"/>
        </w:trPr>
        <w:tc>
          <w:tcPr>
            <w:tcW w:w="5180" w:type="dxa"/>
            <w:vAlign w:val="bottom"/>
            <w:tcBorders>
              <w:top w:val="single" w:sz="8" w:color="CCEEFF"/>
              <w:bottom w:val="single" w:sz="8" w:color="CCEEFF"/>
            </w:tcBorders>
            <w:shd w:val="clear" w:color="auto" w:fill="CCEEFF"/>
          </w:tcPr>
          <w:p>
            <w:pPr>
              <w:spacing w:after="0"/>
              <w:rPr>
                <w:sz w:val="24"/>
                <w:szCs w:val="24"/>
                <w:color w:val="auto"/>
              </w:rPr>
            </w:pPr>
          </w:p>
        </w:tc>
        <w:tc>
          <w:tcPr>
            <w:tcW w:w="196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21,872,601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45345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-1259205</wp:posOffset>
            </wp:positionV>
            <wp:extent cx="45345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following table sets forth our capitalization at May 22, 2020 and as adjusted to give effect to the sale of our 75,000,000 units in this offering for $750,000,000 (or $10.00 per unit) and the sale of 16,000,000 private placement warrants for $16,000,000 (or $1.00 per warrant) and the application of the estimated net proceeds derived from the sale of such securities:</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May 22, 2020</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16"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21"/>
                <w:szCs w:val="21"/>
                <w:b w:val="1"/>
                <w:bCs w:val="1"/>
                <w:color w:val="auto"/>
                <w:w w:val="91"/>
                <w:vertAlign w:val="superscript"/>
              </w:rPr>
              <w:t>(1)</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20" w:type="dxa"/>
            <w:vAlign w:val="bottom"/>
            <w:gridSpan w:val="3"/>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26,250,000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Class A common stock, subject to redemption</w:t>
            </w:r>
            <w:r>
              <w:rPr>
                <w:rFonts w:ascii="Arial" w:cs="Arial" w:eastAsia="Arial" w:hAnsi="Arial"/>
                <w:sz w:val="26"/>
                <w:szCs w:val="26"/>
                <w:color w:val="auto"/>
                <w:vertAlign w:val="superscript"/>
              </w:rPr>
              <w:t>(2)</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gridSpan w:val="2"/>
            <w:vMerge w:val="continue"/>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718,773,990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6"/>
              </w:rPr>
              <w:t>Preferred stock, $0.0001 par value, 1,000,000 shares authorized; no shares issued</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or outstanding</w:t>
            </w: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420" w:type="dxa"/>
            <w:vAlign w:val="bottom"/>
            <w:tcBorders>
              <w:right w:val="single" w:sz="8" w:color="CCEEFF"/>
            </w:tcBorders>
            <w:gridSpan w:val="3"/>
            <w:shd w:val="clear" w:color="auto" w:fill="CCEEFF"/>
          </w:tcPr>
          <w:p>
            <w:pPr>
              <w:spacing w:after="0" w:line="192" w:lineRule="exact"/>
              <w:rPr>
                <w:sz w:val="20"/>
                <w:szCs w:val="20"/>
                <w:color w:val="auto"/>
              </w:rPr>
            </w:pPr>
            <w:r>
              <w:rPr>
                <w:rFonts w:ascii="Arial" w:cs="Arial" w:eastAsia="Arial" w:hAnsi="Arial"/>
                <w:sz w:val="18"/>
                <w:szCs w:val="18"/>
                <w:color w:val="auto"/>
                <w:w w:val="97"/>
              </w:rPr>
              <w:t>Class A common stock, $0.0001 par value, 240,000,000 shares authorized (actual</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6420" w:type="dxa"/>
            <w:vAlign w:val="bottom"/>
            <w:tcBorders>
              <w:right w:val="single" w:sz="8" w:color="CCEEFF"/>
            </w:tcBorders>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w w:val="97"/>
              </w:rPr>
              <w:t>and as adjusted); no shares issued or outstanding (actual); 3,122,601</w:t>
            </w:r>
            <w:r>
              <w:rPr>
                <w:rFonts w:ascii="Arial" w:cs="Arial" w:eastAsia="Arial" w:hAnsi="Arial"/>
                <w:sz w:val="26"/>
                <w:szCs w:val="26"/>
                <w:color w:val="auto"/>
                <w:w w:val="97"/>
                <w:vertAlign w:val="superscript"/>
              </w:rPr>
              <w:t>(3)</w:t>
            </w:r>
            <w:r>
              <w:rPr>
                <w:rFonts w:ascii="Arial" w:cs="Arial" w:eastAsia="Arial" w:hAnsi="Arial"/>
                <w:sz w:val="18"/>
                <w:szCs w:val="18"/>
                <w:color w:val="auto"/>
                <w:w w:val="97"/>
              </w:rPr>
              <w:t xml:space="preserve"> shares</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6"/>
              </w:rPr>
              <w:t>issued and outstanding (excluding 71,877,399 shares subject to redemption) (as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420" w:type="dxa"/>
            <w:vAlign w:val="bottom"/>
            <w:gridSpan w:val="3"/>
          </w:tcPr>
          <w:p>
            <w:pPr>
              <w:spacing w:after="0" w:line="192" w:lineRule="exact"/>
              <w:rPr>
                <w:sz w:val="20"/>
                <w:szCs w:val="20"/>
                <w:color w:val="auto"/>
              </w:rPr>
            </w:pPr>
            <w:r>
              <w:rPr>
                <w:rFonts w:ascii="Arial" w:cs="Arial" w:eastAsia="Arial" w:hAnsi="Arial"/>
                <w:sz w:val="18"/>
                <w:szCs w:val="18"/>
                <w:color w:val="auto"/>
                <w:w w:val="99"/>
              </w:rPr>
              <w:t>Class B common stock, $0.0001 par value, 60,000,000 shares authorized (actual</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20" w:type="dxa"/>
            <w:vAlign w:val="bottom"/>
            <w:gridSpan w:val="3"/>
          </w:tcPr>
          <w:p>
            <w:pPr>
              <w:ind w:left="180"/>
              <w:spacing w:after="0" w:line="230" w:lineRule="exact"/>
              <w:rPr>
                <w:sz w:val="20"/>
                <w:szCs w:val="20"/>
                <w:color w:val="auto"/>
              </w:rPr>
            </w:pPr>
            <w:r>
              <w:rPr>
                <w:rFonts w:ascii="Arial" w:cs="Arial" w:eastAsia="Arial" w:hAnsi="Arial"/>
                <w:sz w:val="18"/>
                <w:szCs w:val="18"/>
                <w:color w:val="auto"/>
              </w:rPr>
              <w:t>and as adjusted); 21,562,500</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shares issued and outstanding (actual);</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420" w:type="dxa"/>
            <w:vAlign w:val="bottom"/>
            <w:gridSpan w:val="3"/>
          </w:tcPr>
          <w:p>
            <w:pPr>
              <w:ind w:left="180"/>
              <w:spacing w:after="0" w:line="281" w:lineRule="exact"/>
              <w:rPr>
                <w:sz w:val="20"/>
                <w:szCs w:val="20"/>
                <w:color w:val="auto"/>
              </w:rPr>
            </w:pPr>
            <w:r>
              <w:rPr>
                <w:rFonts w:ascii="Arial" w:cs="Arial" w:eastAsia="Arial" w:hAnsi="Arial"/>
                <w:sz w:val="18"/>
                <w:szCs w:val="18"/>
                <w:color w:val="auto"/>
              </w:rPr>
              <w:t>18,750,000</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shares issued and outstanding (as adjusted)</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2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Additional paid-in capital</w:t>
            </w:r>
            <w:r>
              <w:rPr>
                <w:rFonts w:ascii="Arial" w:cs="Arial" w:eastAsia="Arial" w:hAnsi="Arial"/>
                <w:sz w:val="26"/>
                <w:szCs w:val="26"/>
                <w:color w:val="auto"/>
                <w:vertAlign w:val="superscript"/>
              </w:rPr>
              <w:t>(4)</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22,844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4,998,823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24,000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750,024,000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940" w:type="dxa"/>
            <w:vAlign w:val="bottom"/>
            <w:tcBorders>
              <w:bottom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-436245</wp:posOffset>
            </wp:positionV>
            <wp:extent cx="45777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-2553970</wp:posOffset>
            </wp:positionV>
            <wp:extent cx="45777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-2871470</wp:posOffset>
            </wp:positionV>
            <wp:extent cx="45688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14" w:lineRule="exact"/>
        <w:rPr>
          <w:sz w:val="20"/>
          <w:szCs w:val="20"/>
          <w:color w:val="auto"/>
        </w:rPr>
      </w:pPr>
    </w:p>
    <w:p>
      <w:pPr>
        <w:ind w:left="1620" w:right="759" w:hanging="352"/>
        <w:spacing w:after="0" w:line="25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the full forfeiture of 2,812,500 shares that are subject to forfeiture by our sponsor depending on the extent to which the underwriters’ option to purchase additional units is exercised. The proceeds of the sale of such shares will not be deposited into the trust account, the shares will not be eligible for redemption from the trust account nor will they be eligible to vote upon the initial business combination.</w:t>
      </w:r>
    </w:p>
    <w:p>
      <w:pPr>
        <w:spacing w:after="0" w:line="93" w:lineRule="exact"/>
        <w:rPr>
          <w:rFonts w:ascii="Arial" w:cs="Arial" w:eastAsia="Arial" w:hAnsi="Arial"/>
          <w:sz w:val="18"/>
          <w:szCs w:val="18"/>
          <w:color w:val="auto"/>
        </w:rPr>
      </w:pPr>
    </w:p>
    <w:p>
      <w:pPr>
        <w:ind w:left="1620" w:right="679" w:hanging="352"/>
        <w:spacing w:after="0" w:line="268"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public stockholders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permitted withdrawals), subject to the limitations described herein whereby our net tangible assets will be maintained at a minimum of $5,000,001 and any limitations (including, but not limited to, cash requirements) created by the terms of the proposed business combination. The “as adjusted” amount of Class A common stock, subject to redemption equals the “as adjusted” total assets of $750,024,000, less the “as adjusted” total liabilities of $26,250,000 less “as adjusted” total stockholder’s equity. The value of Class A common stock that may be redeemed is equal to $10.00 per share (which is the assumed redemption price) multiplied by 71,877,399 shares of Class A common stock, which is the maximum number of shares of Class A common stock that may be redeemed for a $10.00 purchase price per share and still maintain at least $5,000,001 of net tangible assets.</w:t>
      </w:r>
    </w:p>
    <w:p>
      <w:pPr>
        <w:spacing w:after="0" w:line="91" w:lineRule="exact"/>
        <w:rPr>
          <w:rFonts w:ascii="Arial" w:cs="Arial" w:eastAsia="Arial" w:hAnsi="Arial"/>
          <w:sz w:val="17"/>
          <w:szCs w:val="17"/>
          <w:color w:val="auto"/>
        </w:rPr>
      </w:pPr>
    </w:p>
    <w:p>
      <w:pPr>
        <w:ind w:left="1620" w:right="919" w:hanging="352"/>
        <w:spacing w:after="0" w:line="263"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the “as adjusted” share amount assumes no exercise of the underwriters’ option to purchase additional units and the forfeiture of 2,812,500 founder shares by our sponsor.</w:t>
      </w:r>
    </w:p>
    <w:p>
      <w:pPr>
        <w:spacing w:after="0" w:line="89" w:lineRule="exact"/>
        <w:rPr>
          <w:rFonts w:ascii="Arial" w:cs="Arial" w:eastAsia="Arial" w:hAnsi="Arial"/>
          <w:sz w:val="18"/>
          <w:szCs w:val="18"/>
          <w:color w:val="auto"/>
        </w:rPr>
      </w:pPr>
    </w:p>
    <w:p>
      <w:pPr>
        <w:ind w:left="1620" w:right="739" w:hanging="352"/>
        <w:spacing w:after="0" w:line="263"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stockholders’ equity of $5,000,010, less common stock (par value) of $2,187 plus the accumulated deficit of $(1,000).</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are a newly incorporated blank check company incorporated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intend to effectuate our initial business combination using cash from the proceeds of this offering and the sale of the private placement warrants, our capital stock, debt or a combination of cash, stock and debt.</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144" w:lineRule="exact"/>
        <w:rPr>
          <w:sz w:val="20"/>
          <w:szCs w:val="20"/>
          <w:color w:val="auto"/>
        </w:rPr>
      </w:pPr>
    </w:p>
    <w:p>
      <w:pPr>
        <w:ind w:left="1980" w:right="839" w:hanging="352"/>
        <w:spacing w:after="0" w:line="311" w:lineRule="auto"/>
        <w:tabs>
          <w:tab w:leader="none" w:pos="1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54" w:lineRule="exact"/>
        <w:rPr>
          <w:rFonts w:ascii="Arial" w:cs="Arial" w:eastAsia="Arial" w:hAnsi="Arial"/>
          <w:sz w:val="16"/>
          <w:szCs w:val="16"/>
          <w:color w:val="auto"/>
        </w:rPr>
      </w:pPr>
    </w:p>
    <w:p>
      <w:pPr>
        <w:ind w:left="1980" w:right="107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75" w:lineRule="exact"/>
        <w:rPr>
          <w:rFonts w:ascii="Arial" w:cs="Arial" w:eastAsia="Arial" w:hAnsi="Arial"/>
          <w:sz w:val="18"/>
          <w:szCs w:val="18"/>
          <w:color w:val="auto"/>
        </w:rPr>
      </w:pPr>
    </w:p>
    <w:p>
      <w:pPr>
        <w:ind w:left="1980" w:right="779" w:hanging="352"/>
        <w:spacing w:after="0" w:line="311" w:lineRule="auto"/>
        <w:tabs>
          <w:tab w:leader="none" w:pos="1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67" w:lineRule="exact"/>
        <w:rPr>
          <w:rFonts w:ascii="Arial" w:cs="Arial" w:eastAsia="Arial" w:hAnsi="Arial"/>
          <w:sz w:val="16"/>
          <w:szCs w:val="16"/>
          <w:color w:val="auto"/>
        </w:rPr>
      </w:pPr>
    </w:p>
    <w:p>
      <w:pPr>
        <w:ind w:left="1980" w:right="119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75" w:lineRule="exact"/>
        <w:rPr>
          <w:rFonts w:ascii="Arial" w:cs="Arial" w:eastAsia="Arial" w:hAnsi="Arial"/>
          <w:sz w:val="18"/>
          <w:szCs w:val="18"/>
          <w:color w:val="auto"/>
        </w:rPr>
      </w:pPr>
    </w:p>
    <w:p>
      <w:pPr>
        <w:jc w:val="both"/>
        <w:ind w:left="1620" w:right="1079" w:firstLine="8"/>
        <w:spacing w:after="0" w:line="406" w:lineRule="auto"/>
        <w:tabs>
          <w:tab w:leader="none" w:pos="1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Class A common stock and/or warrants. Similarly, if we issue debt securities or otherwise incur significant indebtedness, it could result in:</w:t>
      </w:r>
    </w:p>
    <w:p>
      <w:pPr>
        <w:ind w:left="1980" w:right="163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8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5"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30"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89"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89" w:lineRule="exact"/>
        <w:rPr>
          <w:rFonts w:ascii="Arial" w:cs="Arial" w:eastAsia="Arial" w:hAnsi="Arial"/>
          <w:sz w:val="18"/>
          <w:szCs w:val="18"/>
          <w:color w:val="auto"/>
        </w:rPr>
      </w:pPr>
    </w:p>
    <w:p>
      <w:pPr>
        <w:ind w:left="1980" w:right="999" w:hanging="352"/>
        <w:spacing w:after="0" w:line="263"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As of May 22, 2020, we had cash of $25,000 and working capital deficit of $34,000. Further, we expect to continue to incur significant costs in the pursuit of our acquisition plans. We cannot assure you that our plans to raise capital or to complete our initial business combination will be successful.</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$25,000 from the sale of the founder shares and up to $600,000 in loans from our sponsor under an unsecured promissory note. We estimate that the net proceeds from: (1) the sale of the units in this offering, after deducting offering expenses of approximately $1,000,000 and underwriting commissions of $15,000,000 ($17,250,000 if the underwriters’ option to purchase additional units is exercised in full) (excluding deferred underwriting commissions of $26,250,000 (or up to $30,187,500 if the underwriters’ option to purchase additional units is exercised in full)); and (2) the sale of the private placement warrants for a purchase price of $16,000,000 (or $18,250,000 if the underwriters’ option to purchase additional units is exercised in full), will be $750,000,000 (or $862,500,000 if the underwriters’ option to purchase additional units is exercised in full). Of this amount, $750,000,000 (or $862,500,000 if the underwriters’ option to purchase additional units is exercised in full), which includes $26,250,000 (or up to $30,187,500 if the underwriters’ option to purchase additional units is exercised in full) of deferred underwriting commissions, will be deposited into the trust account. The funds in the trust account will be invested only in U.S. government treasury bills with a maturity of 185 days or less or in money market funds that meet certain conditions under Rule 2a-7 under the Investment Company Act of 1940 and that invest only in direct U.S. government obligations. In the event that our offering expenses exceed our estimate of $1,000,000, we may fund such excess with loans or additional investments from our sponsor, members of our management team or any of their respective affiliates or other third parties. Conversely, in the event that the offering expenses are less than our estimate of $1,000,000, the excess would be held outside of the trust account.</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(which interest shall be net of permitted withdrawals) to complete our initial business combination. We will make permitted withdrawals from the trust account to pay our taxes, including franchise taxes and income taxes. Delaware franchise tax is based on our authorized shares or on our assumed par and non-par capital, whichever yields a lower result. Under the authorized shares method, each share is taxed at a graduated rate based on the number of authorized shares with a maximum aggregate tax of $200,000 per year. Under the assumed par value capital method, Delaware taxes each $1,000,000 of assumed par value capital at the rate of $400; where assumed par value would be (1) our total gross assets following this offering, divided by (2) our total issued shares of common stock following this offering, multiplied by (3) the number of our authorized shares following this offering. Based on the number of shares of our common stock authorized and outstanding and our estimated total gross proceeds after the completion of this offering, our annual franchise tax obligation is expected to be capped at the maximum amount of annual franchise taxes payable by us as a Delaware corporation of $200,000. Our annual income tax obligations will depend on the amount of interest and other income earned on the amounts held in the trust account. We expect the only taxes payable by us out of the funds in the trust account will be income and franchise taxes. We expect the interest earned on the amount in the trust account will be sufficient to pay our taxes. To the extent that our capital stock or debt is used, in whole</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color w:val="auto"/>
        </w:rPr>
        <w:t>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76"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84"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We expect our primary liquidity requirements during that period to include legal, accounting, due diligence, travel and other expenses in connection with any business combinations; regulatory reporting requirements; NYSE continued listing fees; office space, administrative and support services, including under the Administrative Services Agreement; reserve for liquidation expenses; and other miscellaneous expenses.</w:t>
      </w:r>
    </w:p>
    <w:p>
      <w:pPr>
        <w:spacing w:after="0" w:line="80"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addition, we may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7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indicated in the accompanying financial statements, at May 22, 2020, we had $25,000 in cash and a working capital deficiency of $34,000. Further, we have incurred and expect to continue to incur significant costs in pursuit of our financing and acquisition plans. Management’s plans to address this uncertainty through this offering are discussed below. We cannot assure you that our plans to raise capital or to consummate an initial business combination will be successful. These factors, among others, raise substantial doubt about our ability to continue as a going concern.</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8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w:t>
      </w:r>
    </w:p>
    <w:p>
      <w:pPr>
        <w:spacing w:after="0" w:line="84"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6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65" w:lineRule="exact"/>
        <w:rPr>
          <w:sz w:val="20"/>
          <w:szCs w:val="20"/>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1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 Once our management’s report on internal controls is</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bills with a maturity of 185 days or less or in money market funds that meet certain conditions under Rule 2a-7 under the Investment Company Act of 1940 and that invest only in direct U.S. government obligations. Due to the short-term nature of these investments, we believe there will be no associated material exposure to interest rate risk.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May 22, 2020, we did not have any off-balance sheet arrangements as defined in Item 303(a)(4)</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(ii) of Regulation S-K and did not have any commitments or contractual obligations.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In May 2020, our sponsor purchased an aggregate of 21,562,500 founder shares for an aggregate purchase price of $25,000, or approximately $0.001 per share. The number of founder shares issued was determined based on the expectation that the founder shares would represent 20% of the outstanding shares of common stock upon the completion of this offering. The purchase price of the founder shares was determined by dividing the amount of cash contributed to us by the number of founder shares issued.</w:t>
      </w:r>
    </w:p>
    <w:p>
      <w:pPr>
        <w:spacing w:after="0" w:line="6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8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sponsor has agreed to loan us up to $600,000 under an unsecured promissory note to be used for a portion of the expenses of this offering. As of May 22, 2020, there was no outstanding amount under such promissory note. These loans are non-interest bearing, unsecured and are due at the earlier of December 31, 2020 and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an affiliate of our sponsor or our officers and directors may, but is not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w:t>
      </w:r>
    </w:p>
    <w:p>
      <w:pPr>
        <w:sectPr>
          <w:pgSz w:w="11900" w:h="16838" w:orient="portrait"/>
          <w:cols w:equalWidth="0" w:num="1">
            <w:col w:w="10139"/>
          </w:cols>
          <w:pgMar w:left="320" w:top="131" w:right="1440" w:bottom="1440" w:gutter="0" w:footer="0" w:header="0"/>
        </w:sectPr>
      </w:pP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9"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Our sponsor has subscribed to purchase an aggregate of 16,000,000 (or 18,250,000 if the underwriters’ option to purchase additional units is exercised in full) private placement warrants at a price of $1.00 per warrant ($16,000,000 in the aggregate or $18,250,000 in the aggregate if the underwriters’ option to purchase additional units is exercised in full) in the Private Placement. Each private placement warrant entitles the holder thereof to purchase one share of our Class A common stock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(except as described below under “Principal Stockholders</w:t>
      </w:r>
    </w:p>
    <w:p>
      <w:pPr>
        <w:spacing w:after="0" w:line="7"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 Transfers of Founder Shares and Private Placement Warrants”). The private placement warrants may also be exercised by our sponsor or its permitted transferees for cash or on a cashless basis. Otherwise, the private placement warrants have terms and provisions that are identical to those of the warrants being sold as part of the units in this offering.</w:t>
      </w:r>
    </w:p>
    <w:p>
      <w:pPr>
        <w:spacing w:after="0" w:line="85"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securities for sale under the Securities Act. Our initial stockholders,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Please see “Certain Relationships and Related Party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88"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PROPOSED 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7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35-year career, including more than two decades at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7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70"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CCC, a special purpose acquisition company that completed a $690 million initial public offering in September 2018 and merged in May 2019 with Clarivate, a leading provider of comprehensive intellectual property and scientific information, analytical tools, and services.</w:t>
      </w:r>
    </w:p>
    <w:p>
      <w:pPr>
        <w:spacing w:after="0" w:line="8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69"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w:t>
      </w:r>
    </w:p>
    <w:p>
      <w:pPr>
        <w:spacing w:after="0" w:line="6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 Chief Financial Officer from 2013 to 2017. Prior to Scotiabank, Mr. Taragin held a Chief Operating and</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77"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 Klein and Company has established strategic relationships with selected leading investors and financing providers. Such Strategic Partners may invest in our sponsor, thereby sharing in the appreciation of founder shares and private placement warrants, and assist M. Klein and Company in evaluating potential acquisition targets. In addition, Glenn R. August, the CEO and Founder of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87"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M. Klein and Company has established an entity within the firm, Archimedes Advisors LLC, which will invest in our sponsor and which consists of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 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7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firstLine="360"/>
        <w:spacing w:after="0" w:line="272" w:lineRule="auto"/>
        <w:rPr>
          <w:sz w:val="20"/>
          <w:szCs w:val="20"/>
          <w:color w:val="auto"/>
        </w:rPr>
      </w:pPr>
      <w:r>
        <w:rPr>
          <w:rFonts w:ascii="Arial" w:cs="Arial" w:eastAsia="Arial" w:hAnsi="Arial"/>
          <w:sz w:val="17"/>
          <w:szCs w:val="17"/>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strategy is to:</w:t>
      </w:r>
    </w:p>
    <w:p>
      <w:pPr>
        <w:spacing w:after="0" w:line="198" w:lineRule="exact"/>
        <w:rPr>
          <w:sz w:val="20"/>
          <w:szCs w:val="20"/>
          <w:color w:val="auto"/>
        </w:rPr>
      </w:pPr>
    </w:p>
    <w:p>
      <w:pPr>
        <w:ind w:left="1980" w:right="79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founder to bring advice and attention to potential business combination targets;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 and</w:t>
      </w:r>
    </w:p>
    <w:p>
      <w:pPr>
        <w:spacing w:after="0" w:line="184"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w:t>
      </w:r>
    </w:p>
    <w:p>
      <w:pPr>
        <w:spacing w:after="0" w:line="6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management team and M. Klein and Company have experience in:</w:t>
      </w:r>
    </w:p>
    <w:p>
      <w:pPr>
        <w:spacing w:after="0" w:line="198" w:lineRule="exact"/>
        <w:rPr>
          <w:sz w:val="20"/>
          <w:szCs w:val="20"/>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negotiating transactions favorable to investors;</w:t>
      </w:r>
    </w:p>
    <w:p>
      <w:pPr>
        <w:spacing w:after="0" w:line="184" w:lineRule="exact"/>
        <w:rPr>
          <w:rFonts w:ascii="Arial" w:cs="Arial" w:eastAsia="Arial" w:hAnsi="Arial"/>
          <w:sz w:val="18"/>
          <w:szCs w:val="18"/>
          <w:color w:val="auto"/>
        </w:rPr>
      </w:pPr>
    </w:p>
    <w:p>
      <w:pPr>
        <w:ind w:left="1980" w:right="83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 and</w:t>
      </w:r>
    </w:p>
    <w:p>
      <w:pPr>
        <w:spacing w:after="0" w:line="143"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 Klein and Company’s Operating Partners have experience in:</w:t>
      </w:r>
    </w:p>
    <w:p>
      <w:pPr>
        <w:spacing w:after="0" w:line="185" w:lineRule="exact"/>
        <w:rPr>
          <w:sz w:val="20"/>
          <w:szCs w:val="20"/>
          <w:color w:val="auto"/>
        </w:rPr>
      </w:pPr>
    </w:p>
    <w:p>
      <w:pPr>
        <w:ind w:left="1980" w:right="87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acquiring and integrating companies; and</w:t>
      </w:r>
    </w:p>
    <w:p>
      <w:pPr>
        <w:spacing w:after="0" w:line="198" w:lineRule="exact"/>
        <w:rPr>
          <w:rFonts w:ascii="Arial" w:cs="Arial" w:eastAsia="Arial" w:hAnsi="Arial"/>
          <w:sz w:val="18"/>
          <w:szCs w:val="18"/>
          <w:color w:val="auto"/>
        </w:rPr>
      </w:pPr>
    </w:p>
    <w:p>
      <w:pPr>
        <w:jc w:val="both"/>
        <w:ind w:left="1980" w:right="1179" w:hanging="352"/>
        <w:spacing w:after="0" w:line="263"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138" w:lineRule="exact"/>
        <w:rPr>
          <w:sz w:val="20"/>
          <w:szCs w:val="20"/>
          <w:color w:val="auto"/>
        </w:rPr>
      </w:pPr>
    </w:p>
    <w:p>
      <w:pPr>
        <w:ind w:left="1980" w:right="739" w:hanging="352"/>
        <w:spacing w:after="0" w:line="259"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of Operating Partners. </w:t>
      </w:r>
      <w:r>
        <w:rPr>
          <w:rFonts w:ascii="Arial" w:cs="Arial" w:eastAsia="Arial" w:hAnsi="Arial"/>
          <w:sz w:val="18"/>
          <w:szCs w:val="18"/>
          <w:color w:val="auto"/>
        </w:rPr>
        <w:t>We believe that our ability to leverage the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Operating Partners, who comprise former senior operating executives of S&amp;P500 companies across multiple sectors and industries, will provide us a distinct advantage in being able to source, evaluate and consummate an attractive transaction.</w:t>
      </w:r>
    </w:p>
    <w:p>
      <w:pPr>
        <w:spacing w:after="0" w:line="119" w:lineRule="exact"/>
        <w:rPr>
          <w:rFonts w:ascii="Arial" w:cs="Arial" w:eastAsia="Arial" w:hAnsi="Arial"/>
          <w:sz w:val="18"/>
          <w:szCs w:val="18"/>
          <w:color w:val="auto"/>
        </w:rPr>
      </w:pPr>
    </w:p>
    <w:p>
      <w:pPr>
        <w:ind w:left="1980" w:right="719" w:hanging="352"/>
        <w:spacing w:after="0" w:line="254"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140" w:lineRule="exact"/>
        <w:rPr>
          <w:rFonts w:ascii="Arial" w:cs="Arial" w:eastAsia="Arial" w:hAnsi="Arial"/>
          <w:sz w:val="18"/>
          <w:szCs w:val="18"/>
          <w:color w:val="auto"/>
        </w:rPr>
      </w:pPr>
    </w:p>
    <w:p>
      <w:pPr>
        <w:ind w:left="1980" w:right="739" w:hanging="352"/>
        <w:spacing w:after="0" w:line="263"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Experience. </w:t>
      </w:r>
      <w:r>
        <w:rPr>
          <w:rFonts w:ascii="Arial" w:cs="Arial" w:eastAsia="Arial" w:hAnsi="Arial"/>
          <w:sz w:val="18"/>
          <w:szCs w:val="18"/>
          <w:color w:val="auto"/>
        </w:rPr>
        <w:t>We believe that our management’s track record of identifying and sourcing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positions us well to appropriately evaluate potential business combinations and select one that will be well received by the public markets.</w:t>
      </w:r>
    </w:p>
    <w:p>
      <w:pPr>
        <w:spacing w:after="0" w:line="129" w:lineRule="exact"/>
        <w:rPr>
          <w:rFonts w:ascii="Arial" w:cs="Arial" w:eastAsia="Arial" w:hAnsi="Arial"/>
          <w:sz w:val="18"/>
          <w:szCs w:val="18"/>
          <w:color w:val="auto"/>
        </w:rPr>
      </w:pPr>
    </w:p>
    <w:p>
      <w:pPr>
        <w:ind w:left="1980" w:right="679" w:hanging="352"/>
        <w:spacing w:after="0" w:line="254"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Our management team and sponsor believe that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Criteria</w:t>
      </w:r>
    </w:p>
    <w:p>
      <w:pPr>
        <w:spacing w:after="0" w:line="10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We have developed the following high level, non-exclusive investment criteria that we will use to screen for and evaluate target businesses. We will seek to acquire a business that:</w:t>
      </w:r>
    </w:p>
    <w:p>
      <w:pPr>
        <w:spacing w:after="0" w:line="116" w:lineRule="exact"/>
        <w:rPr>
          <w:sz w:val="20"/>
          <w:szCs w:val="20"/>
          <w:color w:val="auto"/>
        </w:rPr>
      </w:pPr>
    </w:p>
    <w:p>
      <w:pPr>
        <w:ind w:left="1980" w:right="1299" w:hanging="352"/>
        <w:spacing w:after="0" w:line="342" w:lineRule="auto"/>
        <w:tabs>
          <w:tab w:leader="none" w:pos="19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Generates Stable Free Cash-Flow. </w:t>
      </w:r>
      <w:r>
        <w:rPr>
          <w:rFonts w:ascii="Arial" w:cs="Arial" w:eastAsia="Arial" w:hAnsi="Arial"/>
          <w:sz w:val="16"/>
          <w:szCs w:val="16"/>
          <w:color w:val="auto"/>
        </w:rPr>
        <w:t>We will seek to acquire a business that has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or has the near-term potential to generate, strong and sustainable free cash flow.</w:t>
      </w:r>
    </w:p>
    <w:p>
      <w:pPr>
        <w:spacing w:after="0" w:line="56" w:lineRule="exact"/>
        <w:rPr>
          <w:rFonts w:ascii="Arial" w:cs="Arial" w:eastAsia="Arial" w:hAnsi="Arial"/>
          <w:sz w:val="16"/>
          <w:szCs w:val="16"/>
          <w:color w:val="auto"/>
        </w:rPr>
      </w:pPr>
    </w:p>
    <w:p>
      <w:pPr>
        <w:ind w:left="1980" w:right="919" w:hanging="352"/>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129"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do not expect to participate in broadly marketed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but rather will aim to leverage our extensive network to source our business combination.</w:t>
      </w:r>
    </w:p>
    <w:p>
      <w:pPr>
        <w:spacing w:after="0" w:line="129" w:lineRule="exact"/>
        <w:rPr>
          <w:rFonts w:ascii="Arial" w:cs="Arial" w:eastAsia="Arial" w:hAnsi="Arial"/>
          <w:sz w:val="18"/>
          <w:szCs w:val="18"/>
          <w:color w:val="auto"/>
        </w:rPr>
      </w:pPr>
    </w:p>
    <w:p>
      <w:pPr>
        <w:ind w:left="1980" w:right="819" w:hanging="352"/>
        <w:spacing w:after="0" w:line="25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will seek to acquire a business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120" w:lineRule="exact"/>
        <w:rPr>
          <w:rFonts w:ascii="Arial" w:cs="Arial" w:eastAsia="Arial" w:hAnsi="Arial"/>
          <w:sz w:val="18"/>
          <w:szCs w:val="18"/>
          <w:color w:val="auto"/>
        </w:rPr>
      </w:pPr>
    </w:p>
    <w:p>
      <w:pPr>
        <w:ind w:left="1980" w:right="1079" w:hanging="352"/>
        <w:spacing w:after="0" w:line="308" w:lineRule="auto"/>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Has the Potential to Grow Through Further Acquisition Opportunities.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has the potential to grow inorganically through additional acquisitions.</w:t>
      </w:r>
    </w:p>
    <w:p>
      <w:pPr>
        <w:sectPr>
          <w:pgSz w:w="11900" w:h="16838" w:orient="portrait"/>
          <w:cols w:equalWidth="0" w:num="1">
            <w:col w:w="10139"/>
          </w:cols>
          <w:pgMar w:left="320" w:top="131" w:right="1440" w:bottom="1440" w:gutter="0" w:footer="0" w:header="0"/>
        </w:sectPr>
      </w:pP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Acquisition Process</w:t>
      </w:r>
    </w:p>
    <w:p>
      <w:pPr>
        <w:spacing w:after="0" w:line="10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7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8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4"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79"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76" w:lineRule="exact"/>
        <w:rPr>
          <w:sz w:val="20"/>
          <w:szCs w:val="20"/>
          <w:color w:val="auto"/>
        </w:rPr>
      </w:pPr>
    </w:p>
    <w:p>
      <w:pPr>
        <w:ind w:left="1260" w:right="1179" w:firstLine="360"/>
        <w:spacing w:after="0" w:line="274" w:lineRule="auto"/>
        <w:rPr>
          <w:sz w:val="20"/>
          <w:szCs w:val="20"/>
          <w:color w:val="auto"/>
        </w:rPr>
      </w:pPr>
      <w:r>
        <w:rPr>
          <w:rFonts w:ascii="Arial" w:cs="Arial" w:eastAsia="Arial" w:hAnsi="Arial"/>
          <w:sz w:val="17"/>
          <w:szCs w:val="17"/>
          <w:color w:val="auto"/>
        </w:rPr>
        <w:t>In addition, none of the Strategic Partners or Operating Partners or their personnel (other than Mr. August) are officers or directors of our company and therefore owe us no fiduciary duties as such.</w:t>
      </w:r>
    </w:p>
    <w:p>
      <w:pPr>
        <w:ind w:left="1260" w:right="719"/>
        <w:spacing w:after="0" w:line="271" w:lineRule="auto"/>
        <w:rPr>
          <w:sz w:val="20"/>
          <w:szCs w:val="20"/>
          <w:color w:val="auto"/>
        </w:rPr>
      </w:pPr>
      <w:r>
        <w:rPr>
          <w:rFonts w:ascii="Arial" w:cs="Arial" w:eastAsia="Arial" w:hAnsi="Arial"/>
          <w:sz w:val="17"/>
          <w:szCs w:val="17"/>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4" w:lineRule="auto"/>
        <w:rPr>
          <w:sz w:val="20"/>
          <w:szCs w:val="20"/>
          <w:color w:val="auto"/>
        </w:rPr>
      </w:pPr>
      <w:r>
        <w:rPr>
          <w:rFonts w:ascii="Arial" w:cs="Arial" w:eastAsia="Arial" w:hAnsi="Arial"/>
          <w:sz w:val="18"/>
          <w:szCs w:val="18"/>
          <w:color w:val="auto"/>
        </w:rPr>
        <w:t>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7"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9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7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8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acquires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79"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74"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5" w:lineRule="auto"/>
        <w:rPr>
          <w:sz w:val="20"/>
          <w:szCs w:val="20"/>
          <w:color w:val="auto"/>
        </w:rPr>
      </w:pPr>
      <w:r>
        <w:rPr>
          <w:rFonts w:ascii="Arial" w:cs="Arial" w:eastAsia="Arial" w:hAnsi="Arial"/>
          <w:sz w:val="17"/>
          <w:szCs w:val="17"/>
          <w:color w:val="auto"/>
        </w:rPr>
        <w:t>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68"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59" w:firstLine="8"/>
        <w:spacing w:after="0" w:line="265" w:lineRule="auto"/>
        <w:tabs>
          <w:tab w:leader="none" w:pos="1519"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right="103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54"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7"/>
          <w:szCs w:val="17"/>
          <w:color w:val="auto"/>
        </w:rPr>
        <w:t>Our executive offices are located at 640 Fifth Avenue,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10019 and our telephone number is (212) 380-7500. Upon completion of this offering, our corporate website address will be [•].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M. Klein and Company or any of our Strategic and Operating Partners may compete with us for acquisition opportunities that we may target for our initial business combination. If M. Klein and Company or any of our Strategic and Operating Partners decides to pursue any such opportunity or determines in its sole discretion not to offer such opportunity to us, we may be precluded from procuring such opportunities. In addition, investment ideas generated within M. Klein and Company or any of our Strategic and Operating Partners or by persons who may make decisions for us or any of our Strategic and Operating Partners may be suitable for both us and for M. Klein and Company or the relevant Strategic and Operating Partner and may be directed to M. Klein and Company, the relevant Strategic and Operating Partner or other third parties rather than to us. Neither M. Klein and Company nor any of our Strategic and Operating Partners has any fiduciary, contractual or other obligations or duties to our company, including, without limitation, to present us with any opportunity for a potential business combination of which they become aware.</w:t>
      </w:r>
    </w:p>
    <w:p>
      <w:pPr>
        <w:spacing w:after="0" w:line="7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management team, in their other endeavors (including any affiliation they may have with M. Klein and Company or any of our Strategic and Operating Partners), may choose or be required to present potential business combinations or other transactions to M. Klein and Company, the relevant Strategic and Operating Partner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8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M. Klein and Company, any of our Strategic and Operating Partners, our sponsor, officers or directors, nor are we prohibited from doing so with a business that is affiliated with any M. Klein and Company or any of our Strategic and Operating Partners. In the event we seek to complete our initial business combination with a business that is affiliated with M. Klein and Company, any of our Strategic and Operating Partners, our sponsor, officers or directors, we, or a committee of independent and</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7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discussed above and in “Management — Conflicts of Interest,” if any of our officers or directors becomes aware of a business combination opportunity that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above).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Status as a Public Company</w:t>
      </w:r>
    </w:p>
    <w:p>
      <w:pPr>
        <w:spacing w:after="0" w:line="10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target businesses an alternative to the traditional initial public offering through a merger, capital stock exchange, asset acquisition, stock purchase, reorganization or similar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spacing w:after="0" w:line="8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stockholders’ interests. It can offer further benefits by augmenting a company’s profile among potential new customers and vendors and aid in attracting talented employees.</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59" w:firstLine="8"/>
        <w:spacing w:after="0" w:line="265" w:lineRule="auto"/>
        <w:tabs>
          <w:tab w:leader="none" w:pos="15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spacing w:after="0"/>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With funds available for a business combination initially in the amount of $723,750,000 assuming no redemptions and after payment of $26,250,000 of deferred underwriting fees (or $832,312,500 assuming no redemptions and after payment of up to $30,187,500 of deferred underwriting fees if the underwriters’ option to purchase additional units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capital stock,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87"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87"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Members of our management team, M. Klein and Company and our Strategic and Operating Partners are from time to time made aware of potential business opportunities, one or more of which we may desire to pursue, for a business combination, but we have not (nor has anyone on our behalf) engaged in any substantive discussions with a business combination target, with respect to a business combination transaction with us. Please see “— Sourcing of Potential Business Combination Targets” for additional information regarding limitations on our access to investment opportunities sourced by M. Klein and Company and our Strategic and Operating Partners.</w:t>
      </w:r>
    </w:p>
    <w:p>
      <w:pPr>
        <w:spacing w:after="0" w:line="8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We may seek to raise additional funds in connection with the completion of our initial business combination through a private offering of equity securities or debt securities or loans, and we may effectuate our initial business combination using the proceeds of such offerings or loans rather than using the amounts held in the trust account.</w:t>
      </w:r>
    </w:p>
    <w:p>
      <w:pPr>
        <w:spacing w:after="0" w:line="79"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In the case of an initial business combination funded with assets other than the trust account assets, our tender offer documents or proxy materials disclosing the business combination would disclose the terms of the financing and, only if required by applicable law,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108"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The fair market value of the target or targets will be determined by our board of directors based upon one or more standards generally accepted by the financial community, such as discounted cash flow valuation or value of comparable businesses. If our board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76"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In any case, we will only complete an initial business combination in which we own or acquire 50% or more of the outstanding voting securities of the target or otherwise acquire a controlling interest in the target business sufficient for it not to be required to register as an investment company under the Investment Company Act. If we own or acquire less than 100% of the equity interests or assets of a target</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business or businesses, the portion of such business or businesses that are owned or acquired by the post-transaction company is what will be valued for purposes of the 80% of net assets test. There is no basis for investors in this offering to evaluate the possible merits or risks of any target business with which we may ultimately complete our initial business combination.</w:t>
      </w:r>
    </w:p>
    <w:p>
      <w:pPr>
        <w:spacing w:after="0" w:line="7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8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87" w:lineRule="exact"/>
        <w:rPr>
          <w:sz w:val="20"/>
          <w:szCs w:val="20"/>
          <w:color w:val="auto"/>
        </w:rPr>
      </w:pPr>
    </w:p>
    <w:p>
      <w:pPr>
        <w:ind w:left="1260" w:right="939" w:firstLine="360"/>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Lack of business diversification</w:t>
      </w:r>
    </w:p>
    <w:p>
      <w:pPr>
        <w:spacing w:after="0" w:line="10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w:t>
      </w:r>
    </w:p>
    <w:p>
      <w:pPr>
        <w:spacing w:after="0" w:line="6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60" w:lineRule="exact"/>
        <w:rPr>
          <w:sz w:val="20"/>
          <w:szCs w:val="20"/>
          <w:color w:val="auto"/>
        </w:rPr>
      </w:pPr>
    </w:p>
    <w:p>
      <w:pPr>
        <w:jc w:val="both"/>
        <w:ind w:left="1980" w:right="999" w:hanging="352"/>
        <w:spacing w:after="0" w:line="263"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43"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highly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86" w:lineRule="exact"/>
        <w:rPr>
          <w:sz w:val="20"/>
          <w:szCs w:val="20"/>
          <w:color w:val="auto"/>
        </w:rPr>
      </w:pPr>
    </w:p>
    <w:p>
      <w:pPr>
        <w:ind w:left="1260" w:right="1099" w:firstLine="360"/>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applicable law or stock exchange rule, or we may decide to seek stockholder approval for business or other reasons. Presented in the table below is a graphic explanation of the types of initial business combinations we may consider and whether stockholder approval is currently required under Delaware law for each such transaction.</w:t>
      </w:r>
    </w:p>
    <w:p>
      <w:pPr>
        <w:spacing w:after="0" w:line="11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Whether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Stockholder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Approval is</w:t>
            </w:r>
          </w:p>
        </w:tc>
      </w:tr>
      <w:tr>
        <w:trPr>
          <w:trHeight w:val="186"/>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Required</w:t>
            </w:r>
          </w:p>
        </w:tc>
      </w:tr>
      <w:tr>
        <w:trPr>
          <w:trHeight w:val="26"/>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-659765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Under the NYSE’s listing rules, stockholder approval would be required for our initial business combination if, for example:</w:t>
      </w:r>
    </w:p>
    <w:p>
      <w:pPr>
        <w:spacing w:after="0" w:line="130" w:lineRule="exact"/>
        <w:rPr>
          <w:sz w:val="20"/>
          <w:szCs w:val="20"/>
          <w:color w:val="auto"/>
        </w:rPr>
      </w:pPr>
    </w:p>
    <w:p>
      <w:pPr>
        <w:ind w:left="1980" w:right="919" w:hanging="352"/>
        <w:spacing w:after="0" w:line="274"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issue (other than in a public offering for cash) shares of common stock that will either (a) be equal to or in excess of 20% of the number of shares of common stock then outstanding or</w:t>
      </w:r>
    </w:p>
    <w:p>
      <w:pPr>
        <w:ind w:left="1980"/>
        <w:spacing w:after="0"/>
        <w:rPr>
          <w:rFonts w:ascii="Arial" w:cs="Arial" w:eastAsia="Arial" w:hAnsi="Arial"/>
          <w:sz w:val="17"/>
          <w:szCs w:val="17"/>
          <w:color w:val="auto"/>
        </w:rPr>
      </w:pPr>
      <w:r>
        <w:rPr>
          <w:rFonts w:ascii="Arial" w:cs="Arial" w:eastAsia="Arial" w:hAnsi="Arial"/>
          <w:sz w:val="18"/>
          <w:szCs w:val="18"/>
          <w:color w:val="auto"/>
        </w:rPr>
        <w:t>(b) have voting power equal to or in excess of 20% of the voting power then outstanding;</w:t>
      </w:r>
    </w:p>
    <w:p>
      <w:pPr>
        <w:spacing w:after="0" w:line="183" w:lineRule="exact"/>
        <w:rPr>
          <w:rFonts w:ascii="Arial" w:cs="Arial" w:eastAsia="Arial" w:hAnsi="Arial"/>
          <w:sz w:val="17"/>
          <w:szCs w:val="17"/>
          <w:color w:val="auto"/>
        </w:rPr>
      </w:pPr>
    </w:p>
    <w:p>
      <w:pPr>
        <w:ind w:left="1980" w:right="679" w:hanging="352"/>
        <w:spacing w:after="0" w:line="272"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of our directors, officers or substantial security holders (as defined by the NYSE rules) has a 5% or greater interest, directly or indirectly, in the target business or assets to be acquired and if the number of shares of common stock to be issued, or if the number of shares of common stock into which the securities may be convertible or exercisable, exceeds either (a) 1% of the number of shares of common stock or 1% of the voting power outstanding before the issuance in the case of any of our directors and officers or (b) 5% of the number of shares of common stock or 5% of the voting power outstanding before the issuance in the case of any substantial securityholders; or</w:t>
      </w:r>
    </w:p>
    <w:p>
      <w:pPr>
        <w:spacing w:after="0" w:line="136" w:lineRule="exact"/>
        <w:rPr>
          <w:rFonts w:ascii="Arial" w:cs="Arial" w:eastAsia="Arial" w:hAnsi="Arial"/>
          <w:sz w:val="17"/>
          <w:szCs w:val="17"/>
          <w:color w:val="auto"/>
        </w:rPr>
      </w:pPr>
    </w:p>
    <w:p>
      <w:pPr>
        <w:ind w:left="1980" w:hanging="352"/>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or potential issuance will result in our undergoing a change of control.</w:t>
      </w:r>
    </w:p>
    <w:p>
      <w:pPr>
        <w:spacing w:after="0" w:line="11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decision as to whether we will seek stockholder approval of a proposed business combination in those instances in which stockholder approval is not required by law will be made by us, solely in our discretion, and will be based on business and legal reasons, which include a variety of factors, including, but not limited to:</w:t>
      </w:r>
    </w:p>
    <w:p>
      <w:pPr>
        <w:spacing w:after="0" w:line="146" w:lineRule="exact"/>
        <w:rPr>
          <w:sz w:val="20"/>
          <w:szCs w:val="20"/>
          <w:color w:val="auto"/>
        </w:rPr>
      </w:pPr>
    </w:p>
    <w:p>
      <w:pPr>
        <w:ind w:left="1980" w:right="859" w:hanging="352"/>
        <w:spacing w:after="0" w:line="259"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stockholder approval would require additional time and there is either not enough time to seek stockholder approval or doing so would place the company at a disadvantage in the transaction or result in other additional burdens on the company;</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expected cost of holding a stockholder vote;</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 that the stockholders would fail to approve the proposed business combination;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84"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stockholders.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Arial" w:cs="Arial" w:eastAsia="Arial" w:hAnsi="Arial"/>
          <w:sz w:val="17"/>
          <w:szCs w:val="17"/>
          <w:color w:val="auto"/>
        </w:rPr>
        <w:t>In the event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There is no limit on the number of shares or warrants such persons may purchase. However, they have no current commitments, plans or intentions to engage in such transactions and have not formulated any terms or conditions for any such transactions. 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Prior to the consummation of this offering, we will adopt an insider trading policy which will require insiders to</w:t>
      </w:r>
    </w:p>
    <w:p>
      <w:pPr>
        <w:spacing w:after="0" w:line="3" w:lineRule="exact"/>
        <w:rPr>
          <w:sz w:val="20"/>
          <w:szCs w:val="20"/>
          <w:color w:val="auto"/>
        </w:rPr>
      </w:pPr>
    </w:p>
    <w:p>
      <w:pPr>
        <w:ind w:left="1260" w:right="699" w:firstLine="8"/>
        <w:spacing w:after="0" w:line="252" w:lineRule="auto"/>
        <w:tabs>
          <w:tab w:leader="none" w:pos="1529"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refrain from purchasing securities when they are in possession of any material non-public information and (2) 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8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In the event that our sponsor, directors, officers, advisors or any of their respective affiliates purchase public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88"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84"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w:t>
      </w:r>
    </w:p>
    <w:p>
      <w:pPr>
        <w:spacing w:after="0" w:line="76"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86" w:lineRule="auto"/>
        <w:rPr>
          <w:sz w:val="20"/>
          <w:szCs w:val="20"/>
          <w:color w:val="auto"/>
        </w:rPr>
      </w:pPr>
      <w:r>
        <w:rPr>
          <w:rFonts w:ascii="Arial" w:cs="Arial" w:eastAsia="Arial" w:hAnsi="Arial"/>
          <w:sz w:val="17"/>
          <w:szCs w:val="17"/>
          <w:color w:val="auto"/>
        </w:rPr>
        <w:t>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57"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Any purchases by our sponsor, officers, directors and/or any of their respective affiliates who are affiliated purchasers under Rule 10b-18 under the Exchange Act will only be made to the extent such purchases are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respective affiliates will be restricted from making purchases of common stock if such purchases would violate Section 9(a)(2) or Rule 10b-5 of the Exchange Act.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Manner of conducting redemptions</w:t>
      </w:r>
    </w:p>
    <w:p>
      <w:pPr>
        <w:spacing w:after="0" w:line="108" w:lineRule="exact"/>
        <w:rPr>
          <w:sz w:val="20"/>
          <w:szCs w:val="20"/>
          <w:color w:val="auto"/>
        </w:rPr>
      </w:pPr>
    </w:p>
    <w:p>
      <w:pPr>
        <w:jc w:val="both"/>
        <w:ind w:left="1260" w:right="799" w:firstLine="360"/>
        <w:spacing w:after="0" w:line="271"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(1) in connection with a stockholder meeting called to approve the business combination; or (2) by means of a tender offer.</w:t>
      </w:r>
    </w:p>
    <w:p>
      <w:pPr>
        <w:ind w:left="1260" w:right="739"/>
        <w:spacing w:after="0" w:line="251" w:lineRule="auto"/>
        <w:rPr>
          <w:sz w:val="20"/>
          <w:szCs w:val="20"/>
          <w:color w:val="auto"/>
        </w:rPr>
      </w:pPr>
      <w:r>
        <w:rPr>
          <w:rFonts w:ascii="Arial" w:cs="Arial" w:eastAsia="Arial" w:hAnsi="Arial"/>
          <w:sz w:val="18"/>
          <w:szCs w:val="18"/>
          <w:color w:val="auto"/>
        </w:rPr>
        <w:t>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If we structure a business combination transaction with a target company in a manner that requires stockholder approval, we will not have discretion as to whether to seek a stockholder vote to approve the proposed business combination.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88" w:lineRule="exact"/>
        <w:rPr>
          <w:sz w:val="20"/>
          <w:szCs w:val="20"/>
          <w:color w:val="auto"/>
        </w:rPr>
      </w:pPr>
    </w:p>
    <w:p>
      <w:pPr>
        <w:ind w:left="1260" w:right="999" w:firstLine="360"/>
        <w:spacing w:after="0" w:line="308" w:lineRule="auto"/>
        <w:rPr>
          <w:sz w:val="20"/>
          <w:szCs w:val="20"/>
          <w:color w:val="auto"/>
        </w:rPr>
      </w:pPr>
      <w:r>
        <w:rPr>
          <w:rFonts w:ascii="Arial" w:cs="Arial" w:eastAsia="Arial" w:hAnsi="Arial"/>
          <w:sz w:val="17"/>
          <w:szCs w:val="17"/>
          <w:color w:val="auto"/>
        </w:rPr>
        <w:t>If a stockholder vote is not required and we do not decide to hold a stockholder vote for business or other reasons, we will, pursuant to our amended and restated certificate of incorporation:</w:t>
      </w:r>
    </w:p>
    <w:p>
      <w:pPr>
        <w:spacing w:after="0" w:line="25" w:lineRule="exact"/>
        <w:rPr>
          <w:sz w:val="20"/>
          <w:szCs w:val="20"/>
          <w:color w:val="auto"/>
        </w:rPr>
      </w:pPr>
    </w:p>
    <w:p>
      <w:pPr>
        <w:ind w:left="1980" w:right="83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35"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79"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such initial business combination.</w:t>
      </w:r>
    </w:p>
    <w:p>
      <w:pPr>
        <w:spacing w:after="0" w:line="77"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If, however, stockholder approval of the transaction is required by applicable law or stock exchange listing requirement, or we decide to obtain stockholder approval for business or other reasons, we will, pursuant to our amended and restated certificate of incorporation:</w:t>
      </w:r>
    </w:p>
    <w:p>
      <w:pPr>
        <w:spacing w:after="0" w:line="130" w:lineRule="exact"/>
        <w:rPr>
          <w:sz w:val="20"/>
          <w:szCs w:val="20"/>
          <w:color w:val="auto"/>
        </w:rPr>
      </w:pPr>
    </w:p>
    <w:p>
      <w:pPr>
        <w:ind w:left="1980" w:right="799" w:hanging="352"/>
        <w:spacing w:after="0" w:line="26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We expect that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70"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7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If we seek stockholder approval, unless otherwise required by applicable law, regulation or stock exchange rules,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These quorum and voting thresholds and agreements, may make it more likely that we will consummate our initial business combination. Each public stockholder may elect to redeem its public shares without voting, and if they do vote, irrespective of whether they vote for or against the proposed transaction. In addition, our sponsor, officers and directors have entered into a letter agreement with us, pursuant to which they have agreed to waive their redemption rights with respect to any founder shares and any public shares held by them in connection with the completion of a business combination.</w:t>
      </w:r>
    </w:p>
    <w:p>
      <w:pPr>
        <w:spacing w:after="0" w:line="7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w:t>
      </w:r>
    </w:p>
    <w:p>
      <w:pPr>
        <w:spacing w:after="0" w:line="1" w:lineRule="exact"/>
        <w:rPr>
          <w:sz w:val="20"/>
          <w:szCs w:val="20"/>
          <w:color w:val="auto"/>
        </w:rPr>
      </w:pPr>
    </w:p>
    <w:p>
      <w:pPr>
        <w:ind w:left="5280" w:right="1759" w:hanging="4012"/>
        <w:spacing w:after="0" w:line="573" w:lineRule="auto"/>
        <w:tabs>
          <w:tab w:leader="none" w:pos="15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to be transferred to the target for working capital or other general corporate purposes;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73" w:lineRule="auto"/>
        <w:rPr>
          <w:sz w:val="20"/>
          <w:szCs w:val="20"/>
          <w:color w:val="auto"/>
        </w:rPr>
      </w:pPr>
      <w:r>
        <w:rPr>
          <w:rFonts w:ascii="Arial" w:cs="Arial" w:eastAsia="Arial" w:hAnsi="Arial"/>
          <w:sz w:val="17"/>
          <w:szCs w:val="17"/>
          <w:color w:val="auto"/>
        </w:rPr>
        <w:t>or (3) the retention of cash to satisfy other conditions in accordance with the terms of the proposed business combination.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Class A common stock submitted for redemption will be returned to the holders thereof.</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Limitation on redemption upon completion of our initial business combination if we seek stockholder approval</w:t>
      </w:r>
    </w:p>
    <w:p>
      <w:pPr>
        <w:spacing w:after="0" w:line="142"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We believe this restriction will discourage stockholders from accumulating large blocks of shares, and subsequent attempts by such holders to use their ability to exercise their redemption rights against a proposed business combination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affiliates at a premium to the then-current market price or on other undesirable terms. By limiting our stockholders’ ability to redeem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the business combination in the event we distribute proxy materials or to deliver their shares to the transfer agent electronically using The Depository Trust Company’s DWAC (Deposit/Withdrawal At Custodian) System, rather than simply voting against the initial business combination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 Accordingly, a public stockholder would have from the time we send out our tender offer materials until the close of the tender offer period, or up to two business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stockholder vote,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Given the relatively short exercise period, it is advisable for stockholders to use electronic delivery of their public shares.</w:t>
      </w:r>
    </w:p>
    <w:p>
      <w:pPr>
        <w:spacing w:after="0" w:line="79"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There is a nominal cost associated with the above-referenced tendering process and the act of certificating the shares or delivering them through The Depository Trust Company’s DWAC (Deposit/ Withdrawal At Custodian) System. The transfer agent will typically charge the tendering broker $80.00 and</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79"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stockholder to arrange for him or her to deliver his or her certificate to verify ownership. As a result, the stockholder then had an “option window” after the completion of the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8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6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79"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the end of the completion window.</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amended and restated certificate of incorporation provides that we will have only the time of the completion window to complete our initial business combination. If we are unable to complete our initial business combination within such period,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w:t>
      </w:r>
    </w:p>
    <w:p>
      <w:pPr>
        <w:spacing w:after="0" w:line="8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3" w:lineRule="auto"/>
        <w:rPr>
          <w:sz w:val="20"/>
          <w:szCs w:val="20"/>
          <w:color w:val="auto"/>
        </w:rPr>
      </w:pPr>
      <w:r>
        <w:rPr>
          <w:rFonts w:ascii="Arial" w:cs="Arial" w:eastAsia="Arial" w:hAnsi="Arial"/>
          <w:sz w:val="18"/>
          <w:szCs w:val="18"/>
          <w:color w:val="auto"/>
        </w:rPr>
        <w:t>window. However, if our sponsor or any of our officers and directors acquires public shares after this offering, it will be entitled to liquidating distributions from the trust account with respect to such public shares if we fail to complete our initial business combination within the completion window.</w:t>
      </w:r>
    </w:p>
    <w:p>
      <w:pPr>
        <w:spacing w:after="0" w:line="76"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 share price, payable in cash, equal to the aggregate amount then on deposit in the trust account, including interest (net of permitted withdrawals), divided by the number of then outstanding public shares. However, we may not redeem our public shares in an amount that would cause our net tangible assets, after payment of the deferred underwriting commissions, to be less than $5,000,001 (so that we do not then become subject to the SEC’s “penny stock” rules).</w:t>
      </w:r>
    </w:p>
    <w:p>
      <w:pPr>
        <w:spacing w:after="0" w:line="84"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70"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 share redemption amount received by stockholders upon our dissolution would be $10.00. The proceeds deposited in the trust account could, however, become subject to the claims of our creditors which would have higher priority than the claims of our public stockholders. We cannot assure you that the actual per share redemption amount received by stockholders will not be substantially less than $10.00. Please see “Risk Factors — If third parties bring claims against us, the proceeds held in the trust account could be reduced and the per share redemption amount received by stockholders may be less than $10.00 per share” and other risk factors described above.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76"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 None of our other officers will indemnify us for claims by third parties including, without limitation, claims by vendors and prospective target businesses.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the proceeds in the trust account are reduced below: (1) $10.00 per public share; or</w:t>
      </w:r>
    </w:p>
    <w:p>
      <w:pPr>
        <w:spacing w:after="0" w:line="35" w:lineRule="exact"/>
        <w:rPr>
          <w:sz w:val="20"/>
          <w:szCs w:val="20"/>
          <w:color w:val="auto"/>
        </w:rPr>
      </w:pPr>
    </w:p>
    <w:p>
      <w:pPr>
        <w:ind w:left="1260" w:right="699" w:firstLine="8"/>
        <w:spacing w:after="0" w:line="267" w:lineRule="auto"/>
        <w:tabs>
          <w:tab w:leader="none" w:pos="152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actual amount per public share held in the trust account as of the date of the liquidation of the trust account, if less than $10.00 per share due to reductions in the value of the trust assets, in each case net of permitted withdrawals,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Accordingly, we cannot assure you that due to claims of creditors the actual value of the per share redemption price will not be substantially less than $10.00 per share. Please see “Risk Factors — If third parties bring claims against us, the proceeds held in the trust account could be reduced and the per share redemption amount received by stockholders may be less than $10.00 per share” and other risk factors described above.</w:t>
      </w:r>
    </w:p>
    <w:p>
      <w:pPr>
        <w:spacing w:after="0" w:line="7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In the event that we liquidate and it is subsequently determined that the reserve for claims and liabilities is insufficient, stockholders who received funds from our trust account could be liable for claims made by creditors.</w:t>
      </w:r>
    </w:p>
    <w:p>
      <w:pPr>
        <w:spacing w:after="0" w:line="7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w:t>
      </w: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7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w:t>
      </w:r>
    </w:p>
    <w:p>
      <w:pPr>
        <w:spacing w:after="0" w:line="3"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three years, as in the case of a liquidating distribution. If we are unable to complete our initial business combination within the completion window,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w:t>
      </w:r>
    </w:p>
    <w:p>
      <w:pPr>
        <w:spacing w:after="0" w:line="77"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As a result of this obligation, the claims that could be made against us are significantly limited and the likelihood that any claim that would result in any liability extending to the trust account is remote.</w:t>
      </w:r>
    </w:p>
    <w:p>
      <w:pPr>
        <w:spacing w:after="0" w:line="3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Further, our sponsor may be liable only to the extent necessary to ensure that the amounts in the trust account are not reduced below: (1) $10.00 per public share; or (2) the actual amount per public share held in the trust account as of the date of the liquidation of the trust account, if less than $10.00 per share due to reductions in value of the trust assets, in each case net of permitted withdrawals and will not be liable as to any claims under our indemnity of the underwriters of this offering against certain liabilities, including liabilities under the Securities Act.</w:t>
      </w:r>
    </w:p>
    <w:p>
      <w:pPr>
        <w:spacing w:after="0" w:line="8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prior to addressing the claims of creditors. We cannot assure you that claims will not be brought against us for these reasons. Please see “Risk Factors — 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public stockholders will be entitled to receive funds from the trust account only in the event of the redemption of our public shares if we do not complete our initial business combination within the completion window or if they redeem their respective shares for cash upon the completion of the initial business combination. In no other circumstances will a stockholder have any right or interest of any kind to or in the trust account. In the event we seek stockholder approval in connection with our initial business combination, a stockholder’s voting in connection with our initial business combination alone will not result in a stockholder’s redeeming its shares to us for an applicable pro rata share of the trust account. Such stockholder must have also exercised its redemption rights described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consummation of our initial business combination. If we seek to amend any provisions of our amended and restated certificate of incorporation to modify the substance or timing of our obligation to provide for the redemption of our public shares in complete our initial business combination within the completion window or with respect to any other material provisions relating to the rights of holders of our Class A Common Stock or pre-initial business combination business activity, we will provide public stockholders with the opportunity to redeem their public shares in connection with any such vote. Our initial stockholders, officers and directors have agreed to waive any redemption rights with respect to any founder shares and any public shares held by them in connection with the completion of our initial business combination. Specifically, our amended and restated certificate of incorporation will provide, among other things, that:</w:t>
      </w:r>
    </w:p>
    <w:p>
      <w:pPr>
        <w:spacing w:after="0" w:line="74" w:lineRule="exact"/>
        <w:rPr>
          <w:sz w:val="20"/>
          <w:szCs w:val="20"/>
          <w:color w:val="auto"/>
        </w:rPr>
      </w:pPr>
    </w:p>
    <w:p>
      <w:pPr>
        <w:ind w:left="1980" w:right="779" w:hanging="352"/>
        <w:spacing w:after="0" w:line="269"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stockholders may seek to redeem their shares, regardless of whether they vote for or against, or abstain from voting on, the proposed business combination, into their pro rata share of the aggregate amount on deposit in the trust account as of two business days prior to the consummation of our initial business combination, including interest (net of permitted withdrawals); or (2) provide our public stockholders with the opportunity to tender their shares to us by means of a tender offer (and thereby avoid the need for a stockholder vote) for an amount equal to their pro rata share of the aggregate amount on deposit in the trust account as of two business days prior to the consummation of our initial business combination, including interest (net of permitted withdrawals), in each case subject to the limitations described herein;</w:t>
      </w:r>
    </w:p>
    <w:p>
      <w:pPr>
        <w:spacing w:after="0" w:line="73" w:lineRule="exact"/>
        <w:rPr>
          <w:rFonts w:ascii="Arial" w:cs="Arial" w:eastAsia="Arial" w:hAnsi="Arial"/>
          <w:sz w:val="17"/>
          <w:szCs w:val="17"/>
          <w:color w:val="auto"/>
        </w:rPr>
      </w:pPr>
    </w:p>
    <w:p>
      <w:pPr>
        <w:jc w:val="both"/>
        <w:ind w:left="1980" w:right="679" w:hanging="352"/>
        <w:spacing w:after="0" w:line="259"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upon such consummation and, solely if we seek stockholder approval, a majority of the outstanding shares of common stock voted are voted in favor of the business combination at a duly held stockholders meeting;</w:t>
      </w:r>
    </w:p>
    <w:p>
      <w:pPr>
        <w:spacing w:after="0" w:line="78"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the completion window, then our existence will terminate and we will distribute all amounts in the trust account; and</w:t>
      </w:r>
    </w:p>
    <w:p>
      <w:pPr>
        <w:spacing w:after="0" w:line="62"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76"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These provisions cannot be amended without the approval of holders of 65% of our common stock. In the event we seek stockholder approval in connection with our initial business combination, our amended and restated certificate of incorporation will provide that, unless otherwise required by applicable law or stock exchange rules, we may consummate our initial business combination only if approved by a majority of the shares of common stock voted by our stockholders at a duly held stockholders meeting.</w:t>
      </w:r>
    </w:p>
    <w:p>
      <w:pPr>
        <w:sectPr>
          <w:pgSz w:w="11900" w:h="16838" w:orient="portrait"/>
          <w:cols w:equalWidth="0" w:num="1">
            <w:col w:w="10139"/>
          </w:cols>
          <w:pgMar w:left="320" w:top="131" w:right="1440" w:bottom="1440" w:gutter="0" w:footer="0" w:header="0"/>
        </w:sectPr>
      </w:pP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739"/>
        <w:spacing w:after="0" w:line="250"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7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pacing w:after="0" w:line="108" w:lineRule="exact"/>
        <w:rPr>
          <w:sz w:val="20"/>
          <w:szCs w:val="20"/>
          <w:color w:val="auto"/>
        </w:rPr>
      </w:pPr>
    </w:p>
    <w:p>
      <w:pPr>
        <w:ind w:left="2800"/>
        <w:spacing w:after="0"/>
        <w:tabs>
          <w:tab w:leader="none" w:pos="5140" w:val="left"/>
          <w:tab w:leader="none" w:pos="7300" w:val="left"/>
        </w:tabs>
        <w:rPr>
          <w:sz w:val="20"/>
          <w:szCs w:val="20"/>
          <w:color w:val="auto"/>
        </w:rPr>
      </w:pPr>
      <w:r>
        <w:rPr>
          <w:rFonts w:ascii="Arial" w:cs="Arial" w:eastAsia="Arial" w:hAnsi="Arial"/>
          <w:sz w:val="14"/>
          <w:szCs w:val="14"/>
          <w:b w:val="1"/>
          <w:bCs w:val="1"/>
          <w:color w:val="auto"/>
        </w:rPr>
        <w:t>Redemptions in Connection with</w:t>
      </w:r>
      <w:r>
        <w:rPr>
          <w:sz w:val="20"/>
          <w:szCs w:val="20"/>
          <w:color w:val="auto"/>
        </w:rPr>
        <w:tab/>
      </w:r>
      <w:r>
        <w:rPr>
          <w:rFonts w:ascii="Arial" w:cs="Arial" w:eastAsia="Arial" w:hAnsi="Arial"/>
          <w:sz w:val="14"/>
          <w:szCs w:val="14"/>
          <w:b w:val="1"/>
          <w:bCs w:val="1"/>
          <w:color w:val="auto"/>
        </w:rPr>
        <w:t>Other Permitted Purchases of</w:t>
      </w:r>
      <w:r>
        <w:rPr>
          <w:sz w:val="20"/>
          <w:szCs w:val="20"/>
          <w:color w:val="auto"/>
        </w:rPr>
        <w:tab/>
      </w:r>
      <w:r>
        <w:rPr>
          <w:rFonts w:ascii="Arial" w:cs="Arial" w:eastAsia="Arial" w:hAnsi="Arial"/>
          <w:sz w:val="12"/>
          <w:szCs w:val="12"/>
          <w:b w:val="1"/>
          <w:bCs w:val="1"/>
          <w:color w:val="auto"/>
        </w:rPr>
        <w:t>Redemptions if we fail to Complete</w:t>
      </w:r>
    </w:p>
    <w:p>
      <w:pPr>
        <w:spacing w:after="0" w:line="17" w:lineRule="exact"/>
        <w:rPr>
          <w:sz w:val="20"/>
          <w:szCs w:val="20"/>
          <w:color w:val="auto"/>
        </w:rPr>
      </w:pPr>
    </w:p>
    <w:p>
      <w:pPr>
        <w:ind w:left="2800"/>
        <w:spacing w:after="0"/>
        <w:tabs>
          <w:tab w:leader="none" w:pos="5140" w:val="left"/>
          <w:tab w:leader="none" w:pos="7400" w:val="left"/>
        </w:tabs>
        <w:rPr>
          <w:sz w:val="20"/>
          <w:szCs w:val="20"/>
          <w:color w:val="auto"/>
        </w:rPr>
      </w:pPr>
      <w:r>
        <w:rPr>
          <w:rFonts w:ascii="Arial" w:cs="Arial" w:eastAsia="Arial" w:hAnsi="Arial"/>
          <w:sz w:val="14"/>
          <w:szCs w:val="14"/>
          <w:b w:val="1"/>
          <w:bCs w:val="1"/>
          <w:color w:val="auto"/>
        </w:rPr>
        <w:t>our Initial Business Combination</w:t>
      </w:r>
      <w:r>
        <w:rPr>
          <w:sz w:val="20"/>
          <w:szCs w:val="20"/>
          <w:color w:val="auto"/>
        </w:rPr>
        <w:tab/>
      </w:r>
      <w:r>
        <w:rPr>
          <w:rFonts w:ascii="Arial" w:cs="Arial" w:eastAsia="Arial" w:hAnsi="Arial"/>
          <w:sz w:val="14"/>
          <w:szCs w:val="14"/>
          <w:b w:val="1"/>
          <w:bCs w:val="1"/>
          <w:color w:val="auto"/>
        </w:rPr>
        <w:t>Public Shares by our Affiliates</w:t>
      </w:r>
      <w:r>
        <w:rPr>
          <w:sz w:val="20"/>
          <w:szCs w:val="20"/>
          <w:color w:val="auto"/>
        </w:rPr>
        <w:tab/>
      </w:r>
      <w:r>
        <w:rPr>
          <w:rFonts w:ascii="Arial" w:cs="Arial" w:eastAsia="Arial" w:hAnsi="Arial"/>
          <w:sz w:val="12"/>
          <w:szCs w:val="12"/>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22225</wp:posOffset>
            </wp:positionV>
            <wp:extent cx="42519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70" w:lineRule="exact"/>
        <w:rPr>
          <w:sz w:val="20"/>
          <w:szCs w:val="20"/>
          <w:color w:val="auto"/>
        </w:rPr>
      </w:pPr>
    </w:p>
    <w:p>
      <w:pPr>
        <w:ind w:left="1260"/>
        <w:spacing w:after="0" w:line="246" w:lineRule="auto"/>
        <w:rPr>
          <w:sz w:val="20"/>
          <w:szCs w:val="20"/>
          <w:color w:val="auto"/>
        </w:rPr>
      </w:pPr>
      <w:r>
        <w:rPr>
          <w:rFonts w:ascii="Arial" w:cs="Arial" w:eastAsia="Arial" w:hAnsi="Arial"/>
          <w:sz w:val="18"/>
          <w:szCs w:val="18"/>
          <w:b w:val="1"/>
          <w:bCs w:val="1"/>
          <w:color w:val="auto"/>
        </w:rPr>
        <w:t xml:space="preserve">Calculation of </w:t>
      </w:r>
      <w:r>
        <w:rPr>
          <w:rFonts w:ascii="Arial" w:cs="Arial" w:eastAsia="Arial" w:hAnsi="Arial"/>
          <w:sz w:val="18"/>
          <w:szCs w:val="18"/>
          <w:color w:val="auto"/>
        </w:rPr>
        <w:t>Redemptions at the time of</w:t>
      </w:r>
      <w:r>
        <w:rPr>
          <w:rFonts w:ascii="Arial" w:cs="Arial" w:eastAsia="Arial" w:hAnsi="Arial"/>
          <w:sz w:val="18"/>
          <w:szCs w:val="18"/>
          <w:b w:val="1"/>
          <w:bCs w:val="1"/>
          <w:color w:val="auto"/>
        </w:rPr>
        <w:t xml:space="preserve"> redemption price </w:t>
      </w:r>
      <w:r>
        <w:rPr>
          <w:rFonts w:ascii="Arial" w:cs="Arial" w:eastAsia="Arial" w:hAnsi="Arial"/>
          <w:sz w:val="18"/>
          <w:szCs w:val="18"/>
          <w:color w:val="auto"/>
        </w:rPr>
        <w:t>our initial business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combination may be made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pursuant to a tender offer</w:t>
      </w:r>
    </w:p>
    <w:p>
      <w:pPr>
        <w:ind w:left="2760"/>
        <w:spacing w:after="0" w:line="234" w:lineRule="auto"/>
        <w:rPr>
          <w:sz w:val="20"/>
          <w:szCs w:val="20"/>
          <w:color w:val="auto"/>
        </w:rPr>
      </w:pPr>
      <w:r>
        <w:rPr>
          <w:rFonts w:ascii="Arial" w:cs="Arial" w:eastAsia="Arial" w:hAnsi="Arial"/>
          <w:sz w:val="18"/>
          <w:szCs w:val="18"/>
          <w:color w:val="auto"/>
        </w:rPr>
        <w:t>or in connection with a</w:t>
      </w:r>
    </w:p>
    <w:p>
      <w:pPr>
        <w:ind w:left="2760"/>
        <w:spacing w:after="0" w:line="235" w:lineRule="auto"/>
        <w:rPr>
          <w:sz w:val="20"/>
          <w:szCs w:val="20"/>
          <w:color w:val="auto"/>
        </w:rPr>
      </w:pPr>
      <w:r>
        <w:rPr>
          <w:rFonts w:ascii="Arial" w:cs="Arial" w:eastAsia="Arial" w:hAnsi="Arial"/>
          <w:sz w:val="18"/>
          <w:szCs w:val="18"/>
          <w:color w:val="auto"/>
        </w:rPr>
        <w:t>stockholder vote. The</w:t>
      </w:r>
    </w:p>
    <w:p>
      <w:pPr>
        <w:ind w:left="2760"/>
        <w:spacing w:after="0" w:line="235" w:lineRule="auto"/>
        <w:rPr>
          <w:sz w:val="20"/>
          <w:szCs w:val="20"/>
          <w:color w:val="auto"/>
        </w:rPr>
      </w:pPr>
      <w:r>
        <w:rPr>
          <w:rFonts w:ascii="Arial" w:cs="Arial" w:eastAsia="Arial" w:hAnsi="Arial"/>
          <w:sz w:val="18"/>
          <w:szCs w:val="18"/>
          <w:color w:val="auto"/>
        </w:rPr>
        <w:t>redemption price will be</w:t>
      </w:r>
    </w:p>
    <w:p>
      <w:pPr>
        <w:ind w:left="2760"/>
        <w:spacing w:after="0" w:line="235" w:lineRule="auto"/>
        <w:rPr>
          <w:sz w:val="20"/>
          <w:szCs w:val="20"/>
          <w:color w:val="auto"/>
        </w:rPr>
      </w:pPr>
      <w:r>
        <w:rPr>
          <w:rFonts w:ascii="Arial" w:cs="Arial" w:eastAsia="Arial" w:hAnsi="Arial"/>
          <w:sz w:val="18"/>
          <w:szCs w:val="18"/>
          <w:color w:val="auto"/>
        </w:rPr>
        <w:t>the same whether we</w:t>
      </w:r>
    </w:p>
    <w:p>
      <w:pPr>
        <w:ind w:left="2760"/>
        <w:spacing w:after="0" w:line="235" w:lineRule="auto"/>
        <w:rPr>
          <w:sz w:val="20"/>
          <w:szCs w:val="20"/>
          <w:color w:val="auto"/>
        </w:rPr>
      </w:pPr>
      <w:r>
        <w:rPr>
          <w:rFonts w:ascii="Arial" w:cs="Arial" w:eastAsia="Arial" w:hAnsi="Arial"/>
          <w:sz w:val="18"/>
          <w:szCs w:val="18"/>
          <w:color w:val="auto"/>
        </w:rPr>
        <w:t>conduct redemptions</w:t>
      </w:r>
    </w:p>
    <w:p>
      <w:pPr>
        <w:ind w:left="2760"/>
        <w:spacing w:after="0" w:line="234" w:lineRule="auto"/>
        <w:rPr>
          <w:sz w:val="20"/>
          <w:szCs w:val="20"/>
          <w:color w:val="auto"/>
        </w:rPr>
      </w:pPr>
      <w:r>
        <w:rPr>
          <w:rFonts w:ascii="Arial" w:cs="Arial" w:eastAsia="Arial" w:hAnsi="Arial"/>
          <w:sz w:val="18"/>
          <w:szCs w:val="18"/>
          <w:color w:val="auto"/>
        </w:rPr>
        <w:t>pursuant to a tender offer</w:t>
      </w:r>
    </w:p>
    <w:p>
      <w:pPr>
        <w:ind w:left="2760"/>
        <w:spacing w:after="0" w:line="235" w:lineRule="auto"/>
        <w:rPr>
          <w:sz w:val="20"/>
          <w:szCs w:val="20"/>
          <w:color w:val="auto"/>
        </w:rPr>
      </w:pPr>
      <w:r>
        <w:rPr>
          <w:rFonts w:ascii="Arial" w:cs="Arial" w:eastAsia="Arial" w:hAnsi="Arial"/>
          <w:sz w:val="18"/>
          <w:szCs w:val="18"/>
          <w:color w:val="auto"/>
        </w:rPr>
        <w:t>or in connection with a</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stockholder vote. In either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case, our public</w:t>
      </w:r>
    </w:p>
    <w:p>
      <w:pPr>
        <w:ind w:left="2760"/>
        <w:spacing w:after="0"/>
        <w:rPr>
          <w:sz w:val="20"/>
          <w:szCs w:val="20"/>
          <w:color w:val="auto"/>
        </w:rPr>
      </w:pPr>
      <w:r>
        <w:rPr>
          <w:rFonts w:ascii="Arial" w:cs="Arial" w:eastAsia="Arial" w:hAnsi="Arial"/>
          <w:sz w:val="17"/>
          <w:szCs w:val="17"/>
          <w:color w:val="auto"/>
        </w:rPr>
        <w:t>stockholders may redeem</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their public shares for cash</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equal to the aggregate</w:t>
      </w:r>
    </w:p>
    <w:p>
      <w:pPr>
        <w:ind w:left="2760"/>
        <w:spacing w:after="0"/>
        <w:rPr>
          <w:sz w:val="20"/>
          <w:szCs w:val="20"/>
          <w:color w:val="auto"/>
        </w:rPr>
      </w:pPr>
      <w:r>
        <w:rPr>
          <w:rFonts w:ascii="Arial" w:cs="Arial" w:eastAsia="Arial" w:hAnsi="Arial"/>
          <w:sz w:val="17"/>
          <w:szCs w:val="17"/>
          <w:color w:val="auto"/>
        </w:rPr>
        <w:t>amount then on deposit in</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trust account as of two</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business days prior to the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consummation of the</w:t>
      </w:r>
    </w:p>
    <w:p>
      <w:pPr>
        <w:ind w:left="2760"/>
        <w:spacing w:after="0" w:line="234" w:lineRule="auto"/>
        <w:rPr>
          <w:sz w:val="20"/>
          <w:szCs w:val="20"/>
          <w:color w:val="auto"/>
        </w:rPr>
      </w:pPr>
      <w:r>
        <w:rPr>
          <w:rFonts w:ascii="Arial" w:cs="Arial" w:eastAsia="Arial" w:hAnsi="Arial"/>
          <w:sz w:val="18"/>
          <w:szCs w:val="18"/>
          <w:color w:val="auto"/>
        </w:rPr>
        <w:t>initial business</w:t>
      </w:r>
    </w:p>
    <w:p>
      <w:pPr>
        <w:ind w:left="2760"/>
        <w:spacing w:after="0" w:line="235" w:lineRule="auto"/>
        <w:rPr>
          <w:sz w:val="20"/>
          <w:szCs w:val="20"/>
          <w:color w:val="auto"/>
        </w:rPr>
      </w:pPr>
      <w:r>
        <w:rPr>
          <w:rFonts w:ascii="Arial" w:cs="Arial" w:eastAsia="Arial" w:hAnsi="Arial"/>
          <w:sz w:val="18"/>
          <w:szCs w:val="18"/>
          <w:color w:val="auto"/>
        </w:rPr>
        <w:t>combination (which is</w:t>
      </w:r>
    </w:p>
    <w:p>
      <w:pPr>
        <w:ind w:left="2760"/>
        <w:spacing w:after="0" w:line="235" w:lineRule="auto"/>
        <w:rPr>
          <w:sz w:val="20"/>
          <w:szCs w:val="20"/>
          <w:color w:val="auto"/>
        </w:rPr>
      </w:pPr>
      <w:r>
        <w:rPr>
          <w:rFonts w:ascii="Arial" w:cs="Arial" w:eastAsia="Arial" w:hAnsi="Arial"/>
          <w:sz w:val="18"/>
          <w:szCs w:val="18"/>
          <w:color w:val="auto"/>
        </w:rPr>
        <w:t>initially anticipated to be</w:t>
      </w:r>
    </w:p>
    <w:p>
      <w:pPr>
        <w:ind w:left="2760"/>
        <w:spacing w:after="0" w:line="235" w:lineRule="auto"/>
        <w:rPr>
          <w:sz w:val="20"/>
          <w:szCs w:val="20"/>
          <w:color w:val="auto"/>
        </w:rPr>
      </w:pPr>
      <w:r>
        <w:rPr>
          <w:rFonts w:ascii="Arial" w:cs="Arial" w:eastAsia="Arial" w:hAnsi="Arial"/>
          <w:sz w:val="18"/>
          <w:szCs w:val="18"/>
          <w:color w:val="auto"/>
        </w:rPr>
        <w:t>$10.00 per share),</w:t>
      </w:r>
    </w:p>
    <w:p>
      <w:pPr>
        <w:ind w:left="2760"/>
        <w:spacing w:after="0" w:line="235" w:lineRule="auto"/>
        <w:rPr>
          <w:sz w:val="20"/>
          <w:szCs w:val="20"/>
          <w:color w:val="auto"/>
        </w:rPr>
      </w:pPr>
      <w:r>
        <w:rPr>
          <w:rFonts w:ascii="Arial" w:cs="Arial" w:eastAsia="Arial" w:hAnsi="Arial"/>
          <w:sz w:val="18"/>
          <w:szCs w:val="18"/>
          <w:color w:val="auto"/>
        </w:rPr>
        <w:t>including interest (net of</w:t>
      </w:r>
    </w:p>
    <w:p>
      <w:pPr>
        <w:ind w:left="2760"/>
        <w:spacing w:after="0" w:line="234" w:lineRule="auto"/>
        <w:rPr>
          <w:sz w:val="20"/>
          <w:szCs w:val="20"/>
          <w:color w:val="auto"/>
        </w:rPr>
      </w:pPr>
      <w:r>
        <w:rPr>
          <w:rFonts w:ascii="Arial" w:cs="Arial" w:eastAsia="Arial" w:hAnsi="Arial"/>
          <w:sz w:val="18"/>
          <w:szCs w:val="18"/>
          <w:color w:val="auto"/>
        </w:rPr>
        <w:t>permitted withdrawals),</w:t>
      </w:r>
    </w:p>
    <w:p>
      <w:pPr>
        <w:ind w:left="2760"/>
        <w:spacing w:after="0" w:line="235" w:lineRule="auto"/>
        <w:rPr>
          <w:sz w:val="20"/>
          <w:szCs w:val="20"/>
          <w:color w:val="auto"/>
        </w:rPr>
      </w:pPr>
      <w:r>
        <w:rPr>
          <w:rFonts w:ascii="Arial" w:cs="Arial" w:eastAsia="Arial" w:hAnsi="Arial"/>
          <w:sz w:val="18"/>
          <w:szCs w:val="18"/>
          <w:color w:val="auto"/>
        </w:rPr>
        <w:t>divided by the number of</w:t>
      </w:r>
    </w:p>
    <w:p>
      <w:pPr>
        <w:ind w:left="2760"/>
        <w:spacing w:after="0" w:line="235" w:lineRule="auto"/>
        <w:rPr>
          <w:sz w:val="20"/>
          <w:szCs w:val="20"/>
          <w:color w:val="auto"/>
        </w:rPr>
      </w:pPr>
      <w:r>
        <w:rPr>
          <w:rFonts w:ascii="Arial" w:cs="Arial" w:eastAsia="Arial" w:hAnsi="Arial"/>
          <w:sz w:val="18"/>
          <w:szCs w:val="18"/>
          <w:color w:val="auto"/>
        </w:rPr>
        <w:t>then outstanding public</w:t>
      </w:r>
    </w:p>
    <w:p>
      <w:pPr>
        <w:ind w:left="2760"/>
        <w:spacing w:after="0" w:line="235" w:lineRule="auto"/>
        <w:rPr>
          <w:sz w:val="20"/>
          <w:szCs w:val="20"/>
          <w:color w:val="auto"/>
        </w:rPr>
      </w:pPr>
      <w:r>
        <w:rPr>
          <w:rFonts w:ascii="Arial" w:cs="Arial" w:eastAsia="Arial" w:hAnsi="Arial"/>
          <w:sz w:val="18"/>
          <w:szCs w:val="18"/>
          <w:color w:val="auto"/>
        </w:rPr>
        <w:t>shares, subject to the</w:t>
      </w:r>
    </w:p>
    <w:p>
      <w:pPr>
        <w:ind w:left="2760"/>
        <w:spacing w:after="0" w:line="235" w:lineRule="auto"/>
        <w:rPr>
          <w:sz w:val="20"/>
          <w:szCs w:val="20"/>
          <w:color w:val="auto"/>
        </w:rPr>
      </w:pPr>
      <w:r>
        <w:rPr>
          <w:rFonts w:ascii="Arial" w:cs="Arial" w:eastAsia="Arial" w:hAnsi="Arial"/>
          <w:sz w:val="18"/>
          <w:szCs w:val="18"/>
          <w:color w:val="auto"/>
        </w:rPr>
        <w:t>limitation that no</w:t>
      </w:r>
    </w:p>
    <w:p>
      <w:pPr>
        <w:ind w:left="2760"/>
        <w:spacing w:after="0" w:line="234" w:lineRule="auto"/>
        <w:rPr>
          <w:sz w:val="20"/>
          <w:szCs w:val="20"/>
          <w:color w:val="auto"/>
        </w:rPr>
      </w:pPr>
      <w:r>
        <w:rPr>
          <w:rFonts w:ascii="Arial" w:cs="Arial" w:eastAsia="Arial" w:hAnsi="Arial"/>
          <w:sz w:val="18"/>
          <w:szCs w:val="18"/>
          <w:color w:val="auto"/>
        </w:rPr>
        <w:t>redemptions will take</w:t>
      </w:r>
    </w:p>
    <w:p>
      <w:pPr>
        <w:ind w:left="2760"/>
        <w:spacing w:after="0" w:line="235" w:lineRule="auto"/>
        <w:rPr>
          <w:sz w:val="20"/>
          <w:szCs w:val="20"/>
          <w:color w:val="auto"/>
        </w:rPr>
      </w:pPr>
      <w:r>
        <w:rPr>
          <w:rFonts w:ascii="Arial" w:cs="Arial" w:eastAsia="Arial" w:hAnsi="Arial"/>
          <w:sz w:val="18"/>
          <w:szCs w:val="18"/>
          <w:color w:val="auto"/>
        </w:rPr>
        <w:t>place if all of the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redemptions would cause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our net tangible assets to</w:t>
      </w:r>
    </w:p>
    <w:p>
      <w:pPr>
        <w:ind w:left="2760"/>
        <w:spacing w:after="0" w:line="234" w:lineRule="auto"/>
        <w:rPr>
          <w:sz w:val="20"/>
          <w:szCs w:val="20"/>
          <w:color w:val="auto"/>
        </w:rPr>
      </w:pPr>
      <w:r>
        <w:rPr>
          <w:rFonts w:ascii="Arial" w:cs="Arial" w:eastAsia="Arial" w:hAnsi="Arial"/>
          <w:sz w:val="18"/>
          <w:szCs w:val="18"/>
          <w:color w:val="auto"/>
        </w:rPr>
        <w:t>be less than $5,000,001</w:t>
      </w:r>
    </w:p>
    <w:p>
      <w:pPr>
        <w:ind w:left="2760"/>
        <w:spacing w:after="0" w:line="235" w:lineRule="auto"/>
        <w:rPr>
          <w:sz w:val="20"/>
          <w:szCs w:val="20"/>
          <w:color w:val="auto"/>
        </w:rPr>
      </w:pPr>
      <w:r>
        <w:rPr>
          <w:rFonts w:ascii="Arial" w:cs="Arial" w:eastAsia="Arial" w:hAnsi="Arial"/>
          <w:sz w:val="18"/>
          <w:szCs w:val="18"/>
          <w:color w:val="auto"/>
        </w:rPr>
        <w:t>and any limitations</w:t>
      </w:r>
    </w:p>
    <w:p>
      <w:pPr>
        <w:ind w:left="2760"/>
        <w:spacing w:after="0" w:line="235" w:lineRule="auto"/>
        <w:rPr>
          <w:sz w:val="20"/>
          <w:szCs w:val="20"/>
          <w:color w:val="auto"/>
        </w:rPr>
      </w:pPr>
      <w:r>
        <w:rPr>
          <w:rFonts w:ascii="Arial" w:cs="Arial" w:eastAsia="Arial" w:hAnsi="Arial"/>
          <w:sz w:val="18"/>
          <w:szCs w:val="18"/>
          <w:color w:val="auto"/>
        </w:rPr>
        <w:t>(including but not limited</w:t>
      </w:r>
    </w:p>
    <w:p>
      <w:pPr>
        <w:ind w:left="2760"/>
        <w:spacing w:after="0" w:line="235" w:lineRule="auto"/>
        <w:rPr>
          <w:sz w:val="20"/>
          <w:szCs w:val="20"/>
          <w:color w:val="auto"/>
        </w:rPr>
      </w:pPr>
      <w:r>
        <w:rPr>
          <w:rFonts w:ascii="Arial" w:cs="Arial" w:eastAsia="Arial" w:hAnsi="Arial"/>
          <w:sz w:val="18"/>
          <w:szCs w:val="18"/>
          <w:color w:val="auto"/>
        </w:rPr>
        <w:t>to cash requirements)</w:t>
      </w:r>
    </w:p>
    <w:p>
      <w:pPr>
        <w:ind w:left="2760"/>
        <w:spacing w:after="0" w:line="235" w:lineRule="auto"/>
        <w:rPr>
          <w:sz w:val="20"/>
          <w:szCs w:val="20"/>
          <w:color w:val="auto"/>
        </w:rPr>
      </w:pPr>
      <w:r>
        <w:rPr>
          <w:rFonts w:ascii="Arial" w:cs="Arial" w:eastAsia="Arial" w:hAnsi="Arial"/>
          <w:sz w:val="18"/>
          <w:szCs w:val="18"/>
          <w:color w:val="auto"/>
        </w:rPr>
        <w:t>agreed to in connection</w:t>
      </w:r>
    </w:p>
    <w:p>
      <w:pPr>
        <w:ind w:left="2760"/>
        <w:spacing w:after="0" w:line="234" w:lineRule="auto"/>
        <w:rPr>
          <w:sz w:val="20"/>
          <w:szCs w:val="20"/>
          <w:color w:val="auto"/>
        </w:rPr>
      </w:pPr>
      <w:r>
        <w:rPr>
          <w:rFonts w:ascii="Arial" w:cs="Arial" w:eastAsia="Arial" w:hAnsi="Arial"/>
          <w:sz w:val="18"/>
          <w:szCs w:val="18"/>
          <w:color w:val="auto"/>
        </w:rPr>
        <w:t>with the negotiation of</w:t>
      </w:r>
    </w:p>
    <w:p>
      <w:pPr>
        <w:ind w:left="2760"/>
        <w:spacing w:after="0" w:line="235" w:lineRule="auto"/>
        <w:rPr>
          <w:sz w:val="20"/>
          <w:szCs w:val="20"/>
          <w:color w:val="auto"/>
        </w:rPr>
      </w:pPr>
      <w:r>
        <w:rPr>
          <w:rFonts w:ascii="Arial" w:cs="Arial" w:eastAsia="Arial" w:hAnsi="Arial"/>
          <w:sz w:val="18"/>
          <w:szCs w:val="18"/>
          <w:color w:val="auto"/>
        </w:rPr>
        <w:t>terms of a proposed</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business combination.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seek stockholder approval of our initial business combination, our sponsor, directors, officers, advisors or any of their respective affiliates may purchase shares in privately negotiated transactions or in the open market either prior to or following the completion of our initial business combination. Such purchases will only be made to the extent such purchases are made in compliance with Rule 10b-18, which is a safe harbor from liability for manipulation under Section 9(a)(2) and</w:t>
      </w:r>
    </w:p>
    <w:p>
      <w:pPr>
        <w:spacing w:after="0" w:line="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Rule 10b- 5 of the Exchange Act. None of the funds in the trust account will be used to purchase shares in such transactions.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99"/>
        <w:spacing w:after="0" w:line="251" w:lineRule="auto"/>
        <w:rPr>
          <w:sz w:val="20"/>
          <w:szCs w:val="20"/>
          <w:color w:val="auto"/>
        </w:rPr>
      </w:pPr>
      <w:r>
        <w:rPr>
          <w:rFonts w:ascii="Arial" w:cs="Arial" w:eastAsia="Arial" w:hAnsi="Arial"/>
          <w:sz w:val="17"/>
          <w:szCs w:val="17"/>
          <w:color w:val="auto"/>
        </w:rPr>
        <w:t>If we are unable to complete our initial business combination within the completion window, we will redeem all public shares at a per share price, payable in cash, equal to the aggregate amount then on deposit in the trust account, including interest (net of permitted withdrawals and up to $100,000 of interest to pay dissolution expenses), divided by the number of then outstanding public shares.</w:t>
      </w:r>
    </w:p>
    <w:p>
      <w:pPr>
        <w:spacing w:after="0" w:line="5454" w:lineRule="exact"/>
        <w:rPr>
          <w:sz w:val="20"/>
          <w:szCs w:val="20"/>
          <w:color w:val="auto"/>
        </w:rPr>
      </w:pPr>
    </w:p>
    <w:p>
      <w:pPr>
        <w:sectPr>
          <w:pgSz w:w="11900" w:h="16838" w:orient="portrait"/>
          <w:cols w:equalWidth="0" w:num="3">
            <w:col w:w="4800" w:space="220"/>
            <w:col w:w="2040" w:space="220"/>
            <w:col w:w="285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759"/>
        <w:spacing w:after="0"/>
        <w:tabs>
          <w:tab w:leader="none" w:pos="4200" w:val="left"/>
          <w:tab w:leader="none" w:pos="2040" w:val="left"/>
        </w:tabs>
        <w:rPr>
          <w:sz w:val="20"/>
          <w:szCs w:val="20"/>
          <w:color w:val="auto"/>
        </w:rPr>
      </w:pPr>
      <w:r>
        <w:rPr>
          <w:rFonts w:ascii="Arial" w:cs="Arial" w:eastAsia="Arial" w:hAnsi="Arial"/>
          <w:sz w:val="14"/>
          <w:szCs w:val="14"/>
          <w:b w:val="1"/>
          <w:bCs w:val="1"/>
          <w:color w:val="auto"/>
        </w:rPr>
        <w:t>Redemptions in Connection with</w:t>
      </w:r>
      <w:r>
        <w:rPr>
          <w:sz w:val="20"/>
          <w:szCs w:val="20"/>
          <w:color w:val="auto"/>
        </w:rPr>
        <w:tab/>
      </w:r>
      <w:r>
        <w:rPr>
          <w:rFonts w:ascii="Arial" w:cs="Arial" w:eastAsia="Arial" w:hAnsi="Arial"/>
          <w:sz w:val="14"/>
          <w:szCs w:val="14"/>
          <w:b w:val="1"/>
          <w:bCs w:val="1"/>
          <w:color w:val="auto"/>
        </w:rPr>
        <w:t>Other Permitted Purchases of</w:t>
      </w:r>
      <w:r>
        <w:rPr>
          <w:sz w:val="20"/>
          <w:szCs w:val="20"/>
          <w:color w:val="auto"/>
        </w:rPr>
        <w:tab/>
      </w:r>
      <w:r>
        <w:rPr>
          <w:rFonts w:ascii="Arial" w:cs="Arial" w:eastAsia="Arial" w:hAnsi="Arial"/>
          <w:sz w:val="12"/>
          <w:szCs w:val="12"/>
          <w:b w:val="1"/>
          <w:bCs w:val="1"/>
          <w:color w:val="auto"/>
        </w:rPr>
        <w:t>Redemptions if we fail to Complete</w:t>
      </w:r>
    </w:p>
    <w:p>
      <w:pPr>
        <w:spacing w:after="0" w:line="17" w:lineRule="exact"/>
        <w:rPr>
          <w:sz w:val="20"/>
          <w:szCs w:val="20"/>
          <w:color w:val="auto"/>
        </w:rPr>
      </w:pPr>
    </w:p>
    <w:p>
      <w:pPr>
        <w:ind w:left="2800"/>
        <w:spacing w:after="0"/>
        <w:tabs>
          <w:tab w:leader="none" w:pos="5140" w:val="left"/>
          <w:tab w:leader="none" w:pos="7400" w:val="left"/>
        </w:tabs>
        <w:rPr>
          <w:sz w:val="20"/>
          <w:szCs w:val="20"/>
          <w:color w:val="auto"/>
        </w:rPr>
      </w:pPr>
      <w:r>
        <w:rPr>
          <w:rFonts w:ascii="Arial" w:cs="Arial" w:eastAsia="Arial" w:hAnsi="Arial"/>
          <w:sz w:val="14"/>
          <w:szCs w:val="14"/>
          <w:b w:val="1"/>
          <w:bCs w:val="1"/>
          <w:color w:val="auto"/>
        </w:rPr>
        <w:t>our Initial Business Combination</w:t>
      </w:r>
      <w:r>
        <w:rPr>
          <w:sz w:val="20"/>
          <w:szCs w:val="20"/>
          <w:color w:val="auto"/>
        </w:rPr>
        <w:tab/>
      </w:r>
      <w:r>
        <w:rPr>
          <w:rFonts w:ascii="Arial" w:cs="Arial" w:eastAsia="Arial" w:hAnsi="Arial"/>
          <w:sz w:val="14"/>
          <w:szCs w:val="14"/>
          <w:b w:val="1"/>
          <w:bCs w:val="1"/>
          <w:color w:val="auto"/>
        </w:rPr>
        <w:t>Public Shares by our Affiliates</w:t>
      </w:r>
      <w:r>
        <w:rPr>
          <w:sz w:val="20"/>
          <w:szCs w:val="20"/>
          <w:color w:val="auto"/>
        </w:rPr>
        <w:tab/>
      </w:r>
      <w:r>
        <w:rPr>
          <w:rFonts w:ascii="Arial" w:cs="Arial" w:eastAsia="Arial" w:hAnsi="Arial"/>
          <w:sz w:val="12"/>
          <w:szCs w:val="12"/>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22225</wp:posOffset>
            </wp:positionV>
            <wp:extent cx="42519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70"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8"/>
          <w:szCs w:val="18"/>
          <w:b w:val="1"/>
          <w:bCs w:val="1"/>
          <w:color w:val="auto"/>
        </w:rPr>
        <w:t>Impact to</w:t>
      </w:r>
      <w:r>
        <w:rPr>
          <w:sz w:val="20"/>
          <w:szCs w:val="20"/>
          <w:color w:val="auto"/>
        </w:rPr>
        <w:tab/>
      </w:r>
      <w:r>
        <w:rPr>
          <w:rFonts w:ascii="Arial" w:cs="Arial" w:eastAsia="Arial" w:hAnsi="Arial"/>
          <w:sz w:val="17"/>
          <w:szCs w:val="17"/>
          <w:color w:val="auto"/>
        </w:rPr>
        <w:t>The redemptions in</w:t>
      </w:r>
    </w:p>
    <w:p>
      <w:pPr>
        <w:spacing w:after="0" w:line="16"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7"/>
          <w:szCs w:val="17"/>
          <w:b w:val="1"/>
          <w:bCs w:val="1"/>
          <w:color w:val="auto"/>
        </w:rPr>
        <w:t>remaining</w:t>
      </w:r>
      <w:r>
        <w:rPr>
          <w:sz w:val="20"/>
          <w:szCs w:val="20"/>
          <w:color w:val="auto"/>
        </w:rPr>
        <w:tab/>
      </w:r>
      <w:r>
        <w:rPr>
          <w:rFonts w:ascii="Arial" w:cs="Arial" w:eastAsia="Arial" w:hAnsi="Arial"/>
          <w:sz w:val="17"/>
          <w:szCs w:val="17"/>
          <w:color w:val="auto"/>
        </w:rPr>
        <w:t>connection with our initial</w:t>
      </w:r>
    </w:p>
    <w:p>
      <w:pPr>
        <w:spacing w:after="0" w:line="7"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7"/>
          <w:szCs w:val="17"/>
          <w:b w:val="1"/>
          <w:bCs w:val="1"/>
          <w:color w:val="auto"/>
        </w:rPr>
        <w:t>stockholders</w:t>
      </w:r>
      <w:r>
        <w:rPr>
          <w:sz w:val="20"/>
          <w:szCs w:val="20"/>
          <w:color w:val="auto"/>
        </w:rPr>
        <w:tab/>
      </w:r>
      <w:r>
        <w:rPr>
          <w:rFonts w:ascii="Arial" w:cs="Arial" w:eastAsia="Arial" w:hAnsi="Arial"/>
          <w:sz w:val="17"/>
          <w:szCs w:val="17"/>
          <w:color w:val="auto"/>
        </w:rPr>
        <w:t>business combination will</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reduce the book value per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share for our remaining</w:t>
      </w:r>
    </w:p>
    <w:p>
      <w:pPr>
        <w:ind w:left="2760"/>
        <w:spacing w:after="0" w:line="234" w:lineRule="auto"/>
        <w:rPr>
          <w:sz w:val="20"/>
          <w:szCs w:val="20"/>
          <w:color w:val="auto"/>
        </w:rPr>
      </w:pPr>
      <w:r>
        <w:rPr>
          <w:rFonts w:ascii="Arial" w:cs="Arial" w:eastAsia="Arial" w:hAnsi="Arial"/>
          <w:sz w:val="18"/>
          <w:szCs w:val="18"/>
          <w:color w:val="auto"/>
        </w:rPr>
        <w:t>stockholders, who will</w:t>
      </w:r>
    </w:p>
    <w:p>
      <w:pPr>
        <w:ind w:left="2760"/>
        <w:spacing w:after="0" w:line="235" w:lineRule="auto"/>
        <w:rPr>
          <w:sz w:val="20"/>
          <w:szCs w:val="20"/>
          <w:color w:val="auto"/>
        </w:rPr>
      </w:pPr>
      <w:r>
        <w:rPr>
          <w:rFonts w:ascii="Arial" w:cs="Arial" w:eastAsia="Arial" w:hAnsi="Arial"/>
          <w:sz w:val="18"/>
          <w:szCs w:val="18"/>
          <w:color w:val="auto"/>
        </w:rPr>
        <w:t>bear the burden of the</w:t>
      </w:r>
    </w:p>
    <w:p>
      <w:pPr>
        <w:ind w:left="2760"/>
        <w:spacing w:after="0" w:line="235" w:lineRule="auto"/>
        <w:rPr>
          <w:sz w:val="20"/>
          <w:szCs w:val="20"/>
          <w:color w:val="auto"/>
        </w:rPr>
      </w:pPr>
      <w:r>
        <w:rPr>
          <w:rFonts w:ascii="Arial" w:cs="Arial" w:eastAsia="Arial" w:hAnsi="Arial"/>
          <w:sz w:val="18"/>
          <w:szCs w:val="18"/>
          <w:color w:val="auto"/>
        </w:rPr>
        <w:t>deferred underwriting</w:t>
      </w:r>
    </w:p>
    <w:p>
      <w:pPr>
        <w:ind w:left="2760"/>
        <w:spacing w:after="0" w:line="235" w:lineRule="auto"/>
        <w:rPr>
          <w:sz w:val="20"/>
          <w:szCs w:val="20"/>
          <w:color w:val="auto"/>
        </w:rPr>
      </w:pPr>
      <w:r>
        <w:rPr>
          <w:rFonts w:ascii="Arial" w:cs="Arial" w:eastAsia="Arial" w:hAnsi="Arial"/>
          <w:sz w:val="18"/>
          <w:szCs w:val="18"/>
          <w:color w:val="auto"/>
        </w:rPr>
        <w:t>commissions and</w:t>
      </w:r>
    </w:p>
    <w:p>
      <w:pPr>
        <w:ind w:left="2760"/>
        <w:spacing w:after="0"/>
        <w:rPr>
          <w:sz w:val="20"/>
          <w:szCs w:val="20"/>
          <w:color w:val="auto"/>
        </w:rPr>
      </w:pPr>
      <w:r>
        <w:rPr>
          <w:rFonts w:ascii="Arial" w:cs="Arial" w:eastAsia="Arial" w:hAnsi="Arial"/>
          <w:sz w:val="17"/>
          <w:szCs w:val="17"/>
          <w:color w:val="auto"/>
        </w:rPr>
        <w:t>permitted withdrawals (to</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extent not paid from</w:t>
      </w:r>
    </w:p>
    <w:p>
      <w:pPr>
        <w:ind w:left="2760"/>
        <w:spacing w:after="0" w:line="234" w:lineRule="auto"/>
        <w:rPr>
          <w:sz w:val="20"/>
          <w:szCs w:val="20"/>
          <w:color w:val="auto"/>
        </w:rPr>
      </w:pPr>
      <w:r>
        <w:rPr>
          <w:rFonts w:ascii="Arial" w:cs="Arial" w:eastAsia="Arial" w:hAnsi="Arial"/>
          <w:sz w:val="18"/>
          <w:szCs w:val="18"/>
          <w:color w:val="auto"/>
        </w:rPr>
        <w:t>amounts accrued as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interest on the funds held</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 the trust account).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the permitted purchases described above are made, there will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779"/>
        <w:spacing w:after="0" w:line="238"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initial stockholders, who will be</w:t>
      </w:r>
    </w:p>
    <w:p>
      <w:pPr>
        <w:spacing w:after="0" w:line="18" w:lineRule="exact"/>
        <w:rPr>
          <w:sz w:val="20"/>
          <w:szCs w:val="20"/>
          <w:color w:val="auto"/>
        </w:rPr>
      </w:pPr>
    </w:p>
    <w:p>
      <w:pPr>
        <w:ind w:right="1119"/>
        <w:spacing w:after="0" w:line="248" w:lineRule="auto"/>
        <w:rPr>
          <w:sz w:val="20"/>
          <w:szCs w:val="20"/>
          <w:color w:val="auto"/>
        </w:rPr>
      </w:pPr>
      <w:r>
        <w:rPr>
          <w:rFonts w:ascii="Arial" w:cs="Arial" w:eastAsia="Arial" w:hAnsi="Arial"/>
          <w:sz w:val="18"/>
          <w:szCs w:val="18"/>
          <w:color w:val="auto"/>
        </w:rPr>
        <w:t>our only remaining stockholders after such redemptions.</w:t>
      </w:r>
    </w:p>
    <w:p>
      <w:pPr>
        <w:spacing w:after="0" w:line="753" w:lineRule="exact"/>
        <w:rPr>
          <w:sz w:val="20"/>
          <w:szCs w:val="20"/>
          <w:color w:val="auto"/>
        </w:rPr>
      </w:pPr>
    </w:p>
    <w:p>
      <w:pPr>
        <w:sectPr>
          <w:pgSz w:w="11900" w:h="16838" w:orient="portrait"/>
          <w:cols w:equalWidth="0" w:num="3">
            <w:col w:w="4760" w:space="260"/>
            <w:col w:w="2000" w:space="260"/>
            <w:col w:w="2859"/>
          </w:cols>
          <w:pgMar w:left="320" w:top="131" w:right="1440" w:bottom="1440" w:gutter="0" w:footer="0" w:header="0"/>
          <w:type w:val="continuous"/>
        </w:sectPr>
      </w:pP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08" w:lineRule="exact"/>
        <w:rPr>
          <w:sz w:val="20"/>
          <w:szCs w:val="20"/>
          <w:color w:val="auto"/>
        </w:rPr>
      </w:pPr>
    </w:p>
    <w:p>
      <w:pPr>
        <w:ind w:left="1260" w:right="979" w:firstLine="360"/>
        <w:spacing w:after="0" w:line="275"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option to purchase additional units. None of the provisions of Rule 419 apply to our offering.</w:t>
      </w:r>
    </w:p>
    <w:p>
      <w:pPr>
        <w:sectPr>
          <w:pgSz w:w="11900" w:h="16838" w:orient="portrait"/>
          <w:cols w:equalWidth="0" w:num="1">
            <w:col w:w="10139"/>
          </w:cols>
          <w:pgMar w:left="320" w:top="131" w:right="1440" w:bottom="1440" w:gutter="0" w:footer="0" w:header="0"/>
          <w:type w:val="continuous"/>
        </w:sectPr>
      </w:pP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 rules of the NYSE provide that at</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3020" w:type="dxa"/>
            <w:vAlign w:val="bottom"/>
          </w:tcPr>
          <w:p>
            <w:pPr>
              <w:spacing w:after="0"/>
              <w:rPr>
                <w:sz w:val="20"/>
                <w:szCs w:val="20"/>
                <w:color w:val="auto"/>
              </w:rPr>
            </w:pPr>
            <w:r>
              <w:rPr>
                <w:rFonts w:ascii="Arial" w:cs="Arial" w:eastAsia="Arial" w:hAnsi="Arial"/>
                <w:sz w:val="18"/>
                <w:szCs w:val="18"/>
                <w:color w:val="auto"/>
              </w:rPr>
              <w:t>least 90% of the gross proceeds from</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this offering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placement warrants be deposited in a</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trust account.</w:t>
            </w:r>
          </w:p>
        </w:tc>
        <w:tc>
          <w:tcPr>
            <w:tcW w:w="0" w:type="dxa"/>
            <w:vAlign w:val="bottom"/>
          </w:tcPr>
          <w:p>
            <w:pPr>
              <w:spacing w:after="0"/>
              <w:rPr>
                <w:sz w:val="1"/>
                <w:szCs w:val="1"/>
                <w:color w:val="auto"/>
              </w:rPr>
            </w:pPr>
          </w:p>
        </w:tc>
      </w:tr>
      <w:tr>
        <w:trPr>
          <w:trHeight w:val="283"/>
        </w:trPr>
        <w:tc>
          <w:tcPr>
            <w:tcW w:w="18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$750,000,000 of the net proceeds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this offering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placement warrants will be deposited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into a trust account located 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United States with Continental Stock</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Transfer &amp; Trust Company acting as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387"/>
        </w:trPr>
        <w:tc>
          <w:tcPr>
            <w:tcW w:w="1840" w:type="dxa"/>
            <w:vAlign w:val="bottom"/>
          </w:tcPr>
          <w:p>
            <w:pPr>
              <w:spacing w:after="0"/>
              <w:rPr>
                <w:sz w:val="20"/>
                <w:szCs w:val="20"/>
                <w:color w:val="auto"/>
              </w:rPr>
            </w:pPr>
            <w:r>
              <w:rPr>
                <w:rFonts w:ascii="Arial" w:cs="Arial" w:eastAsia="Arial" w:hAnsi="Arial"/>
                <w:sz w:val="18"/>
                <w:szCs w:val="18"/>
                <w:b w:val="1"/>
                <w:bCs w:val="1"/>
                <w:color w:val="auto"/>
              </w:rPr>
              <w:t>Investment of net</w:t>
            </w:r>
          </w:p>
        </w:tc>
        <w:tc>
          <w:tcPr>
            <w:tcW w:w="3020" w:type="dxa"/>
            <w:vAlign w:val="bottom"/>
          </w:tcPr>
          <w:p>
            <w:pPr>
              <w:spacing w:after="0"/>
              <w:rPr>
                <w:sz w:val="20"/>
                <w:szCs w:val="20"/>
                <w:color w:val="auto"/>
              </w:rPr>
            </w:pPr>
            <w:r>
              <w:rPr>
                <w:rFonts w:ascii="Arial" w:cs="Arial" w:eastAsia="Arial" w:hAnsi="Arial"/>
                <w:sz w:val="18"/>
                <w:szCs w:val="18"/>
                <w:color w:val="auto"/>
              </w:rPr>
              <w:t>$750,000,000 of the net offering</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3020" w:type="dxa"/>
            <w:vAlign w:val="bottom"/>
          </w:tcPr>
          <w:p>
            <w:pPr>
              <w:spacing w:after="0"/>
              <w:rPr>
                <w:sz w:val="20"/>
                <w:szCs w:val="20"/>
                <w:color w:val="auto"/>
              </w:rPr>
            </w:pPr>
            <w:r>
              <w:rPr>
                <w:rFonts w:ascii="Arial" w:cs="Arial" w:eastAsia="Arial" w:hAnsi="Arial"/>
                <w:sz w:val="18"/>
                <w:szCs w:val="18"/>
                <w:color w:val="auto"/>
              </w:rPr>
              <w:t>proceeds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placement warrants held in trust will be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invested only in U.S. government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treasury bills with a maturity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185 days or less or in money market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funds that meet certain conditions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under Rule 2a-7 under the Investment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Company Act and that invest only in</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direct U.S. government obligations.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699"/>
        <w:spacing w:after="0" w:line="252" w:lineRule="auto"/>
        <w:rPr>
          <w:sz w:val="20"/>
          <w:szCs w:val="20"/>
          <w:color w:val="auto"/>
        </w:rPr>
      </w:pPr>
      <w:r>
        <w:rPr>
          <w:rFonts w:ascii="Arial" w:cs="Arial" w:eastAsia="Arial" w:hAnsi="Arial"/>
          <w:sz w:val="17"/>
          <w:szCs w:val="17"/>
          <w:color w:val="auto"/>
        </w:rPr>
        <w:t>Approximately $637,875,000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91" w:lineRule="exact"/>
        <w:rPr>
          <w:sz w:val="20"/>
          <w:szCs w:val="20"/>
          <w:color w:val="auto"/>
        </w:rPr>
      </w:pPr>
    </w:p>
    <w:p>
      <w:pPr>
        <w:ind w:right="699"/>
        <w:spacing w:after="0" w:line="255"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99" w:lineRule="exact"/>
        <w:rPr>
          <w:sz w:val="20"/>
          <w:szCs w:val="20"/>
          <w:color w:val="auto"/>
        </w:rPr>
      </w:pPr>
    </w:p>
    <w:p>
      <w:pPr>
        <w:sectPr>
          <w:pgSz w:w="11900" w:h="16838" w:orient="portrait"/>
          <w:cols w:equalWidth="0" w:num="2">
            <w:col w:w="6120" w:space="220"/>
            <w:col w:w="37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line="296" w:lineRule="auto"/>
        <w:rPr>
          <w:sz w:val="20"/>
          <w:szCs w:val="20"/>
          <w:color w:val="auto"/>
        </w:rPr>
      </w:pPr>
      <w:r>
        <w:rPr>
          <w:rFonts w:ascii="Arial" w:cs="Arial" w:eastAsia="Arial" w:hAnsi="Arial"/>
          <w:sz w:val="17"/>
          <w:szCs w:val="17"/>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fair</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value or net assets of</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Trading of securities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202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Interest on proceeds from the trust account to be paid to stockholders is reduced by: (1) permitted withdrawals; and (2)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w:t>
      </w:r>
    </w:p>
    <w:p>
      <w:pPr>
        <w:spacing w:after="0" w:line="15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units will begin trading on or promptly after the date of this prospectus. The Class A common stock and warrants constituting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Citigroup Global Markets Inc. informs us of its decision to allow earlier separate trading, subject to our having filed the Current Report on Form 8- K described below and having issued a press release announcing when such separate trading will begin.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699"/>
        <w:spacing w:after="0"/>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39"/>
        <w:spacing w:after="0" w:line="270" w:lineRule="auto"/>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739"/>
        <w:spacing w:after="0" w:line="257" w:lineRule="auto"/>
        <w:rPr>
          <w:sz w:val="20"/>
          <w:szCs w:val="20"/>
          <w:color w:val="auto"/>
        </w:rPr>
      </w:pPr>
      <w:r>
        <w:rPr>
          <w:rFonts w:ascii="Arial" w:cs="Arial" w:eastAsia="Arial" w:hAnsi="Arial"/>
          <w:sz w:val="17"/>
          <w:szCs w:val="17"/>
          <w:color w:val="auto"/>
        </w:rPr>
        <w:t>No trading of the units or the underlying common stock and warrants would be permitted until the completion of a business combination. During this period, the securities would be held in the escrow or trust account.</w:t>
      </w:r>
    </w:p>
    <w:p>
      <w:pPr>
        <w:spacing w:after="0" w:line="3803" w:lineRule="exact"/>
        <w:rPr>
          <w:sz w:val="20"/>
          <w:szCs w:val="20"/>
          <w:color w:val="auto"/>
        </w:rPr>
      </w:pPr>
    </w:p>
    <w:p>
      <w:pPr>
        <w:sectPr>
          <w:pgSz w:w="11900" w:h="16838" w:orient="portrait"/>
          <w:cols w:equalWidth="0" w:num="3">
            <w:col w:w="2820" w:space="280"/>
            <w:col w:w="3000" w:space="240"/>
            <w:col w:w="3799"/>
          </w:cols>
          <w:pgMar w:left="320" w:top="131" w:right="1440" w:bottom="1440" w:gutter="0" w:footer="0" w:header="0"/>
        </w:sectPr>
      </w:pPr>
    </w:p>
    <w:p>
      <w:pPr>
        <w:ind w:left="1260"/>
        <w:spacing w:after="0"/>
        <w:rPr>
          <w:sz w:val="20"/>
          <w:szCs w:val="20"/>
          <w:color w:val="auto"/>
        </w:rPr>
      </w:pPr>
      <w:r>
        <w:rPr>
          <w:rFonts w:ascii="Arial" w:cs="Arial" w:eastAsia="Arial" w:hAnsi="Arial"/>
          <w:sz w:val="15"/>
          <w:szCs w:val="15"/>
          <w:b w:val="1"/>
          <w:bCs w:val="1"/>
          <w:color w:val="auto"/>
        </w:rPr>
        <w:t>Exercise of the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br w:type="column"/>
      </w:r>
    </w:p>
    <w:p>
      <w:pPr>
        <w:spacing w:after="0"/>
        <w:tabs>
          <w:tab w:leader="none" w:pos="3220" w:val="left"/>
        </w:tabs>
        <w:rPr>
          <w:sz w:val="20"/>
          <w:szCs w:val="20"/>
          <w:color w:val="auto"/>
        </w:rPr>
      </w:pPr>
      <w:r>
        <w:rPr>
          <w:rFonts w:ascii="Arial" w:cs="Arial" w:eastAsia="Arial" w:hAnsi="Arial"/>
          <w:sz w:val="18"/>
          <w:szCs w:val="18"/>
          <w:color w:val="auto"/>
        </w:rPr>
        <w:t>The warrants cannot be exercised until</w:t>
      </w:r>
      <w:r>
        <w:rPr>
          <w:sz w:val="20"/>
          <w:szCs w:val="20"/>
          <w:color w:val="auto"/>
        </w:rPr>
        <w:tab/>
      </w:r>
      <w:r>
        <w:rPr>
          <w:rFonts w:ascii="Arial" w:cs="Arial" w:eastAsia="Arial" w:hAnsi="Arial"/>
          <w:sz w:val="17"/>
          <w:szCs w:val="17"/>
          <w:color w:val="auto"/>
        </w:rPr>
        <w:t>The warrants could be exercised prior to</w:t>
      </w:r>
    </w:p>
    <w:p>
      <w:pPr>
        <w:spacing w:after="0" w:line="7"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the later of 30 days after the completion</w:t>
      </w:r>
      <w:r>
        <w:rPr>
          <w:sz w:val="20"/>
          <w:szCs w:val="20"/>
          <w:color w:val="auto"/>
        </w:rPr>
        <w:tab/>
      </w:r>
      <w:r>
        <w:rPr>
          <w:rFonts w:ascii="Arial" w:cs="Arial" w:eastAsia="Arial" w:hAnsi="Arial"/>
          <w:sz w:val="17"/>
          <w:szCs w:val="17"/>
          <w:color w:val="auto"/>
        </w:rPr>
        <w:t>the completion of a business</w:t>
      </w:r>
    </w:p>
    <w:p>
      <w:pPr>
        <w:spacing w:after="0"/>
        <w:tabs>
          <w:tab w:leader="none" w:pos="3220" w:val="left"/>
        </w:tabs>
        <w:rPr>
          <w:sz w:val="20"/>
          <w:szCs w:val="20"/>
          <w:color w:val="auto"/>
        </w:rPr>
      </w:pPr>
      <w:r>
        <w:rPr>
          <w:rFonts w:ascii="Arial" w:cs="Arial" w:eastAsia="Arial" w:hAnsi="Arial"/>
          <w:sz w:val="18"/>
          <w:szCs w:val="18"/>
          <w:color w:val="auto"/>
        </w:rPr>
        <w:t>of our initial business combination and</w:t>
      </w:r>
      <w:r>
        <w:rPr>
          <w:sz w:val="20"/>
          <w:szCs w:val="20"/>
          <w:color w:val="auto"/>
        </w:rPr>
        <w:tab/>
      </w:r>
      <w:r>
        <w:rPr>
          <w:rFonts w:ascii="Arial" w:cs="Arial" w:eastAsia="Arial" w:hAnsi="Arial"/>
          <w:sz w:val="17"/>
          <w:szCs w:val="17"/>
          <w:color w:val="auto"/>
        </w:rPr>
        <w:t>combination, but securities received and</w:t>
      </w:r>
    </w:p>
    <w:p>
      <w:pPr>
        <w:spacing w:after="0"/>
        <w:tabs>
          <w:tab w:leader="none" w:pos="3220" w:val="left"/>
        </w:tabs>
        <w:rPr>
          <w:sz w:val="20"/>
          <w:szCs w:val="20"/>
          <w:color w:val="auto"/>
        </w:rPr>
      </w:pPr>
      <w:r>
        <w:rPr>
          <w:rFonts w:ascii="Arial" w:cs="Arial" w:eastAsia="Arial" w:hAnsi="Arial"/>
          <w:sz w:val="18"/>
          <w:szCs w:val="18"/>
          <w:color w:val="auto"/>
        </w:rPr>
        <w:t>12 months from the closing of this</w:t>
      </w:r>
      <w:r>
        <w:rPr>
          <w:sz w:val="20"/>
          <w:szCs w:val="20"/>
          <w:color w:val="auto"/>
        </w:rPr>
        <w:tab/>
      </w:r>
      <w:r>
        <w:rPr>
          <w:rFonts w:ascii="Arial" w:cs="Arial" w:eastAsia="Arial" w:hAnsi="Arial"/>
          <w:sz w:val="17"/>
          <w:szCs w:val="17"/>
          <w:color w:val="auto"/>
        </w:rPr>
        <w:t>cash paid in connection with the exercise</w:t>
      </w:r>
    </w:p>
    <w:p>
      <w:pPr>
        <w:spacing w:after="0" w:line="1"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offering.</w:t>
      </w:r>
      <w:r>
        <w:rPr>
          <w:sz w:val="20"/>
          <w:szCs w:val="20"/>
          <w:color w:val="auto"/>
        </w:rPr>
        <w:tab/>
      </w:r>
      <w:r>
        <w:rPr>
          <w:rFonts w:ascii="Arial" w:cs="Arial" w:eastAsia="Arial" w:hAnsi="Arial"/>
          <w:sz w:val="17"/>
          <w:szCs w:val="17"/>
          <w:color w:val="auto"/>
        </w:rPr>
        <w:t>would be deposited in the escrow or trust</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account.</w:t>
      </w:r>
    </w:p>
    <w:p>
      <w:pPr>
        <w:spacing w:after="0" w:line="38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254635</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2380" w:space="720"/>
            <w:col w:w="70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8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8"/>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Election to remain an   </w:t>
            </w:r>
            <w:r>
              <w:rPr>
                <w:rFonts w:ascii="Arial" w:cs="Arial" w:eastAsia="Arial" w:hAnsi="Arial"/>
                <w:sz w:val="18"/>
                <w:szCs w:val="18"/>
                <w:color w:val="auto"/>
              </w:rPr>
              <w:t>We will provide our public</w:t>
            </w: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3020" w:type="dxa"/>
            <w:vAlign w:val="bottom"/>
          </w:tcPr>
          <w:p>
            <w:pPr>
              <w:spacing w:after="0"/>
              <w:rPr>
                <w:sz w:val="20"/>
                <w:szCs w:val="20"/>
                <w:color w:val="auto"/>
              </w:rPr>
            </w:pPr>
            <w:r>
              <w:rPr>
                <w:rFonts w:ascii="Arial" w:cs="Arial" w:eastAsia="Arial" w:hAnsi="Arial"/>
                <w:sz w:val="18"/>
                <w:szCs w:val="18"/>
                <w:color w:val="auto"/>
              </w:rPr>
              <w:t>stockholders with the opportunity to</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redeem their public shares for cash</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equal to their pro rata share of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2"/>
              </w:rPr>
              <w:t>aggregate amount then on deposit in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account as of two business days</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prior to the consummation of our initial</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including</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interest, net of permitted withdrawals,</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upon the completion of our initial</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subject to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limitations described herein. We may</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not be required by applicable law or</w:t>
            </w:r>
          </w:p>
        </w:tc>
      </w:tr>
      <w:tr>
        <w:trPr>
          <w:trHeight w:val="218"/>
        </w:trPr>
        <w:tc>
          <w:tcPr>
            <w:tcW w:w="18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stock exchange rules to hold a</w:t>
            </w:r>
          </w:p>
        </w:tc>
      </w:tr>
    </w:tbl>
    <w:p>
      <w:pPr>
        <w:ind w:left="3100"/>
        <w:spacing w:after="0"/>
        <w:rPr>
          <w:sz w:val="20"/>
          <w:szCs w:val="20"/>
          <w:color w:val="auto"/>
        </w:rPr>
      </w:pPr>
      <w:r>
        <w:rPr>
          <w:rFonts w:ascii="Arial" w:cs="Arial" w:eastAsia="Arial" w:hAnsi="Arial"/>
          <w:sz w:val="17"/>
          <w:szCs w:val="17"/>
          <w:color w:val="auto"/>
        </w:rPr>
        <w:t>stockholder vote. If we are not required</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by applicable law or stock exchange</w:t>
      </w:r>
    </w:p>
    <w:p>
      <w:pPr>
        <w:ind w:left="3100"/>
        <w:spacing w:after="0" w:line="234" w:lineRule="auto"/>
        <w:rPr>
          <w:sz w:val="20"/>
          <w:szCs w:val="20"/>
          <w:color w:val="auto"/>
        </w:rPr>
      </w:pPr>
      <w:r>
        <w:rPr>
          <w:rFonts w:ascii="Arial" w:cs="Arial" w:eastAsia="Arial" w:hAnsi="Arial"/>
          <w:sz w:val="18"/>
          <w:szCs w:val="18"/>
          <w:color w:val="auto"/>
        </w:rPr>
        <w:t>rules and do not otherwise decide to</w:t>
      </w:r>
    </w:p>
    <w:p>
      <w:pPr>
        <w:ind w:left="3100"/>
        <w:spacing w:after="0" w:line="235" w:lineRule="auto"/>
        <w:rPr>
          <w:sz w:val="20"/>
          <w:szCs w:val="20"/>
          <w:color w:val="auto"/>
        </w:rPr>
      </w:pPr>
      <w:r>
        <w:rPr>
          <w:rFonts w:ascii="Arial" w:cs="Arial" w:eastAsia="Arial" w:hAnsi="Arial"/>
          <w:sz w:val="18"/>
          <w:szCs w:val="18"/>
          <w:color w:val="auto"/>
        </w:rPr>
        <w:t>hold a stockholder vote, we will,</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pursuant to our amended and restated</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certificate of incorporation, conduct the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redemptions pursuant to the tender</w:t>
      </w:r>
    </w:p>
    <w:p>
      <w:pPr>
        <w:ind w:left="3100"/>
        <w:spacing w:after="0" w:line="234" w:lineRule="auto"/>
        <w:rPr>
          <w:sz w:val="20"/>
          <w:szCs w:val="20"/>
          <w:color w:val="auto"/>
        </w:rPr>
      </w:pPr>
      <w:r>
        <w:rPr>
          <w:rFonts w:ascii="Arial" w:cs="Arial" w:eastAsia="Arial" w:hAnsi="Arial"/>
          <w:sz w:val="18"/>
          <w:szCs w:val="18"/>
          <w:color w:val="auto"/>
        </w:rPr>
        <w:t>offer rules of the SEC and file tender</w:t>
      </w:r>
    </w:p>
    <w:p>
      <w:pPr>
        <w:ind w:left="3100"/>
        <w:spacing w:after="0" w:line="235" w:lineRule="auto"/>
        <w:rPr>
          <w:sz w:val="20"/>
          <w:szCs w:val="20"/>
          <w:color w:val="auto"/>
        </w:rPr>
      </w:pPr>
      <w:r>
        <w:rPr>
          <w:rFonts w:ascii="Arial" w:cs="Arial" w:eastAsia="Arial" w:hAnsi="Arial"/>
          <w:sz w:val="18"/>
          <w:szCs w:val="18"/>
          <w:color w:val="auto"/>
        </w:rPr>
        <w:t>offer documents with the SEC which</w:t>
      </w:r>
    </w:p>
    <w:p>
      <w:pPr>
        <w:ind w:left="3100"/>
        <w:spacing w:after="0" w:line="235" w:lineRule="auto"/>
        <w:rPr>
          <w:sz w:val="20"/>
          <w:szCs w:val="20"/>
          <w:color w:val="auto"/>
        </w:rPr>
      </w:pPr>
      <w:r>
        <w:rPr>
          <w:rFonts w:ascii="Arial" w:cs="Arial" w:eastAsia="Arial" w:hAnsi="Arial"/>
          <w:sz w:val="18"/>
          <w:szCs w:val="18"/>
          <w:color w:val="auto"/>
        </w:rPr>
        <w:t>will contain substantially the same</w:t>
      </w:r>
    </w:p>
    <w:p>
      <w:pPr>
        <w:ind w:left="3100"/>
        <w:spacing w:after="0" w:line="235" w:lineRule="auto"/>
        <w:rPr>
          <w:sz w:val="20"/>
          <w:szCs w:val="20"/>
          <w:color w:val="auto"/>
        </w:rPr>
      </w:pPr>
      <w:r>
        <w:rPr>
          <w:rFonts w:ascii="Arial" w:cs="Arial" w:eastAsia="Arial" w:hAnsi="Arial"/>
          <w:sz w:val="18"/>
          <w:szCs w:val="18"/>
          <w:color w:val="auto"/>
        </w:rPr>
        <w:t>financial and other information about</w:t>
      </w:r>
    </w:p>
    <w:p>
      <w:pPr>
        <w:ind w:left="3100"/>
        <w:spacing w:after="0"/>
        <w:rPr>
          <w:sz w:val="20"/>
          <w:szCs w:val="20"/>
          <w:color w:val="auto"/>
        </w:rPr>
      </w:pPr>
      <w:r>
        <w:rPr>
          <w:rFonts w:ascii="Arial" w:cs="Arial" w:eastAsia="Arial" w:hAnsi="Arial"/>
          <w:sz w:val="17"/>
          <w:szCs w:val="17"/>
          <w:color w:val="auto"/>
        </w:rPr>
        <w:t>the initial business combination and the</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redemption rights as is required under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the SEC’s proxy rules. If, however, we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hold a stockholder vote, we will, like</w:t>
      </w:r>
    </w:p>
    <w:p>
      <w:pPr>
        <w:ind w:left="3100"/>
        <w:spacing w:after="0"/>
        <w:rPr>
          <w:sz w:val="20"/>
          <w:szCs w:val="20"/>
          <w:color w:val="auto"/>
        </w:rPr>
      </w:pPr>
      <w:r>
        <w:rPr>
          <w:rFonts w:ascii="Arial" w:cs="Arial" w:eastAsia="Arial" w:hAnsi="Arial"/>
          <w:sz w:val="17"/>
          <w:szCs w:val="17"/>
          <w:color w:val="auto"/>
        </w:rPr>
        <w:t>many blank check companies, offer to</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redeem shares in conjunction with a</w:t>
      </w:r>
    </w:p>
    <w:p>
      <w:pPr>
        <w:ind w:left="3100"/>
        <w:spacing w:after="0"/>
        <w:rPr>
          <w:sz w:val="20"/>
          <w:szCs w:val="20"/>
          <w:color w:val="auto"/>
        </w:rPr>
      </w:pPr>
      <w:r>
        <w:rPr>
          <w:rFonts w:ascii="Arial" w:cs="Arial" w:eastAsia="Arial" w:hAnsi="Arial"/>
          <w:sz w:val="17"/>
          <w:szCs w:val="17"/>
          <w:color w:val="auto"/>
        </w:rPr>
        <w:t>proxy solicitation pursuant to the proxy</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rules and not pursuant to the tender</w:t>
      </w:r>
    </w:p>
    <w:p>
      <w:pPr>
        <w:ind w:left="3100"/>
        <w:spacing w:after="0"/>
        <w:rPr>
          <w:sz w:val="20"/>
          <w:szCs w:val="20"/>
          <w:color w:val="auto"/>
        </w:rPr>
      </w:pPr>
      <w:r>
        <w:rPr>
          <w:rFonts w:ascii="Arial" w:cs="Arial" w:eastAsia="Arial" w:hAnsi="Arial"/>
          <w:sz w:val="17"/>
          <w:szCs w:val="17"/>
          <w:color w:val="auto"/>
        </w:rPr>
        <w:t>offer rules. Pursuant to the tender offer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rules, the tender offer period will be not</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less than 20 business days and, in the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case of a stockholder vote, a final</w:t>
      </w:r>
    </w:p>
    <w:p>
      <w:pPr>
        <w:ind w:left="3100"/>
        <w:spacing w:after="0" w:line="234" w:lineRule="auto"/>
        <w:rPr>
          <w:sz w:val="20"/>
          <w:szCs w:val="20"/>
          <w:color w:val="auto"/>
        </w:rPr>
      </w:pPr>
      <w:r>
        <w:rPr>
          <w:rFonts w:ascii="Arial" w:cs="Arial" w:eastAsia="Arial" w:hAnsi="Arial"/>
          <w:sz w:val="18"/>
          <w:szCs w:val="18"/>
          <w:color w:val="auto"/>
        </w:rPr>
        <w:t>proxy statement would be mailed to</w:t>
      </w:r>
    </w:p>
    <w:p>
      <w:pPr>
        <w:ind w:left="3100"/>
        <w:spacing w:after="0" w:line="235" w:lineRule="auto"/>
        <w:rPr>
          <w:sz w:val="20"/>
          <w:szCs w:val="20"/>
          <w:color w:val="auto"/>
        </w:rPr>
      </w:pPr>
      <w:r>
        <w:rPr>
          <w:rFonts w:ascii="Arial" w:cs="Arial" w:eastAsia="Arial" w:hAnsi="Arial"/>
          <w:sz w:val="18"/>
          <w:szCs w:val="18"/>
          <w:color w:val="auto"/>
        </w:rPr>
        <w:t>public stockholders at least 10 days</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prior to the stockholder vote. However,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we expect that a draft proxy statement</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would be made available to such</w:t>
      </w:r>
    </w:p>
    <w:p>
      <w:pPr>
        <w:ind w:left="3100"/>
        <w:spacing w:after="0" w:line="234" w:lineRule="auto"/>
        <w:rPr>
          <w:sz w:val="20"/>
          <w:szCs w:val="20"/>
          <w:color w:val="auto"/>
        </w:rPr>
      </w:pPr>
      <w:r>
        <w:rPr>
          <w:rFonts w:ascii="Arial" w:cs="Arial" w:eastAsia="Arial" w:hAnsi="Arial"/>
          <w:sz w:val="18"/>
          <w:szCs w:val="18"/>
          <w:color w:val="auto"/>
        </w:rPr>
        <w:t>stockholders well in advance of such</w:t>
      </w:r>
    </w:p>
    <w:p>
      <w:pPr>
        <w:ind w:left="3100"/>
        <w:spacing w:after="0" w:line="235" w:lineRule="auto"/>
        <w:rPr>
          <w:sz w:val="20"/>
          <w:szCs w:val="20"/>
          <w:color w:val="auto"/>
        </w:rPr>
      </w:pPr>
      <w:r>
        <w:rPr>
          <w:rFonts w:ascii="Arial" w:cs="Arial" w:eastAsia="Arial" w:hAnsi="Arial"/>
          <w:sz w:val="18"/>
          <w:szCs w:val="18"/>
          <w:color w:val="auto"/>
        </w:rPr>
        <w:t>time, providing additional notice of</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redemption if we conduct redemptions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 conjunction with a proxy</w:t>
      </w:r>
    </w:p>
    <w:p>
      <w:pPr>
        <w:ind w:left="3100"/>
        <w:spacing w:after="0" w:line="234" w:lineRule="auto"/>
        <w:rPr>
          <w:sz w:val="20"/>
          <w:szCs w:val="20"/>
          <w:color w:val="auto"/>
        </w:rPr>
      </w:pPr>
      <w:r>
        <w:rPr>
          <w:rFonts w:ascii="Arial" w:cs="Arial" w:eastAsia="Arial" w:hAnsi="Arial"/>
          <w:sz w:val="18"/>
          <w:szCs w:val="18"/>
          <w:color w:val="auto"/>
        </w:rPr>
        <w:t>solicitation. If we seek stockholder</w:t>
      </w:r>
    </w:p>
    <w:p>
      <w:pPr>
        <w:ind w:left="3100"/>
        <w:spacing w:after="0" w:line="235" w:lineRule="auto"/>
        <w:rPr>
          <w:sz w:val="20"/>
          <w:szCs w:val="20"/>
          <w:color w:val="auto"/>
        </w:rPr>
      </w:pPr>
      <w:r>
        <w:rPr>
          <w:rFonts w:ascii="Arial" w:cs="Arial" w:eastAsia="Arial" w:hAnsi="Arial"/>
          <w:sz w:val="18"/>
          <w:szCs w:val="18"/>
          <w:color w:val="auto"/>
        </w:rPr>
        <w:t>approval, we will complete our initial</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business combination only if a majority</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the outstanding shares of common</w:t>
      </w:r>
    </w:p>
    <w:p>
      <w:pPr>
        <w:ind w:left="3100"/>
        <w:spacing w:after="0" w:line="234" w:lineRule="auto"/>
        <w:rPr>
          <w:sz w:val="20"/>
          <w:szCs w:val="20"/>
          <w:color w:val="auto"/>
        </w:rPr>
      </w:pPr>
      <w:r>
        <w:rPr>
          <w:rFonts w:ascii="Arial" w:cs="Arial" w:eastAsia="Arial" w:hAnsi="Arial"/>
          <w:sz w:val="18"/>
          <w:szCs w:val="18"/>
          <w:color w:val="auto"/>
        </w:rPr>
        <w:t>stock voted are voted in favor of the</w:t>
      </w:r>
    </w:p>
    <w:p>
      <w:pPr>
        <w:ind w:left="3100"/>
        <w:spacing w:after="0" w:line="235" w:lineRule="auto"/>
        <w:rPr>
          <w:sz w:val="20"/>
          <w:szCs w:val="20"/>
          <w:color w:val="auto"/>
        </w:rPr>
      </w:pPr>
      <w:r>
        <w:rPr>
          <w:rFonts w:ascii="Arial" w:cs="Arial" w:eastAsia="Arial" w:hAnsi="Arial"/>
          <w:sz w:val="18"/>
          <w:szCs w:val="18"/>
          <w:color w:val="auto"/>
        </w:rPr>
        <w:t>business combination. A quorum for</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such meeting will consist of the holders</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present in person or by proxy of shares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outstanding capital stock of the</w:t>
      </w:r>
    </w:p>
    <w:p>
      <w:pPr>
        <w:ind w:left="3100"/>
        <w:spacing w:after="0"/>
        <w:rPr>
          <w:sz w:val="20"/>
          <w:szCs w:val="20"/>
          <w:color w:val="auto"/>
        </w:rPr>
      </w:pPr>
      <w:r>
        <w:rPr>
          <w:rFonts w:ascii="Arial" w:cs="Arial" w:eastAsia="Arial" w:hAnsi="Arial"/>
          <w:sz w:val="18"/>
          <w:szCs w:val="18"/>
          <w:color w:val="auto"/>
        </w:rPr>
        <w:t>company representing a</w:t>
      </w: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679"/>
        <w:spacing w:after="0" w:line="246"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6120" w:space="220"/>
            <w:col w:w="379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32385</wp:posOffset>
            </wp:positionV>
            <wp:extent cx="19202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majority of the voting power of all</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outstanding shares of capital stock of</w:t>
      </w:r>
    </w:p>
    <w:p>
      <w:pPr>
        <w:ind w:left="3100"/>
        <w:spacing w:after="0" w:line="234" w:lineRule="auto"/>
        <w:rPr>
          <w:sz w:val="20"/>
          <w:szCs w:val="20"/>
          <w:color w:val="auto"/>
        </w:rPr>
      </w:pPr>
      <w:r>
        <w:rPr>
          <w:rFonts w:ascii="Arial" w:cs="Arial" w:eastAsia="Arial" w:hAnsi="Arial"/>
          <w:sz w:val="18"/>
          <w:szCs w:val="18"/>
          <w:color w:val="auto"/>
        </w:rPr>
        <w:t>the company entitled to vote at such</w:t>
      </w:r>
    </w:p>
    <w:p>
      <w:pPr>
        <w:ind w:left="3100"/>
        <w:spacing w:after="0" w:line="235" w:lineRule="auto"/>
        <w:rPr>
          <w:sz w:val="20"/>
          <w:szCs w:val="20"/>
          <w:color w:val="auto"/>
        </w:rPr>
      </w:pPr>
      <w:r>
        <w:rPr>
          <w:rFonts w:ascii="Arial" w:cs="Arial" w:eastAsia="Arial" w:hAnsi="Arial"/>
          <w:sz w:val="18"/>
          <w:szCs w:val="18"/>
          <w:color w:val="auto"/>
        </w:rPr>
        <w:t>meeting. Additionally, each public</w:t>
      </w:r>
    </w:p>
    <w:p>
      <w:pPr>
        <w:ind w:left="3100"/>
        <w:spacing w:after="0" w:line="235" w:lineRule="auto"/>
        <w:rPr>
          <w:sz w:val="20"/>
          <w:szCs w:val="20"/>
          <w:color w:val="auto"/>
        </w:rPr>
      </w:pPr>
      <w:r>
        <w:rPr>
          <w:rFonts w:ascii="Arial" w:cs="Arial" w:eastAsia="Arial" w:hAnsi="Arial"/>
          <w:sz w:val="18"/>
          <w:szCs w:val="18"/>
          <w:color w:val="auto"/>
        </w:rPr>
        <w:t>stockholder may elect to redeem its</w:t>
      </w:r>
    </w:p>
    <w:p>
      <w:pPr>
        <w:ind w:left="3100"/>
        <w:spacing w:after="0" w:line="235" w:lineRule="auto"/>
        <w:rPr>
          <w:sz w:val="20"/>
          <w:szCs w:val="20"/>
          <w:color w:val="auto"/>
        </w:rPr>
      </w:pPr>
      <w:r>
        <w:rPr>
          <w:rFonts w:ascii="Arial" w:cs="Arial" w:eastAsia="Arial" w:hAnsi="Arial"/>
          <w:sz w:val="18"/>
          <w:szCs w:val="18"/>
          <w:color w:val="auto"/>
        </w:rPr>
        <w:t>public shares without voting and, if</w:t>
      </w:r>
    </w:p>
    <w:p>
      <w:pPr>
        <w:ind w:left="3100"/>
        <w:spacing w:after="0" w:line="235" w:lineRule="auto"/>
        <w:rPr>
          <w:sz w:val="20"/>
          <w:szCs w:val="20"/>
          <w:color w:val="auto"/>
        </w:rPr>
      </w:pPr>
      <w:r>
        <w:rPr>
          <w:rFonts w:ascii="Arial" w:cs="Arial" w:eastAsia="Arial" w:hAnsi="Arial"/>
          <w:sz w:val="18"/>
          <w:szCs w:val="18"/>
          <w:color w:val="auto"/>
        </w:rPr>
        <w:t>they do vote, irrespective of whether</w:t>
      </w:r>
    </w:p>
    <w:p>
      <w:pPr>
        <w:ind w:left="3100"/>
        <w:spacing w:after="0" w:line="234" w:lineRule="auto"/>
        <w:rPr>
          <w:sz w:val="20"/>
          <w:szCs w:val="20"/>
          <w:color w:val="auto"/>
        </w:rPr>
      </w:pPr>
      <w:r>
        <w:rPr>
          <w:rFonts w:ascii="Arial" w:cs="Arial" w:eastAsia="Arial" w:hAnsi="Arial"/>
          <w:sz w:val="18"/>
          <w:szCs w:val="18"/>
          <w:color w:val="auto"/>
        </w:rPr>
        <w:t>they vote for or against the proposed</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transaction.</w:t>
      </w:r>
    </w:p>
    <w:p>
      <w:pPr>
        <w:spacing w:after="0" w:line="165"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7"/>
          <w:szCs w:val="17"/>
          <w:color w:val="auto"/>
        </w:rPr>
        <w:t>If we are unable to complete an initial</w:t>
      </w:r>
    </w:p>
    <w:p>
      <w:pPr>
        <w:spacing w:after="0" w:line="11"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deadline</w:t>
      </w:r>
      <w:r>
        <w:rPr>
          <w:sz w:val="20"/>
          <w:szCs w:val="20"/>
          <w:color w:val="auto"/>
        </w:rPr>
        <w:tab/>
      </w:r>
      <w:r>
        <w:rPr>
          <w:rFonts w:ascii="Arial" w:cs="Arial" w:eastAsia="Arial" w:hAnsi="Arial"/>
          <w:sz w:val="18"/>
          <w:szCs w:val="18"/>
          <w:color w:val="auto"/>
        </w:rPr>
        <w:t>business combination within the</w:t>
      </w:r>
    </w:p>
    <w:p>
      <w:pPr>
        <w:ind w:left="3100"/>
        <w:spacing w:after="0" w:line="234" w:lineRule="auto"/>
        <w:rPr>
          <w:sz w:val="20"/>
          <w:szCs w:val="20"/>
          <w:color w:val="auto"/>
        </w:rPr>
      </w:pPr>
      <w:r>
        <w:rPr>
          <w:rFonts w:ascii="Arial" w:cs="Arial" w:eastAsia="Arial" w:hAnsi="Arial"/>
          <w:sz w:val="18"/>
          <w:szCs w:val="18"/>
          <w:color w:val="auto"/>
        </w:rPr>
        <w:t>completion window, we will: (1) cease</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all operations except for the purpose of</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winding up; (2) as promptly as</w:t>
      </w:r>
    </w:p>
    <w:p>
      <w:pPr>
        <w:ind w:left="3100"/>
        <w:spacing w:after="0"/>
        <w:rPr>
          <w:sz w:val="20"/>
          <w:szCs w:val="20"/>
          <w:color w:val="auto"/>
        </w:rPr>
      </w:pPr>
      <w:r>
        <w:rPr>
          <w:rFonts w:ascii="Arial" w:cs="Arial" w:eastAsia="Arial" w:hAnsi="Arial"/>
          <w:sz w:val="17"/>
          <w:szCs w:val="17"/>
          <w:color w:val="auto"/>
        </w:rPr>
        <w:t>reasonably possible but not more than</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ten business days thereafter, redeem</w:t>
      </w:r>
    </w:p>
    <w:p>
      <w:pPr>
        <w:ind w:left="3100"/>
        <w:spacing w:after="0" w:line="234" w:lineRule="auto"/>
        <w:rPr>
          <w:sz w:val="20"/>
          <w:szCs w:val="20"/>
          <w:color w:val="auto"/>
        </w:rPr>
      </w:pPr>
      <w:r>
        <w:rPr>
          <w:rFonts w:ascii="Arial" w:cs="Arial" w:eastAsia="Arial" w:hAnsi="Arial"/>
          <w:sz w:val="18"/>
          <w:szCs w:val="18"/>
          <w:color w:val="auto"/>
        </w:rPr>
        <w:t>100% of the public shares, at a per</w:t>
      </w:r>
    </w:p>
    <w:p>
      <w:pPr>
        <w:ind w:left="3100"/>
        <w:spacing w:after="0" w:line="235" w:lineRule="auto"/>
        <w:rPr>
          <w:sz w:val="20"/>
          <w:szCs w:val="20"/>
          <w:color w:val="auto"/>
        </w:rPr>
      </w:pPr>
      <w:r>
        <w:rPr>
          <w:rFonts w:ascii="Arial" w:cs="Arial" w:eastAsia="Arial" w:hAnsi="Arial"/>
          <w:sz w:val="18"/>
          <w:szCs w:val="18"/>
          <w:color w:val="auto"/>
        </w:rPr>
        <w:t>share price, payable in cash, equal to</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the aggregate amount then on deposit in</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the trust account, including interest (net</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permitted withdrawals and up to</w:t>
      </w:r>
    </w:p>
    <w:p>
      <w:pPr>
        <w:ind w:left="3100"/>
        <w:spacing w:after="0"/>
        <w:rPr>
          <w:sz w:val="20"/>
          <w:szCs w:val="20"/>
          <w:color w:val="auto"/>
        </w:rPr>
      </w:pPr>
      <w:r>
        <w:rPr>
          <w:rFonts w:ascii="Arial" w:cs="Arial" w:eastAsia="Arial" w:hAnsi="Arial"/>
          <w:sz w:val="17"/>
          <w:szCs w:val="17"/>
          <w:color w:val="auto"/>
        </w:rPr>
        <w:t>$100,000 of interest to pay dissolution</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expenses), divided by the number of</w:t>
      </w:r>
    </w:p>
    <w:p>
      <w:pPr>
        <w:ind w:left="3100"/>
        <w:spacing w:after="0" w:line="234" w:lineRule="auto"/>
        <w:rPr>
          <w:sz w:val="20"/>
          <w:szCs w:val="20"/>
          <w:color w:val="auto"/>
        </w:rPr>
      </w:pPr>
      <w:r>
        <w:rPr>
          <w:rFonts w:ascii="Arial" w:cs="Arial" w:eastAsia="Arial" w:hAnsi="Arial"/>
          <w:sz w:val="18"/>
          <w:szCs w:val="18"/>
          <w:color w:val="auto"/>
        </w:rPr>
        <w:t>then outstanding public shares, which</w:t>
      </w:r>
    </w:p>
    <w:p>
      <w:pPr>
        <w:ind w:left="3100"/>
        <w:spacing w:after="0" w:line="235" w:lineRule="auto"/>
        <w:rPr>
          <w:sz w:val="20"/>
          <w:szCs w:val="20"/>
          <w:color w:val="auto"/>
        </w:rPr>
      </w:pPr>
      <w:r>
        <w:rPr>
          <w:rFonts w:ascii="Arial" w:cs="Arial" w:eastAsia="Arial" w:hAnsi="Arial"/>
          <w:sz w:val="18"/>
          <w:szCs w:val="18"/>
          <w:color w:val="auto"/>
        </w:rPr>
        <w:t>redemption will completely extinguish</w:t>
      </w:r>
    </w:p>
    <w:p>
      <w:pPr>
        <w:ind w:left="3100"/>
        <w:spacing w:after="0" w:line="235" w:lineRule="auto"/>
        <w:rPr>
          <w:sz w:val="20"/>
          <w:szCs w:val="20"/>
          <w:color w:val="auto"/>
        </w:rPr>
      </w:pPr>
      <w:r>
        <w:rPr>
          <w:rFonts w:ascii="Arial" w:cs="Arial" w:eastAsia="Arial" w:hAnsi="Arial"/>
          <w:sz w:val="18"/>
          <w:szCs w:val="18"/>
          <w:color w:val="auto"/>
        </w:rPr>
        <w:t>public stockholders’ rights as</w:t>
      </w:r>
    </w:p>
    <w:p>
      <w:pPr>
        <w:ind w:left="3100"/>
        <w:spacing w:after="0" w:line="235" w:lineRule="auto"/>
        <w:rPr>
          <w:sz w:val="20"/>
          <w:szCs w:val="20"/>
          <w:color w:val="auto"/>
        </w:rPr>
      </w:pPr>
      <w:r>
        <w:rPr>
          <w:rFonts w:ascii="Arial" w:cs="Arial" w:eastAsia="Arial" w:hAnsi="Arial"/>
          <w:sz w:val="18"/>
          <w:szCs w:val="18"/>
          <w:color w:val="auto"/>
        </w:rPr>
        <w:t>stockholders (including the right to</w:t>
      </w:r>
    </w:p>
    <w:p>
      <w:pPr>
        <w:ind w:left="3100"/>
        <w:spacing w:after="0"/>
        <w:rPr>
          <w:sz w:val="20"/>
          <w:szCs w:val="20"/>
          <w:color w:val="auto"/>
        </w:rPr>
      </w:pPr>
      <w:r>
        <w:rPr>
          <w:rFonts w:ascii="Arial" w:cs="Arial" w:eastAsia="Arial" w:hAnsi="Arial"/>
          <w:sz w:val="17"/>
          <w:szCs w:val="17"/>
          <w:color w:val="auto"/>
        </w:rPr>
        <w:t>receive further liquidating distributions,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if any), subject to applicable law; and</w:t>
      </w:r>
    </w:p>
    <w:p>
      <w:pPr>
        <w:ind w:left="3100"/>
        <w:spacing w:after="0"/>
        <w:rPr>
          <w:sz w:val="20"/>
          <w:szCs w:val="20"/>
          <w:color w:val="auto"/>
        </w:rPr>
      </w:pPr>
      <w:r>
        <w:rPr>
          <w:rFonts w:ascii="Arial" w:cs="Arial" w:eastAsia="Arial" w:hAnsi="Arial"/>
          <w:sz w:val="17"/>
          <w:szCs w:val="17"/>
          <w:color w:val="auto"/>
        </w:rPr>
        <w:t>(3) as promptly as reasonably possible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following such redemption, subject to</w:t>
      </w:r>
    </w:p>
    <w:p>
      <w:pPr>
        <w:ind w:left="3100"/>
        <w:spacing w:after="0" w:line="234" w:lineRule="auto"/>
        <w:rPr>
          <w:sz w:val="20"/>
          <w:szCs w:val="20"/>
          <w:color w:val="auto"/>
        </w:rPr>
      </w:pPr>
      <w:r>
        <w:rPr>
          <w:rFonts w:ascii="Arial" w:cs="Arial" w:eastAsia="Arial" w:hAnsi="Arial"/>
          <w:sz w:val="18"/>
          <w:szCs w:val="18"/>
          <w:color w:val="auto"/>
        </w:rPr>
        <w:t>the approval of our remaining</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stockholders and our board of directors,</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dissolve and liquidate, subject in each</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case to our obligations under Delaware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law to provide for claims of creditors</w:t>
      </w:r>
    </w:p>
    <w:p>
      <w:pPr>
        <w:ind w:left="3100"/>
        <w:spacing w:after="0" w:line="234" w:lineRule="auto"/>
        <w:rPr>
          <w:sz w:val="20"/>
          <w:szCs w:val="20"/>
          <w:color w:val="auto"/>
        </w:rPr>
      </w:pPr>
      <w:r>
        <w:rPr>
          <w:rFonts w:ascii="Arial" w:cs="Arial" w:eastAsia="Arial" w:hAnsi="Arial"/>
          <w:sz w:val="18"/>
          <w:szCs w:val="18"/>
          <w:color w:val="auto"/>
        </w:rPr>
        <w:t>and the requirements of other</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719"/>
        <w:spacing w:after="0" w:line="259"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6120" w:space="220"/>
            <w:col w:w="379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40" w:type="dxa"/>
            <w:vAlign w:val="bottom"/>
            <w:vMerge w:val="continue"/>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Except with respect to permitted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withdrawals, the funds held in the trust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account will not be released from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account until the earliest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(1) the completion of our initial</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(2)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of any public shares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properly submitted in connection with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stockholder vote to amend our amended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and restated certificate of incorporation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to modify the substance or timing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our obligation to provide for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of our public shares in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connection with an initial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combination or to redeem 100% of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public shares if we do not complete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9"/>
              </w:rPr>
              <w:t>initial business combination within the</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completion window; and (3)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redemption of all of our public shares if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we are unable to complete our initial</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within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completion window, subject to</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applicable law.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739"/>
        <w:spacing w:after="0" w:line="279"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and the failure to effect a business combination within the allotted time.</w:t>
      </w:r>
    </w:p>
    <w:p>
      <w:pPr>
        <w:spacing w:after="0" w:line="3772" w:lineRule="exact"/>
        <w:rPr>
          <w:sz w:val="20"/>
          <w:szCs w:val="20"/>
          <w:color w:val="auto"/>
        </w:rPr>
      </w:pPr>
    </w:p>
    <w:p>
      <w:pPr>
        <w:sectPr>
          <w:pgSz w:w="11900" w:h="16838" w:orient="portrait"/>
          <w:cols w:equalWidth="0" w:num="2">
            <w:col w:w="6120" w:space="220"/>
            <w:col w:w="3799"/>
          </w:cols>
          <w:pgMar w:left="320" w:top="131" w:right="1440" w:bottom="1440" w:gutter="0" w:footer="0" w:header="0"/>
        </w:sectPr>
      </w:pPr>
    </w:p>
    <w:p>
      <w:pPr>
        <w:ind w:left="1260"/>
        <w:spacing w:after="0" w:line="275"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20" w:lineRule="exact"/>
        <w:rPr>
          <w:sz w:val="20"/>
          <w:szCs w:val="20"/>
          <w:color w:val="auto"/>
        </w:rPr>
      </w:pPr>
      <w:r>
        <w:rPr>
          <w:sz w:val="20"/>
          <w:szCs w:val="20"/>
          <w:color w:val="auto"/>
        </w:rPr>
        <w:br w:type="column"/>
      </w:r>
    </w:p>
    <w:p>
      <w:pPr>
        <w:ind w:right="699"/>
        <w:spacing w:after="0"/>
        <w:rPr>
          <w:sz w:val="20"/>
          <w:szCs w:val="20"/>
          <w:color w:val="auto"/>
        </w:rPr>
      </w:pPr>
      <w:r>
        <w:rPr>
          <w:rFonts w:ascii="Arial" w:cs="Arial" w:eastAsia="Arial" w:hAnsi="Arial"/>
          <w:sz w:val="18"/>
          <w:szCs w:val="18"/>
          <w:color w:val="auto"/>
        </w:rPr>
        <w:t>Most blank check companies provide no restrictions on the ability of stockholders to redeem shares based on the number of shares held by such stockholders in connection with an initial business combination.</w:t>
      </w:r>
    </w:p>
    <w:p>
      <w:pPr>
        <w:spacing w:after="0" w:line="3641" w:lineRule="exact"/>
        <w:rPr>
          <w:sz w:val="20"/>
          <w:szCs w:val="20"/>
          <w:color w:val="auto"/>
        </w:rPr>
      </w:pPr>
    </w:p>
    <w:p>
      <w:pPr>
        <w:sectPr>
          <w:pgSz w:w="11900" w:h="16838" w:orient="portrait"/>
          <w:cols w:equalWidth="0" w:num="3">
            <w:col w:w="2880" w:space="220"/>
            <w:col w:w="3020" w:space="220"/>
            <w:col w:w="37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Tendering stock</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We may require our public stockholders</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certificates in</w:t>
            </w: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seeking to exercise their redemption</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connection with a</w:t>
            </w: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rights, whether they are record holders</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tender offer or</w:t>
            </w: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or hold their shares in “street name,” to</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redemption rights</w:t>
            </w:r>
          </w:p>
        </w:tc>
        <w:tc>
          <w:tcPr>
            <w:tcW w:w="3020" w:type="dxa"/>
            <w:vAlign w:val="bottom"/>
          </w:tcPr>
          <w:p>
            <w:pPr>
              <w:spacing w:after="0"/>
              <w:rPr>
                <w:sz w:val="20"/>
                <w:szCs w:val="20"/>
                <w:color w:val="auto"/>
              </w:rPr>
            </w:pPr>
            <w:r>
              <w:rPr>
                <w:rFonts w:ascii="Arial" w:cs="Arial" w:eastAsia="Arial" w:hAnsi="Arial"/>
                <w:sz w:val="18"/>
                <w:szCs w:val="18"/>
                <w:color w:val="auto"/>
              </w:rPr>
              <w:t>either tender their certificates to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transfer agent prior to the date set forth</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in the tender offer documents or proxy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materials mailed to such holders or up</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to two business days prior to the vote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on the proposal to approve the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9"/>
              </w:rPr>
              <w:t>combination in the event we distribute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proxy materials, or to deliver their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shares to the transfer agent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electronically using The Depository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Company’s DWAC</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(Deposit/Withdrawal At Custodian)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System, at the holder’s option.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tender offer or proxy materials, as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applicable, that we will furnish to</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holders of our public shares in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connection with our initial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combination will indicate whether we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are requiring public stockholders to</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satisfy such delivery requirements,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which will include the requirement that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5"/>
              </w:rPr>
              <w:t>any beneficial owner on whose behalf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right is being exercised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must identify itself in order to validly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redeem its shares. Accordingly,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public stockholder would have from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time we send out our tender offer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materials until the close of the tender</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5"/>
              </w:rPr>
              <w:t>offer period, or up to two business days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prior to the vote on the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combination if we distribute proxy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materials, as applicable, to tender its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shares if it wishes to seek to exercise its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redemption rights.</w:t>
            </w:r>
          </w:p>
        </w:tc>
        <w:tc>
          <w:tcPr>
            <w:tcW w:w="0" w:type="dxa"/>
            <w:vAlign w:val="bottom"/>
          </w:tcPr>
          <w:p>
            <w:pPr>
              <w:spacing w:after="0"/>
              <w:rPr>
                <w:sz w:val="1"/>
                <w:szCs w:val="1"/>
                <w:color w:val="auto"/>
              </w:rPr>
            </w:pPr>
          </w:p>
        </w:tc>
      </w:tr>
      <w:tr>
        <w:trPr>
          <w:trHeight w:val="648"/>
        </w:trPr>
        <w:tc>
          <w:tcPr>
            <w:tcW w:w="184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719"/>
        <w:spacing w:after="0" w:line="252"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5987" w:lineRule="exact"/>
        <w:rPr>
          <w:sz w:val="20"/>
          <w:szCs w:val="20"/>
          <w:color w:val="auto"/>
        </w:rPr>
      </w:pPr>
    </w:p>
    <w:p>
      <w:pPr>
        <w:sectPr>
          <w:pgSz w:w="11900" w:h="16838" w:orient="portrait"/>
          <w:cols w:equalWidth="0" w:num="2">
            <w:col w:w="6120" w:space="220"/>
            <w:col w:w="3799"/>
          </w:cols>
          <w:pgMar w:left="320" w:top="131" w:right="1440" w:bottom="1440" w:gutter="0" w:footer="0" w:header="0"/>
        </w:sectPr>
      </w:pPr>
    </w:p>
    <w:p>
      <w:pPr>
        <w:ind w:left="1260" w:right="759" w:firstLine="360"/>
        <w:spacing w:after="0" w:line="252"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Potential Conflicts of Interest Relating to M. Klein and Company</w:t>
      </w:r>
    </w:p>
    <w:p>
      <w:pPr>
        <w:spacing w:after="0" w:line="108" w:lineRule="exact"/>
        <w:rPr>
          <w:sz w:val="20"/>
          <w:szCs w:val="20"/>
          <w:color w:val="auto"/>
        </w:rPr>
      </w:pPr>
    </w:p>
    <w:p>
      <w:pPr>
        <w:ind w:left="1260" w:right="719" w:firstLine="360"/>
        <w:spacing w:after="0" w:line="274" w:lineRule="auto"/>
        <w:rPr>
          <w:sz w:val="20"/>
          <w:szCs w:val="20"/>
          <w:color w:val="auto"/>
        </w:rPr>
      </w:pPr>
      <w:r>
        <w:rPr>
          <w:rFonts w:ascii="Arial" w:cs="Arial" w:eastAsia="Arial" w:hAnsi="Arial"/>
          <w:sz w:val="17"/>
          <w:szCs w:val="17"/>
          <w:color w:val="auto"/>
        </w:rPr>
        <w:t>Our sponsor is an affiliate of M. Klein and Company. Mr. Klein is the founder and managing partner of M. Klein and Company and acts as a strategic advisor to its clients. Mr. Klein has a fiduciary duty to</w:t>
      </w:r>
    </w:p>
    <w:p>
      <w:pPr>
        <w:ind w:left="1260" w:right="819"/>
        <w:spacing w:after="0" w:line="253" w:lineRule="auto"/>
        <w:rPr>
          <w:sz w:val="20"/>
          <w:szCs w:val="20"/>
          <w:color w:val="auto"/>
        </w:rPr>
      </w:pPr>
      <w:r>
        <w:rPr>
          <w:rFonts w:ascii="Arial" w:cs="Arial" w:eastAsia="Arial" w:hAnsi="Arial"/>
          <w:sz w:val="18"/>
          <w:szCs w:val="18"/>
          <w:color w:val="auto"/>
        </w:rPr>
        <w:t>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 and after he has satisfied his contractual and fiduciary obligations to other parties.</w:t>
      </w:r>
    </w:p>
    <w:p>
      <w:pPr>
        <w:spacing w:after="0" w:line="85"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As a result, M. Klein and Company’s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M. Klein and Company, including by Mr. Klein and other persons who may make decisions for the company, may be suitable both for us and for M. Klein and Company or any of its clients, and will be directed initially to such persons rather than to us. None of Mr. Klein, M. Klein and Company or members of our management team who are also employed by M. Klein and Company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77"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In addition, Mr. Klein and M. Klein and Company may sponsor or form other blank check companies similar to ours during the period in which we are seeking an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6"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The potential conflicts described above may limit our ability to enter into a business combination or other transactions. These circumstances could give rise to numerous situations where interests may conflict.</w:t>
      </w:r>
    </w:p>
    <w:p>
      <w:pPr>
        <w:spacing w:after="0" w:line="3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Additionally, the engagement of M. Klein and Company, or another affiliate of our sponsor, as our lead financial advisor in connection with our initial business combination may present certain conflicts of interest.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There can be no assurance that these or other conflicts of interest with the potential for adverse effects on the Company and investors will not arise.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Our Access to Investment Opportunities Sourced by M. Klein and Company</w:t>
      </w:r>
    </w:p>
    <w:p>
      <w:pPr>
        <w:spacing w:after="0" w:line="10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M. Klein and Company may compete with us for acquisition opportunities that we may target for our initial business combination. If M. Klein and Company decides to pursue any such opportunity or determines in its sole discretion not to offer such opportunity to us, we may be precluded from procuring such opportunities. In addition, investment ideas generated within M. Klein and Company or by persons who may make decisions for us may be suitable for both us and for M. Klein and Company may be directed to M. Klein and Company or other third parties rather than to us. M. Klein and Company does not have any fiduciary, contractual or other obligations or duties to our company, including, without limitation, to present us with any opportunity for a potential business combination of which they become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management team, in their other endeavors (including any affiliation they may have with M. Klein and Company), may choose or be required to present potential business combinations or other transactions to M. Klein and Company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 all Members of Our Management Team are Independent of M. Klein and Company</w:t>
      </w:r>
    </w:p>
    <w:p>
      <w:pPr>
        <w:spacing w:after="0" w:line="10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Our management team is responsible for the management of our affairs. 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in his capacity as an officer or director of the Company. Please see “Management — Conflicts of Interest” for additional information regarding conflicts of interest relating to our management team.</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Sponsor Indemnity</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We believe the likelihood of our sponsor having to indemnify the trust account is limited because we will endeavor to have all vendors and prospective target businesses as well as other entities execute agreements with us waiving any right, title, interest or claim of any kind in or to monies held in the trust account.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84"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currently maintain our executive offices at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 The cost for this space is included in the $50,000 per month fee that we will pay an affiliate of our sponsor for office space, administrative and support services. We consider our current office space adequate for our current operations.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currently have [•]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to our company will vary based on whether a target business has been selected for our initial business combination and the current stage of the business combination process.</w:t>
      </w: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accounting firm.</w:t>
      </w:r>
    </w:p>
    <w:p>
      <w:pPr>
        <w:spacing w:after="0" w:line="63"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These financial statements may be required to be prepared in accordance with, or be reconciled to, GAAP or IFRS, depending on the circumstances and the historical financial statements may be required to be audited in accordance with the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76"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87"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8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73"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79" w:firstLine="8"/>
        <w:spacing w:after="0" w:line="265" w:lineRule="auto"/>
        <w:tabs>
          <w:tab w:leader="none" w:pos="1564" w:val="left"/>
        </w:tabs>
        <w:numPr>
          <w:ilvl w:val="0"/>
          <w:numId w:val="52"/>
        </w:numPr>
        <w:rPr>
          <w:rFonts w:ascii="Arial" w:cs="Arial" w:eastAsia="Arial" w:hAnsi="Arial"/>
          <w:sz w:val="17"/>
          <w:szCs w:val="17"/>
          <w:color w:val="auto"/>
        </w:rPr>
      </w:pPr>
      <w:r>
        <w:rPr>
          <w:rFonts w:ascii="Arial" w:cs="Arial" w:eastAsia="Arial" w:hAnsi="Arial"/>
          <w:sz w:val="17"/>
          <w:szCs w:val="17"/>
          <w:color w:val="auto"/>
        </w:rPr>
        <w:t>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right="103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ectPr>
          <w:pgSz w:w="11900" w:h="16838" w:orient="portrait"/>
          <w:cols w:equalWidth="0" w:num="1">
            <w:col w:w="10139"/>
          </w:cols>
          <w:pgMar w:left="320" w:top="131" w:right="1440" w:bottom="1440" w:gutter="0" w:footer="0" w:header="0"/>
        </w:sectPr>
      </w:pP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Director Nominees and Executive Officers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directors, director nominees and officers are as follows: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780" w:type="dxa"/>
            <w:vAlign w:val="bottom"/>
          </w:tcPr>
          <w:p>
            <w:pPr>
              <w:spacing w:after="0"/>
              <w:rPr>
                <w:sz w:val="20"/>
                <w:szCs w:val="20"/>
                <w:color w:val="auto"/>
              </w:rPr>
            </w:pPr>
            <w:r>
              <w:rPr>
                <w:rFonts w:ascii="Arial" w:cs="Arial" w:eastAsia="Arial" w:hAnsi="Arial"/>
                <w:sz w:val="14"/>
                <w:szCs w:val="14"/>
                <w:b w:val="1"/>
                <w:bCs w:val="1"/>
                <w:color w:val="auto"/>
              </w:rPr>
              <w:t>Title</w:t>
            </w:r>
          </w:p>
        </w:tc>
      </w:tr>
      <w:tr>
        <w:trPr>
          <w:trHeight w:val="26"/>
        </w:trPr>
        <w:tc>
          <w:tcPr>
            <w:tcW w:w="1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50"/>
        </w:trPr>
        <w:tc>
          <w:tcPr>
            <w:tcW w:w="1940" w:type="dxa"/>
            <w:vAlign w:val="bottom"/>
            <w:gridSpan w:val="2"/>
          </w:tcPr>
          <w:p>
            <w:pPr>
              <w:spacing w:after="0"/>
              <w:rPr>
                <w:sz w:val="20"/>
                <w:szCs w:val="20"/>
                <w:color w:val="auto"/>
              </w:rPr>
            </w:pPr>
            <w:r>
              <w:rPr>
                <w:rFonts w:ascii="Arial" w:cs="Arial" w:eastAsia="Arial" w:hAnsi="Arial"/>
                <w:sz w:val="18"/>
                <w:szCs w:val="18"/>
                <w:color w:val="auto"/>
              </w:rPr>
              <w:t>Michael Klein</w:t>
            </w:r>
          </w:p>
        </w:tc>
        <w:tc>
          <w:tcPr>
            <w:tcW w:w="280" w:type="dxa"/>
            <w:vAlign w:val="bottom"/>
          </w:tcPr>
          <w:p>
            <w:pPr>
              <w:ind w:left="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8"/>
              </w:rPr>
              <w:t>Chief Executive Officer, President and Chairman of the Board of Directors</w:t>
            </w: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Jay Taragin</w:t>
            </w:r>
          </w:p>
        </w:tc>
        <w:tc>
          <w:tcPr>
            <w:tcW w:w="280" w:type="dxa"/>
            <w:vAlign w:val="bottom"/>
          </w:tcPr>
          <w:p>
            <w:pPr>
              <w:ind w:left="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280" w:type="dxa"/>
            <w:vAlign w:val="bottom"/>
          </w:tcPr>
          <w:p>
            <w:pPr>
              <w:ind w:left="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6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Michael Klein </w:t>
      </w:r>
      <w:r>
        <w:rPr>
          <w:rFonts w:ascii="Arial" w:cs="Arial" w:eastAsia="Arial" w:hAnsi="Arial"/>
          <w:sz w:val="17"/>
          <w:szCs w:val="17"/>
          <w:color w:val="auto"/>
        </w:rPr>
        <w:t>is our Chief Executive Officer, President and the Chairman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Klein is also the Chief Executive Officer and Chairman of the Board of Directors of Churchill Capital Corp II, a blank check company whose sponsor is an affiliate of M. Klein and Company, LLC and Chief Executive Officer, President and Chairman of the Board of Directors of Churchill Capital Corp III, a blank check company whose sponsor is an affiliate of M. Klein and Company, LLC. Mr. Klein is currently a Director of Credit Suisse Group AG and Credit Suisse AG. Mr. Klein was the co-founder and Chairman of Churchill Capital Corp, a blank check company formed in 2018. Churchill Capital Corp merged with Clarivate Analytics in May 2019, and Mr. Klein currently serves on the board of directors of Clarivate Analytics. Mr. Klein is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30-year career, including more than two decades at Citi and its predecessors, during which he initiated and executed strategic advisory transactions. He began his career as an investment banker in the M&amp;A Advisory Group at Salomon Smith Barney and subsequently became Chairman and Co-Chief Executive Officer of Citi Markets and Banking, with responsibilities for global corporate and investment banking and Global Transaction Services across Citi. Mr. Klein is a graduate of The Wharton School of the University of Pennsylvania, where he earned his Bachelors of Science in Economics with concentrations in finance and accounting. Mr. Klein was selected to serve on the board of directors due to his significant investment banking and advisory experience.</w:t>
      </w:r>
    </w:p>
    <w:p>
      <w:pPr>
        <w:spacing w:after="0" w:line="79"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Jay Taragin </w:t>
      </w:r>
      <w:r>
        <w:rPr>
          <w:rFonts w:ascii="Arial" w:cs="Arial" w:eastAsia="Arial" w:hAnsi="Arial"/>
          <w:sz w:val="18"/>
          <w:szCs w:val="18"/>
          <w:color w:val="auto"/>
        </w:rPr>
        <w:t>is our Chief Financial Officer since May 2020. Mr. Taragin is also the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Churchill Capital Corp III since December 2019 and Chief Financial Officer of M. Klein and Company which he joined in May 2019. Prior to joining M. Klein and Company, Mr. Taragin served as the US Scotiabank Chief Financial Officer from 2013 to 2017. Prior to Scotiabank, Mr. Taragin held a Chief Operating and Financial Officer role from 2009 to 2012 at Fundcore Finance Group LLC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Glenn R. August </w:t>
      </w:r>
      <w:r>
        <w:rPr>
          <w:rFonts w:ascii="Arial" w:cs="Arial" w:eastAsia="Arial" w:hAnsi="Arial"/>
          <w:sz w:val="18"/>
          <w:szCs w:val="18"/>
          <w:color w:val="auto"/>
        </w:rPr>
        <w:t>is a Director Nominee and is also a Director of Churchill Capital Corp II and Churchill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Corp III. Mr. August is the Founder, Senior Partner and Chief Executive Officer of Oak Hill Advisors. In addition, he serves as global head of the firm’s distressed investment business. Mr. August has played leadership roles in numerous restructurings and served on numerous public and private company boards since 1987. Since 1996, he co-founded each of Oak Hill Advisors’ funds, where he serves as Managing Partner. He co-founded the predecessor firm to Oak Hill Advisors in 1987 and took over responsibility for its credit and distressed investment activities in 1990. Mr. August earned a Bachelor of Science degree from Cornell University and an M.B.A. from Harvard Business School, where he was a Baker Scholar.</w:t>
      </w: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Upon the effectiveness of the registration statement of which this prospectus forms a part, we expect that our board of directors will consist of [•] members. Holders of our founder shares will have the right to elect all of our directors prior to consummation of our initial business combination and holders of our public shares will not have the right to vote on the election of directors during such time. These provisions of our amended and restated certificate of incorporation may only be amended if approved by a majority of at least 90% of our common stock voting at a stockholder meeting. Our board of directors will be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 will expire at our first annual meeting of stockholders. The term of office of the second class of directors, consisting of [•], will expire at the second annual meeting of stockholders. The term of office of the third class of directors, consisting of [•], will expire at the third annual meeting of stockholders. We may not hold an annual meeting of stockholders until after we consummate our initial business combination.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founder shares.</w:t>
      </w:r>
    </w:p>
    <w:p>
      <w:pPr>
        <w:spacing w:after="0" w:line="7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will provide that our officers may consist of a Chief Executive Officer, a President, a Chief Financial Officer, Vice Presidents, a Secretary, Assistant Secretaries, a Treasurer, Assistant Treasurers and such other offices as may be determined by the board of directors.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initial public offering. An “independent director” is defined generally as a person that, in the opinion of the company’s board of directors, has no material relationship with the listed company (either directly or as a partner, shareholder or officer of an organization that has a relationship with the company). We expect to have “independent directors” as defined in the NYSE rules and applicable SEC rules prior to completion of this offering. Our board has determined that each of [•] is an independent director under applicable SEC and NYSE rules. Our independent directors will have regularly scheduled meetings at which only independent directors are present.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None of our officers or directors have received any compensation for services rendered to us. Our sponsor, officers, directors and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88" w:lineRule="exact"/>
        <w:rPr>
          <w:sz w:val="20"/>
          <w:szCs w:val="20"/>
          <w:color w:val="auto"/>
        </w:rPr>
      </w:pPr>
    </w:p>
    <w:p>
      <w:pPr>
        <w:ind w:left="1260" w:right="659" w:firstLine="36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Upon the effective date of the registration statement of which this prospectus forms a part,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NYSE and Rule 10A-3 of the Exchange Act require that the audit committee of a listed company be comprised solely of independent directors, and the rules of NYSE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The members of our audit committee will initially be [•] and [•] will serve as chairman of the audit committee.</w:t>
      </w:r>
    </w:p>
    <w:p>
      <w:pPr>
        <w:spacing w:after="0" w:line="76"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qualifies as an “audit committee financial expert” as defined in applicable SEC rules and has accounting or related financial management expertise.</w:t>
      </w:r>
    </w:p>
    <w:p>
      <w:pPr>
        <w:spacing w:after="0" w:line="76"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We will adopt an audit committee charter, which will detail the purpose and principal functions of the audit committee, including:</w:t>
      </w:r>
    </w:p>
    <w:p>
      <w:pPr>
        <w:spacing w:after="0" w:line="62" w:lineRule="exact"/>
        <w:rPr>
          <w:sz w:val="20"/>
          <w:szCs w:val="20"/>
          <w:color w:val="auto"/>
        </w:rPr>
      </w:pPr>
    </w:p>
    <w:p>
      <w:pPr>
        <w:ind w:left="1980" w:right="779" w:hanging="352"/>
        <w:spacing w:after="0" w:line="286" w:lineRule="auto"/>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43" w:lineRule="exact"/>
        <w:rPr>
          <w:rFonts w:ascii="Arial" w:cs="Arial" w:eastAsia="Arial" w:hAnsi="Arial"/>
          <w:sz w:val="17"/>
          <w:szCs w:val="17"/>
          <w:color w:val="auto"/>
        </w:rPr>
      </w:pPr>
    </w:p>
    <w:p>
      <w:pPr>
        <w:ind w:left="1980" w:right="799" w:hanging="352"/>
        <w:spacing w:after="0" w:line="342" w:lineRule="auto"/>
        <w:tabs>
          <w:tab w:leader="none" w:pos="1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appointment, compensation, retention, replacement, and oversight of the work of the independent auditors and any other independent registered public accounting firm engaged by us;</w:t>
      </w:r>
    </w:p>
    <w:p>
      <w:pPr>
        <w:spacing w:after="0" w:line="2" w:lineRule="exact"/>
        <w:rPr>
          <w:rFonts w:ascii="Arial" w:cs="Arial" w:eastAsia="Arial" w:hAnsi="Arial"/>
          <w:sz w:val="16"/>
          <w:szCs w:val="16"/>
          <w:color w:val="auto"/>
        </w:rPr>
      </w:pPr>
    </w:p>
    <w:p>
      <w:pPr>
        <w:ind w:left="1980" w:right="799" w:hanging="352"/>
        <w:spacing w:after="0" w:line="263"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62"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w:t>
      </w:r>
    </w:p>
    <w:p>
      <w:pPr>
        <w:spacing w:after="0" w:line="23" w:lineRule="exact"/>
        <w:rPr>
          <w:rFonts w:ascii="Arial" w:cs="Arial" w:eastAsia="Arial" w:hAnsi="Arial"/>
          <w:sz w:val="18"/>
          <w:szCs w:val="18"/>
          <w:color w:val="auto"/>
        </w:rPr>
      </w:pPr>
    </w:p>
    <w:p>
      <w:pPr>
        <w:ind w:left="1980" w:right="719"/>
        <w:spacing w:after="0" w:line="265" w:lineRule="auto"/>
        <w:rPr>
          <w:rFonts w:ascii="Arial" w:cs="Arial" w:eastAsia="Arial" w:hAnsi="Arial"/>
          <w:sz w:val="18"/>
          <w:szCs w:val="18"/>
          <w:color w:val="auto"/>
        </w:rPr>
      </w:pPr>
      <w:r>
        <w:rPr>
          <w:rFonts w:ascii="Arial" w:cs="Arial" w:eastAsia="Arial" w:hAnsi="Arial"/>
          <w:sz w:val="17"/>
          <w:szCs w:val="17"/>
          <w:color w:val="auto"/>
        </w:rPr>
        <w:t>(1) the independent auditor’s internal quality-control procedures and (2) any material issues raised by the most recent internal quality-control review, or peer review, of the audit firm, or by any inquiry or investigation by governmental or professional authorities, within the preceding</w:t>
      </w:r>
    </w:p>
    <w:p>
      <w:pPr>
        <w:ind w:left="1980" w:right="699"/>
        <w:spacing w:after="0" w:line="260" w:lineRule="auto"/>
        <w:rPr>
          <w:rFonts w:ascii="Arial" w:cs="Arial" w:eastAsia="Arial" w:hAnsi="Arial"/>
          <w:sz w:val="18"/>
          <w:szCs w:val="18"/>
          <w:color w:val="auto"/>
        </w:rPr>
      </w:pPr>
      <w:r>
        <w:rPr>
          <w:rFonts w:ascii="Arial" w:cs="Arial" w:eastAsia="Arial" w:hAnsi="Arial"/>
          <w:sz w:val="18"/>
          <w:szCs w:val="18"/>
          <w:color w:val="auto"/>
        </w:rPr>
        <w:t>five years respecting one or more independent audits carried out by the firm and any steps taken to deal with such issues;</w:t>
      </w:r>
    </w:p>
    <w:p>
      <w:pPr>
        <w:spacing w:after="0" w:line="63"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7"/>
          <w:szCs w:val="17"/>
          <w:color w:val="auto"/>
        </w:rPr>
        <w:t>Item 404 of Regulation S-K promulgated by the SEC prior to us entering into such transaction; and</w:t>
      </w:r>
    </w:p>
    <w:p>
      <w:pPr>
        <w:spacing w:after="0" w:line="141" w:lineRule="exact"/>
        <w:rPr>
          <w:rFonts w:ascii="Arial" w:cs="Arial" w:eastAsia="Arial" w:hAnsi="Arial"/>
          <w:sz w:val="18"/>
          <w:szCs w:val="18"/>
          <w:color w:val="auto"/>
        </w:rPr>
      </w:pPr>
    </w:p>
    <w:p>
      <w:pPr>
        <w:ind w:left="1980" w:right="739" w:hanging="352"/>
        <w:spacing w:after="0" w:line="255"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be [•] and [•] will serve as chairman of the compensation committee.</w:t>
      </w:r>
    </w:p>
    <w:p>
      <w:pPr>
        <w:spacing w:after="0" w:line="76"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We will adopt a compensation committee charter, which will detail the purpose and responsibility of the compensation committee, including:</w:t>
      </w:r>
    </w:p>
    <w:p>
      <w:pPr>
        <w:spacing w:after="0" w:line="89" w:lineRule="exact"/>
        <w:rPr>
          <w:sz w:val="20"/>
          <w:szCs w:val="20"/>
          <w:color w:val="auto"/>
        </w:rPr>
      </w:pPr>
    </w:p>
    <w:p>
      <w:pPr>
        <w:ind w:left="1980" w:right="759" w:hanging="352"/>
        <w:spacing w:after="0" w:line="259"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05" w:lineRule="exact"/>
        <w:rPr>
          <w:rFonts w:ascii="Arial" w:cs="Arial" w:eastAsia="Arial" w:hAnsi="Arial"/>
          <w:sz w:val="18"/>
          <w:szCs w:val="18"/>
          <w:color w:val="auto"/>
        </w:rPr>
      </w:pPr>
    </w:p>
    <w:p>
      <w:pPr>
        <w:ind w:left="1980" w:right="699" w:hanging="352"/>
        <w:spacing w:after="0" w:line="286" w:lineRule="auto"/>
        <w:tabs>
          <w:tab w:leader="none" w:pos="1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(or approving, if such authority is so delegated by our board of directors) the compensation, and any incentive-compensation and equity-based plans that are subject to board approval of all of our other officers;</w:t>
      </w:r>
    </w:p>
    <w:p>
      <w:pPr>
        <w:spacing w:after="0" w:line="84" w:lineRule="exact"/>
        <w:rPr>
          <w:rFonts w:ascii="Arial" w:cs="Arial" w:eastAsia="Arial" w:hAnsi="Arial"/>
          <w:sz w:val="17"/>
          <w:szCs w:val="17"/>
          <w:color w:val="auto"/>
        </w:rPr>
      </w:pPr>
    </w:p>
    <w:p>
      <w:pPr>
        <w:ind w:left="1980" w:hanging="352"/>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42" w:lineRule="exact"/>
        <w:rPr>
          <w:rFonts w:ascii="Arial" w:cs="Arial" w:eastAsia="Arial" w:hAnsi="Arial"/>
          <w:sz w:val="17"/>
          <w:szCs w:val="17"/>
          <w:color w:val="auto"/>
        </w:rPr>
      </w:pPr>
    </w:p>
    <w:p>
      <w:pPr>
        <w:ind w:left="1980" w:right="133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980" w:right="119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55" w:lineRule="exact"/>
        <w:rPr>
          <w:rFonts w:ascii="Arial" w:cs="Arial" w:eastAsia="Arial" w:hAnsi="Arial"/>
          <w:sz w:val="17"/>
          <w:szCs w:val="17"/>
          <w:color w:val="auto"/>
        </w:rPr>
      </w:pPr>
    </w:p>
    <w:p>
      <w:pPr>
        <w:ind w:left="1980" w:right="141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62" w:lineRule="exact"/>
        <w:rPr>
          <w:sz w:val="20"/>
          <w:szCs w:val="20"/>
          <w:color w:val="auto"/>
        </w:rPr>
      </w:pPr>
    </w:p>
    <w:p>
      <w:pPr>
        <w:jc w:val="both"/>
        <w:ind w:left="1260" w:right="1079" w:firstLine="360"/>
        <w:spacing w:after="0" w:line="28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w:t>
      </w:r>
    </w:p>
    <w:p>
      <w:pPr>
        <w:spacing w:after="0" w:line="57"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and corporate governance committee of the board of directors. The members of our nominating and corporate governance will be [•] and [•] will serve as chair of the nominating and corporate governance committee.</w:t>
      </w:r>
    </w:p>
    <w:p>
      <w:pPr>
        <w:spacing w:after="0" w:line="7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will adopt a nominating and corporate governance committee charter, which will detail the purpose and responsibilities of the nominating and corporate governance committee, including:</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59" w:hanging="352"/>
        <w:spacing w:after="0" w:line="259"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32"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102"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16"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62"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5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have adopted a Code of Ethics applicable to our directors, officers and employees. We will file a copy of our form of Code of Ethics and our audit committee charter as exhibits to the registration statement.</w:t>
      </w:r>
    </w:p>
    <w:p>
      <w:pPr>
        <w:spacing w:after="0" w:line="57"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You will be able to review these documents by accessing our public filings at the SEC’s website at www.sec.gov. In addition, a copy of the Code of Ethics will be provided without charge upon request from us. We intend to disclose any amendments to or waivers of certain provisions of our Code of Ethics in a Current Report on Form 8-K. Please see “Where You Can Find Additional Information.”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7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Our Strategic and Operating Partners and their personnel, if any, may have a duty to offer acquisition opportunities to clients or other parties. Such persons will have no duty to offer acquisition opportunities to the Company unless presented to them solely in their capacity as a director of the Company and after they have satisfied any contractual and fiduciary obligations to other parties.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As a result, such persons may compete with us for acquisition opportunities in the same industries and sectors as we may target for our initial business combination. Consequently, we may be precluded from procuring such opportunities. In addition, investment ideas may be suitable both for us and for a Strategic Partner or Operating Partner or any of its clients, and will be directed initially to such persons rather than to us.</w:t>
      </w:r>
    </w:p>
    <w:p>
      <w:pPr>
        <w:spacing w:after="0" w:line="8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In addition, any of our Strategic and Operating Partners or their personnel may sponsor or form other blank check companies similar to ours during the period in which we are seeking an initial business combination. In particular, the Operating Partners, as well as M. Klein and Company, Mr. Klein and our board of directors, are actively engaged in Churchill Capital Corp II and Churchill Capital Corp III, special purpose acquisition corporations that completed their initial public offerings in July 2019 and</w:t>
      </w:r>
    </w:p>
    <w:p>
      <w:pPr>
        <w:spacing w:after="0" w:line="3" w:lineRule="exact"/>
        <w:rPr>
          <w:sz w:val="20"/>
          <w:szCs w:val="20"/>
          <w:color w:val="auto"/>
        </w:rPr>
      </w:pPr>
    </w:p>
    <w:p>
      <w:pPr>
        <w:ind w:left="1260" w:right="819"/>
        <w:spacing w:after="0" w:line="253" w:lineRule="auto"/>
        <w:rPr>
          <w:sz w:val="20"/>
          <w:szCs w:val="20"/>
          <w:color w:val="auto"/>
        </w:rPr>
      </w:pPr>
      <w:r>
        <w:rPr>
          <w:rFonts w:ascii="Arial" w:cs="Arial" w:eastAsia="Arial" w:hAnsi="Arial"/>
          <w:sz w:val="18"/>
          <w:szCs w:val="18"/>
          <w:color w:val="auto"/>
        </w:rPr>
        <w:t>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sponsor, officers and directors may participate in the formation of, or become an officer or director of, any other blank check company prior to completion of our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85" w:lineRule="exact"/>
        <w:rPr>
          <w:sz w:val="20"/>
          <w:szCs w:val="20"/>
          <w:color w:val="auto"/>
        </w:rPr>
      </w:pPr>
    </w:p>
    <w:p>
      <w:pPr>
        <w:ind w:left="1980" w:right="959" w:hanging="352"/>
        <w:spacing w:after="0" w:line="263"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43" w:lineRule="exact"/>
        <w:rPr>
          <w:rFonts w:ascii="Arial" w:cs="Arial" w:eastAsia="Arial" w:hAnsi="Arial"/>
          <w:sz w:val="18"/>
          <w:szCs w:val="18"/>
          <w:color w:val="auto"/>
        </w:rPr>
      </w:pPr>
    </w:p>
    <w:p>
      <w:pPr>
        <w:ind w:left="1980" w:right="739" w:hanging="352"/>
        <w:spacing w:after="0" w:line="255"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 Please see “— Directors, Director Nominees and Executive Officers” for a description of our management’s other affiliations,</w:t>
      </w:r>
    </w:p>
    <w:p>
      <w:pPr>
        <w:spacing w:after="0" w:line="151" w:lineRule="exact"/>
        <w:rPr>
          <w:rFonts w:ascii="Arial" w:cs="Arial" w:eastAsia="Arial" w:hAnsi="Arial"/>
          <w:sz w:val="18"/>
          <w:szCs w:val="18"/>
          <w:color w:val="auto"/>
        </w:rPr>
      </w:pPr>
    </w:p>
    <w:p>
      <w:pPr>
        <w:ind w:left="1980" w:right="759" w:hanging="352"/>
        <w:spacing w:after="0" w:line="271"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39"/>
        <w:spacing w:after="0" w:line="267" w:lineRule="auto"/>
        <w:rPr>
          <w:sz w:val="20"/>
          <w:szCs w:val="20"/>
          <w:color w:val="auto"/>
        </w:rPr>
      </w:pPr>
      <w:r>
        <w:rPr>
          <w:rFonts w:ascii="Arial" w:cs="Arial" w:eastAsia="Arial" w:hAnsi="Arial"/>
          <w:sz w:val="17"/>
          <w:szCs w:val="17"/>
          <w:color w:val="auto"/>
        </w:rPr>
        <w:t>our initial business combination within the completion window.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stockholders until the earlier of: (1) one year after the completion of our initial business combination; and (2) the date on which we consummate a liquidation, merger, stock exchange, reorganization or other similar transaction after our initial business combination that results in all of our public stockholders having the right to exchange their shares of common stock for cash, securities or other property. Notwithstanding the foregoing, if the closing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shares of common stock underlying such warrants, will not be transferable, assignable or salable by our sponsor until 30 days after the completion of our initial business combination.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364" w:lineRule="exact"/>
        <w:rPr>
          <w:sz w:val="20"/>
          <w:szCs w:val="20"/>
          <w:color w:val="auto"/>
        </w:rPr>
      </w:pPr>
    </w:p>
    <w:p>
      <w:pPr>
        <w:ind w:left="1980" w:right="839" w:hanging="352"/>
        <w:spacing w:after="0" w:line="25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47" w:lineRule="exact"/>
        <w:rPr>
          <w:rFonts w:ascii="Arial" w:cs="Arial" w:eastAsia="Arial" w:hAnsi="Arial"/>
          <w:sz w:val="18"/>
          <w:szCs w:val="18"/>
          <w:color w:val="auto"/>
        </w:rPr>
      </w:pPr>
    </w:p>
    <w:p>
      <w:pPr>
        <w:ind w:left="1980" w:right="839" w:hanging="352"/>
        <w:spacing w:after="0" w:line="286"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key personnel may have a conflict of interest with respect to evaluating a particular business combination if the retention or resignation of any such key personnel was included by a target business as a condition to any agreement with respect to our initial business combination.</w:t>
      </w:r>
    </w:p>
    <w:p>
      <w:pPr>
        <w:spacing w:after="0" w:line="124" w:lineRule="exact"/>
        <w:rPr>
          <w:rFonts w:ascii="Arial" w:cs="Arial" w:eastAsia="Arial" w:hAnsi="Arial"/>
          <w:sz w:val="17"/>
          <w:szCs w:val="17"/>
          <w:color w:val="auto"/>
        </w:rPr>
      </w:pPr>
    </w:p>
    <w:p>
      <w:pPr>
        <w:ind w:left="1980" w:right="679" w:hanging="352"/>
        <w:spacing w:after="0" w:line="254"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17"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30" w:lineRule="exact"/>
        <w:rPr>
          <w:sz w:val="20"/>
          <w:szCs w:val="20"/>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98"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62"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Accordingly, as a result of multiple business affiliations, our officers and directors have similar legal obligations and duties relating to presenting business opportunities meeting the above-listed criteria to multiple entities. Furthermore, our amended and restated certificate of incorporation will provide that the doctrine of corporate opportunity will not apply with respect to any of our officers or directors in circumstances where the application of the doctrine would conflict with any fiduciary duties or contractual obligations they may have, and there will not be any expectancy that any of our directors or officers will</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3" w:lineRule="auto"/>
        <w:rPr>
          <w:sz w:val="20"/>
          <w:szCs w:val="20"/>
          <w:color w:val="auto"/>
        </w:rPr>
      </w:pPr>
      <w:r>
        <w:rPr>
          <w:rFonts w:ascii="Arial" w:cs="Arial" w:eastAsia="Arial" w:hAnsi="Arial"/>
          <w:sz w:val="18"/>
          <w:szCs w:val="18"/>
          <w:color w:val="auto"/>
        </w:rPr>
        <w:t>offer any such corporate opportunity of which he or she may become aware to us. Below is a table summarizing the entities to which our officers, directors and director nominees currently have fiduciary duties or contractual obligations that may present a conflict of interest:</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Name of Individual</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Entity Name</w:t>
            </w: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Entity’s Business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Affiliation</w:t>
            </w:r>
          </w:p>
        </w:tc>
      </w:tr>
      <w:tr>
        <w:trPr>
          <w:trHeight w:val="26"/>
        </w:trPr>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8"/>
                <w:szCs w:val="18"/>
                <w:color w:val="auto"/>
              </w:rPr>
              <w:t>Michael Klein</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M. Klein and Company</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Strategic advice</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Founder and Managing Partner</w:t>
            </w:r>
          </w:p>
        </w:tc>
      </w:tr>
      <w:tr>
        <w:trPr>
          <w:trHeight w:val="283"/>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 Suisse Group AG</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70"/>
        </w:trPr>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 Suisse AG</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2"/>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Clarivate Analytics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Information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services &amp;</w:t>
            </w:r>
          </w:p>
        </w:tc>
        <w:tc>
          <w:tcPr>
            <w:tcW w:w="250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analytics</w:t>
            </w:r>
          </w:p>
        </w:tc>
        <w:tc>
          <w:tcPr>
            <w:tcW w:w="2500" w:type="dxa"/>
            <w:vAlign w:val="bottom"/>
          </w:tcPr>
          <w:p>
            <w:pPr>
              <w:spacing w:after="0"/>
              <w:rPr>
                <w:sz w:val="20"/>
                <w:szCs w:val="20"/>
                <w:color w:val="auto"/>
              </w:rPr>
            </w:pP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Chief Executive Officer and</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Chairman of the Board of</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Directors</w:t>
            </w: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Executive Officer,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President and Chairman of</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the Board of Directors</w:t>
            </w:r>
          </w:p>
        </w:tc>
      </w:tr>
      <w:tr>
        <w:trPr>
          <w:trHeight w:val="297"/>
        </w:trPr>
        <w:tc>
          <w:tcPr>
            <w:tcW w:w="1740" w:type="dxa"/>
            <w:vAlign w:val="bottom"/>
            <w:gridSpan w:val="2"/>
          </w:tcPr>
          <w:p>
            <w:pPr>
              <w:spacing w:after="0"/>
              <w:rPr>
                <w:sz w:val="20"/>
                <w:szCs w:val="20"/>
                <w:color w:val="auto"/>
              </w:rPr>
            </w:pPr>
            <w:r>
              <w:rPr>
                <w:rFonts w:ascii="Arial" w:cs="Arial" w:eastAsia="Arial" w:hAnsi="Arial"/>
                <w:sz w:val="18"/>
                <w:szCs w:val="18"/>
                <w:color w:val="auto"/>
              </w:rPr>
              <w:t>Jay Taragin</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M. Klein and Company</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Strategic advice</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56"/>
        </w:trPr>
        <w:tc>
          <w:tcPr>
            <w:tcW w:w="17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rPr>
              <w:t>Oak Hill Advisors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Investment</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Founder, Senior Partner and</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42"/>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bl>
    <w:p>
      <w:pPr>
        <w:spacing w:after="0" w:line="242"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69"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0"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M. Klein and Company, one of our Strategic and Operating Partners, our sponsor, officers or directors. In the event we seek to complete our initial business combination with a business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In addition, our sponsor or any of its affiliates, or any of their respective clients,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8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officers and directors have agreed to vote any founder shares and any public shares held by them in favor of our initial business combination, and our officers and directors have also agreed to vote public shares purchased by them (if any) during or after this offering in favor of our initial business combination.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stockholders for breaches of their fiduciary duty as directors, except to the extent such exemption from liability or limitation thereof is not permitted by the DGCL.</w:t>
      </w:r>
    </w:p>
    <w:p>
      <w:pPr>
        <w:spacing w:after="0" w:line="8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permit us to maintain insurance on behalf of any officer, director or employee for any liability arising out of his or her actions, regardless of whether Delaware law would permit such indemnification. We will obtain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87"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8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62"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connection with this registration statement, we have undertaken that 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71" w:lineRule="exact"/>
        <w:rPr>
          <w:sz w:val="20"/>
          <w:szCs w:val="20"/>
          <w:color w:val="auto"/>
        </w:rPr>
      </w:pPr>
    </w:p>
    <w:p>
      <w:pPr>
        <w:ind w:left="1980" w:right="779" w:hanging="352"/>
        <w:spacing w:after="0" w:line="277"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11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warrants are not exercisable within 60 days of the date of this prospectus.</w:t>
      </w:r>
    </w:p>
    <w:p>
      <w:pPr>
        <w:spacing w:after="0" w:line="79" w:lineRule="exact"/>
        <w:rPr>
          <w:sz w:val="20"/>
          <w:szCs w:val="20"/>
          <w:color w:val="auto"/>
        </w:rPr>
      </w:pPr>
    </w:p>
    <w:p>
      <w:pPr>
        <w:jc w:val="both"/>
        <w:ind w:left="1260" w:right="899" w:firstLine="360"/>
        <w:spacing w:after="0" w:line="286" w:lineRule="auto"/>
        <w:rPr>
          <w:sz w:val="20"/>
          <w:szCs w:val="20"/>
          <w:color w:val="auto"/>
        </w:rPr>
      </w:pPr>
      <w:r>
        <w:rPr>
          <w:rFonts w:ascii="Arial" w:cs="Arial" w:eastAsia="Arial" w:hAnsi="Arial"/>
          <w:sz w:val="17"/>
          <w:szCs w:val="17"/>
          <w:color w:val="auto"/>
        </w:rPr>
        <w:t>The post-offering ownership percentage column below assumes that the underwriters do not exercise their option to purchase additional units, that our sponsor forfeits 2,812,500 founder shares and that there are 93,750,000 shares of our common stock issued and outstanding after this offering.</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Before</w:t>
            </w: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29"/>
        </w:trPr>
        <w:tc>
          <w:tcPr>
            <w:tcW w:w="5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0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86"/>
              </w:rPr>
              <w:t>Beneficially Owned</w:t>
            </w:r>
            <w:r>
              <w:rPr>
                <w:rFonts w:ascii="Arial" w:cs="Arial" w:eastAsia="Arial" w:hAnsi="Arial"/>
                <w:sz w:val="21"/>
                <w:szCs w:val="21"/>
                <w:b w:val="1"/>
                <w:bCs w:val="1"/>
                <w:color w:val="auto"/>
                <w:w w:val="86"/>
                <w:vertAlign w:val="superscript"/>
              </w:rPr>
              <w:t>(2)</w:t>
            </w:r>
          </w:p>
        </w:tc>
        <w:tc>
          <w:tcPr>
            <w:tcW w:w="2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Offering</w:t>
            </w:r>
          </w:p>
        </w:tc>
        <w:tc>
          <w:tcPr>
            <w:tcW w:w="66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86"/>
              </w:rPr>
              <w:t>Offering</w:t>
            </w:r>
            <w:r>
              <w:rPr>
                <w:rFonts w:ascii="Arial" w:cs="Arial" w:eastAsia="Arial" w:hAnsi="Arial"/>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Annetta Sponsor LLC</w:t>
            </w:r>
            <w:r>
              <w:rPr>
                <w:rFonts w:ascii="Arial" w:cs="Arial" w:eastAsia="Arial" w:hAnsi="Arial"/>
                <w:sz w:val="26"/>
                <w:szCs w:val="26"/>
                <w:color w:val="auto"/>
                <w:vertAlign w:val="superscript"/>
              </w:rPr>
              <w:t>(3)</w:t>
            </w:r>
          </w:p>
        </w:tc>
        <w:tc>
          <w:tcPr>
            <w:tcW w:w="220" w:type="dxa"/>
            <w:vAlign w:val="bottom"/>
            <w:vMerge w:val="continue"/>
            <w:shd w:val="clear" w:color="auto" w:fill="CCEEFF"/>
          </w:tcPr>
          <w:p>
            <w:pPr>
              <w:spacing w:after="0"/>
              <w:rPr>
                <w:sz w:val="22"/>
                <w:szCs w:val="22"/>
                <w:color w:val="auto"/>
              </w:rPr>
            </w:pP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21,562,500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line="270" w:lineRule="exact"/>
              <w:rPr>
                <w:sz w:val="20"/>
                <w:szCs w:val="20"/>
                <w:color w:val="auto"/>
              </w:rPr>
            </w:pPr>
            <w:r>
              <w:rPr>
                <w:rFonts w:ascii="Arial" w:cs="Arial" w:eastAsia="Arial" w:hAnsi="Arial"/>
                <w:sz w:val="18"/>
                <w:szCs w:val="18"/>
                <w:color w:val="auto"/>
              </w:rPr>
              <w:t>Michael Klein</w:t>
            </w:r>
            <w:r>
              <w:rPr>
                <w:rFonts w:ascii="Arial" w:cs="Arial" w:eastAsia="Arial" w:hAnsi="Arial"/>
                <w:sz w:val="26"/>
                <w:szCs w:val="26"/>
                <w:color w:val="auto"/>
                <w:vertAlign w:val="superscript"/>
              </w:rPr>
              <w:t>(3)</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21,562,500</w:t>
            </w:r>
          </w:p>
        </w:tc>
        <w:tc>
          <w:tcPr>
            <w:tcW w:w="2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Taragin</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 individuals)</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21,562,500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-839470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-839470</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-839470</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1119" w:hanging="352"/>
        <w:spacing w:after="0" w:line="268"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Annetta Acquisition Corp,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w:t>
      </w:r>
    </w:p>
    <w:p>
      <w:pPr>
        <w:spacing w:after="0" w:line="1" w:lineRule="exact"/>
        <w:rPr>
          <w:rFonts w:ascii="Arial" w:cs="Arial" w:eastAsia="Arial" w:hAnsi="Arial"/>
          <w:sz w:val="18"/>
          <w:szCs w:val="18"/>
          <w:color w:val="auto"/>
        </w:rPr>
      </w:pPr>
    </w:p>
    <w:p>
      <w:pPr>
        <w:ind w:left="1620" w:right="699" w:hanging="352"/>
        <w:spacing w:after="0" w:line="259"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Interests shown consist solely of shares of Class B common stock which are referred to herein as founder shares. Such shares will automatically convert into shares of Class A common stock at the time of our initial business combination on a one-for-one basis, subject to adjustment, as described in the section entitled “Description of Securities.”</w:t>
      </w:r>
    </w:p>
    <w:p>
      <w:pPr>
        <w:spacing w:after="0" w:line="78" w:lineRule="exact"/>
        <w:rPr>
          <w:rFonts w:ascii="Arial" w:cs="Arial" w:eastAsia="Arial" w:hAnsi="Arial"/>
          <w:sz w:val="18"/>
          <w:szCs w:val="18"/>
          <w:color w:val="auto"/>
        </w:rPr>
      </w:pPr>
    </w:p>
    <w:p>
      <w:pPr>
        <w:ind w:left="1620" w:right="739" w:hanging="352"/>
        <w:spacing w:after="0" w:line="263"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Michael Klein is the sole stockholder of M. Klein Associates, Inc., which is the managing member of Annetta Sponsor LLC. The shares beneficially owned by Annetta Sponsor LLC may also be deemed to be beneficially owned by Mr. Klein.</w:t>
      </w:r>
    </w:p>
    <w:p>
      <w:pPr>
        <w:spacing w:after="0" w:line="76"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Upon the completion of this offering, our initial stockholders will beneficially own 20.0% of the then issued and outstanding shares of our common stock. Our initial stockholders will have the right to elect all of our directors prior to the consummation of our initial business combination as a result of holding all of the founder shares. In addition, because of this ownership block, our initial stockholders may be able to effectively influence the outcome of all matters requiring approval by our stockholders, including amendments to our amended and restated certificate of incorporation and approval of significant corporate transactions.</w:t>
      </w:r>
    </w:p>
    <w:p>
      <w:pPr>
        <w:spacing w:after="0" w:line="8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sponsor has subscribed to purchase an aggregate of 16,000,000 (or 18,250,000 if the underwriters’ option to purchase additional units is exercised in full) private placement warrants at a price of $1.00 per warrant ($16,000,000 in the aggregate or $18,250,000 in the aggregate if the underwriters’ option to purchase additional units is exercised in full) in the Private Placement. Each private placement warrant entitles the holder thereof to purchase one share of our Class A common stock at $11.50 per share, subject to adjustment as provided herein. Proceeds from the private placement warrants will be added to the</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proceeds from this offering to be held in the trust account. If we do not complete our initial business combination within the completion window,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86"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Our sponsor is deemed to be our “promoter” as such term is defined under the federal securities laws. Please see “Certain Relationships and Related Party Transactions” for additional information regarding our relationships with our promoters.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founder shares, private placement warrants and any shares of Class A common stock issued upon conversion or exercise thereof are each subject to transfer restrictions pursuant to lock-up provisions in the letter agreement with us to be entered into by our initial stockholders. Those lock-up provisions provide that such securities are not transferable or salable (1) in the case of the founder shares, until the earlier of</w:t>
      </w:r>
    </w:p>
    <w:p>
      <w:pPr>
        <w:spacing w:after="0" w:line="2" w:lineRule="exact"/>
        <w:rPr>
          <w:sz w:val="20"/>
          <w:szCs w:val="20"/>
          <w:color w:val="auto"/>
        </w:rPr>
      </w:pPr>
    </w:p>
    <w:p>
      <w:pPr>
        <w:ind w:left="1260" w:right="679" w:firstLine="8"/>
        <w:spacing w:after="0" w:line="265" w:lineRule="auto"/>
        <w:tabs>
          <w:tab w:leader="none" w:pos="1569"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one year after the completion of our initial business combination and (B) subsequent to our initial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stock exchange, reorganization or other similar transaction that results in all of our public stockholders having the right to exchange their shares of Class A common stock for cash, securities or other property, and (2) in the case of the private placement warrants and the respective Class A common stock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w:t>
      </w:r>
    </w:p>
    <w:p>
      <w:pPr>
        <w:spacing w:after="0" w:line="2"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(c) in the case of an individual, by virtue of laws of descent and distribution upon death of the individual;</w:t>
      </w:r>
    </w:p>
    <w:p>
      <w:pPr>
        <w:spacing w:after="0" w:line="20" w:lineRule="exact"/>
        <w:rPr>
          <w:rFonts w:ascii="Arial" w:cs="Arial" w:eastAsia="Arial" w:hAnsi="Arial"/>
          <w:sz w:val="17"/>
          <w:szCs w:val="17"/>
          <w:color w:val="auto"/>
        </w:rPr>
      </w:pPr>
    </w:p>
    <w:p>
      <w:pPr>
        <w:ind w:left="1260" w:right="699"/>
        <w:spacing w:after="0" w:line="265" w:lineRule="auto"/>
        <w:rPr>
          <w:rFonts w:ascii="Arial" w:cs="Arial" w:eastAsia="Arial" w:hAnsi="Arial"/>
          <w:sz w:val="17"/>
          <w:szCs w:val="17"/>
          <w:color w:val="auto"/>
        </w:rPr>
      </w:pPr>
      <w:r>
        <w:rPr>
          <w:rFonts w:ascii="Arial" w:cs="Arial" w:eastAsia="Arial" w:hAnsi="Arial"/>
          <w:sz w:val="17"/>
          <w:szCs w:val="17"/>
          <w:color w:val="auto"/>
        </w:rPr>
        <w:t>(d) in the case of an individual, pursuant to a qualified domestic relations order; (e) transfers by private sales or transfers made in connection with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stock exchange, reorganization or other similar transaction which results in all of our public stockholders having the right to exchange their shares of Class A common stock for cash, securities or other property subsequent to our completion of our initial business combination; or</w:t>
      </w:r>
    </w:p>
    <w:p>
      <w:pPr>
        <w:spacing w:after="0" w:line="1" w:lineRule="exact"/>
        <w:rPr>
          <w:rFonts w:ascii="Arial" w:cs="Arial" w:eastAsia="Arial" w:hAnsi="Arial"/>
          <w:sz w:val="17"/>
          <w:szCs w:val="17"/>
          <w:color w:val="auto"/>
        </w:rPr>
      </w:pPr>
    </w:p>
    <w:p>
      <w:pPr>
        <w:ind w:left="1260" w:right="919"/>
        <w:spacing w:after="0" w:line="265" w:lineRule="auto"/>
        <w:rPr>
          <w:rFonts w:ascii="Arial" w:cs="Arial" w:eastAsia="Arial" w:hAnsi="Arial"/>
          <w:sz w:val="17"/>
          <w:szCs w:val="17"/>
          <w:color w:val="auto"/>
        </w:rPr>
      </w:pPr>
      <w:r>
        <w:rPr>
          <w:rFonts w:ascii="Arial" w:cs="Arial" w:eastAsia="Arial" w:hAnsi="Arial"/>
          <w:sz w:val="17"/>
          <w:szCs w:val="17"/>
          <w:color w:val="auto"/>
        </w:rPr>
        <w:t>(i) to a nominee or custodian of a person or entity to whom a disposition or transfer would be permissible under clauses (a) through (h) above, provided, however, that in the case of clauses (a) through (e) and</w:t>
      </w:r>
    </w:p>
    <w:p>
      <w:pPr>
        <w:ind w:left="1260" w:right="959"/>
        <w:spacing w:after="0" w:line="260" w:lineRule="auto"/>
        <w:rPr>
          <w:rFonts w:ascii="Arial" w:cs="Arial" w:eastAsia="Arial" w:hAnsi="Arial"/>
          <w:sz w:val="17"/>
          <w:szCs w:val="17"/>
          <w:color w:val="auto"/>
        </w:rPr>
      </w:pPr>
      <w:r>
        <w:rPr>
          <w:rFonts w:ascii="Arial" w:cs="Arial" w:eastAsia="Arial" w:hAnsi="Arial"/>
          <w:sz w:val="18"/>
          <w:szCs w:val="18"/>
          <w:color w:val="auto"/>
        </w:rPr>
        <w:t>(i) these permitted transferees must enter into a written agreement agreeing to be bound by these transfer restrictions and the other restrictions contained in the letter agreement.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shares of Class A common stock). The holders of these securities will be entitled to make up to three demands, excluding short form</w:t>
      </w:r>
    </w:p>
    <w:p>
      <w:pPr>
        <w:sectPr>
          <w:pgSz w:w="11900" w:h="16838" w:orient="portrait"/>
          <w:cols w:equalWidth="0" w:num="1">
            <w:col w:w="10139"/>
          </w:cols>
          <w:pgMar w:left="320" w:top="131" w:right="1440" w:bottom="1440" w:gutter="0" w:footer="0" w:header="0"/>
        </w:sect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spacing w:after="0" w:line="257" w:lineRule="auto"/>
        <w:rPr>
          <w:sz w:val="20"/>
          <w:szCs w:val="20"/>
          <w:color w:val="auto"/>
        </w:rPr>
      </w:pPr>
      <w:r>
        <w:rPr>
          <w:rFonts w:ascii="Arial" w:cs="Arial" w:eastAsia="Arial" w:hAnsi="Arial"/>
          <w:sz w:val="18"/>
          <w:szCs w:val="18"/>
          <w:color w:val="auto"/>
        </w:rPr>
        <w:t>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In May 2020, our sponsor purchased an aggregate of 21,562,500 founder shares for an aggregate purchase price of $25,000, or approximately $0.001 per share. The number of founder shares issued was determined based on the expectation that the founder shares would represent 20% of the outstanding shares of common stock upon completion of this offering. If we increase or decrease the size of this offering, we will effect a stock dividend or share contribution back to capital or other appropriate mechanism, as applicable,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w:t>
      </w:r>
    </w:p>
    <w:p>
      <w:pPr>
        <w:spacing w:after="0" w:line="8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Our sponsor has subscribed to purchase an aggregate of 16,000,000 (or 18,250,000 if the underwriters’ option to purchase additional units is exercised in full) private placement warrants for a purchase price of $1.00 per warrant in the Private Placement. As such, our sponsor’s interest in this transaction is valued at between $16,000,000 and $18,250,000, depending on the number of private placement warrants purchased. Each private placement warrant entitles the holder thereof to purchase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our sponsor until 30 days after the completion of our initial business combination.</w:t>
      </w:r>
    </w:p>
    <w:p>
      <w:pPr>
        <w:spacing w:after="0" w:line="73"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As described in “Proposed Business — Sourcing of Potential Business Combination Targets” and “Management — Conflicts of Interest,”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Our officers and directors currently have other relevant fiduciary, contractual or other obligations or duties that may take priority over their duties to us.</w:t>
      </w:r>
    </w:p>
    <w:p>
      <w:pPr>
        <w:spacing w:after="0" w:line="8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 Accordingly, in the event the consummation of our initial business combination takes the maximum 27 months, an affiliate of our sponsor will be paid a total of $1,350,000 ($50,000 per month) for office space, administrative and support services and will be entitled to be reimbursed for any out-of-pocket expenses.</w:t>
      </w:r>
    </w:p>
    <w:p>
      <w:pPr>
        <w:spacing w:after="0" w:line="8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87"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Our sponsor has agreed to loan us up to $600,000 under an unsecured promissory note to be used for a portion of the expenses of this offering. As of May 22, 2020, there were no amounts outstanding under such promissory note. These loans are non-interest bearing, unsecured and are due at the earlier of December 31, 2021 and the closing of this offering. These loans will be repaid upon completion of this offering out of the $1,000,000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if any,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officer and director compensation.</w:t>
      </w:r>
    </w:p>
    <w:p>
      <w:pPr>
        <w:spacing w:after="0" w:line="69" w:lineRule="exact"/>
        <w:rPr>
          <w:sz w:val="20"/>
          <w:szCs w:val="20"/>
          <w:color w:val="auto"/>
        </w:rPr>
      </w:pPr>
    </w:p>
    <w:p>
      <w:pPr>
        <w:jc w:val="both"/>
        <w:ind w:left="1260" w:right="1359" w:firstLine="360"/>
        <w:spacing w:after="0" w:line="263"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“Principal Stockholders — Registration Rights.”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Policy</w:t>
      </w:r>
    </w:p>
    <w:p>
      <w:pPr>
        <w:spacing w:after="0" w:line="108" w:lineRule="exact"/>
        <w:rPr>
          <w:sz w:val="20"/>
          <w:szCs w:val="20"/>
          <w:color w:val="auto"/>
        </w:rPr>
      </w:pPr>
    </w:p>
    <w:p>
      <w:pPr>
        <w:ind w:left="1260" w:right="1179" w:firstLine="360"/>
        <w:spacing w:after="0" w:line="263"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6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by us to our sponsor, officers or directors, or our or any of their affiliates.</w:t>
      </w:r>
    </w:p>
    <w:p>
      <w:pPr>
        <w:spacing w:after="0" w:line="70" w:lineRule="exact"/>
        <w:rPr>
          <w:sz w:val="20"/>
          <w:szCs w:val="20"/>
          <w:color w:val="auto"/>
        </w:rPr>
      </w:pPr>
    </w:p>
    <w:p>
      <w:pPr>
        <w:ind w:left="1260" w:right="979" w:firstLine="360"/>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3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which is a member of FINRA or an independent accounting firm that our initial business combination is fair to our company from a financial point of view. There will be no finder’s fees, reimbursement, consulting fee, monies in respect of any payment of a loan or other compensation paid by us to our sponsor, officers or directors or our or any of their respective affiliates, for services rendered to us prior to or in connection with the completion of our initial business combination (regardless of the type of</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63" w:lineRule="auto"/>
        <w:rPr>
          <w:sz w:val="20"/>
          <w:szCs w:val="20"/>
          <w:color w:val="auto"/>
        </w:rPr>
      </w:pPr>
      <w:r>
        <w:rPr>
          <w:rFonts w:ascii="Arial" w:cs="Arial" w:eastAsia="Arial" w:hAnsi="Arial"/>
          <w:sz w:val="18"/>
          <w:szCs w:val="18"/>
          <w:color w:val="auto"/>
        </w:rPr>
        <w:t>transaction that it is). However, the following payments may be made to our sponsor, officers or directors, or our or their affiliates, and, if made prior to our initial business combination will be made from (i) funds held outside the trust account or (ii) permitted withdrawals:</w:t>
      </w:r>
    </w:p>
    <w:p>
      <w:pPr>
        <w:spacing w:after="0" w:line="157" w:lineRule="exact"/>
        <w:rPr>
          <w:sz w:val="20"/>
          <w:szCs w:val="20"/>
          <w:color w:val="auto"/>
        </w:rPr>
      </w:pPr>
    </w:p>
    <w:p>
      <w:pPr>
        <w:ind w:left="1980" w:right="69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repayment of an aggregate of up to $600,000 in loans made to us by our sponsor to cover offering-related and organizational expenses;</w:t>
      </w:r>
    </w:p>
    <w:p>
      <w:pPr>
        <w:spacing w:after="0" w:line="129" w:lineRule="exact"/>
        <w:rPr>
          <w:rFonts w:ascii="Arial" w:cs="Arial" w:eastAsia="Arial" w:hAnsi="Arial"/>
          <w:sz w:val="18"/>
          <w:szCs w:val="18"/>
          <w:color w:val="auto"/>
        </w:rPr>
      </w:pPr>
    </w:p>
    <w:p>
      <w:pPr>
        <w:jc w:val="both"/>
        <w:ind w:left="1980" w:right="819" w:hanging="352"/>
        <w:spacing w:after="0" w:line="263"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the closing of our initial business combination, a customary financial advisory fee to M. Klein and Company, or another affiliate of our sponsor, in an amount that constitutes a market standard financial advisory fee for comparable transactions;</w:t>
      </w:r>
    </w:p>
    <w:p>
      <w:pPr>
        <w:spacing w:after="0" w:line="143"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 to an affiliate of our sponsor of a total of $50,000 per month, for up to 27 months, for office space, administrative and support services;</w:t>
      </w:r>
    </w:p>
    <w:p>
      <w:pPr>
        <w:spacing w:after="0" w:line="143"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29" w:lineRule="exact"/>
        <w:rPr>
          <w:rFonts w:ascii="Arial" w:cs="Arial" w:eastAsia="Arial" w:hAnsi="Arial"/>
          <w:sz w:val="18"/>
          <w:szCs w:val="18"/>
          <w:color w:val="auto"/>
        </w:rPr>
      </w:pPr>
    </w:p>
    <w:p>
      <w:pPr>
        <w:ind w:left="1980" w:right="759" w:hanging="352"/>
        <w:spacing w:after="0" w:line="275" w:lineRule="auto"/>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repayment of loans which may be made by our sponsor, an affiliate of our sponsor or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of the post-business combination entity at a price of $1.00 per warrant at the option of the lender.</w:t>
      </w:r>
    </w:p>
    <w:p>
      <w:pPr>
        <w:spacing w:after="0" w:line="6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These payments may be made using funds that are not held in the trust account or, upon completion of the initial business combination, from any amounts remaining from the proceeds of the trust account released to us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DESCRIPTION OF SECURITIES</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Pursuant to our amended and restated certificate of incorporation, our authorized capital stock will consist of 240,000,000 shares of Class A common stock, $0.0001 par value, 60,000,000 shares of Class B common stock, $0.0001 par value, and 1,000,000 shares of undesignated preferred stock, $0.0001 par value. The following description summarizes the material terms of our capital stock. Because it is only a summary, it may not contain all the information that is important to you.</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Units</w:t>
      </w:r>
    </w:p>
    <w:p>
      <w:pPr>
        <w:spacing w:after="0" w:line="108"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Each unit has an offering price of $10.00 and consists of one share of Class A common stock and one-fourth of one redeemable warrant. Each whole warrant entitles the holder thereof to purchase one share of our Class A common stock at a price of $11.50 per share, subject to adjustment as described in this prospectus. Pursuant to the warrant agreement, a warrant holder may exercise its warrants only for a whole number of shares of the company’s Class A common stock. This means only a whole warrant may be exercised at any given time by a warrant holder. No fractional warrants will be issued upon separation of the units and only whole warrants will trade.</w:t>
      </w:r>
    </w:p>
    <w:p>
      <w:pPr>
        <w:spacing w:after="0" w:line="63" w:lineRule="exact"/>
        <w:rPr>
          <w:sz w:val="20"/>
          <w:szCs w:val="20"/>
          <w:color w:val="auto"/>
        </w:rPr>
      </w:pPr>
    </w:p>
    <w:p>
      <w:pPr>
        <w:ind w:left="1260" w:right="739" w:firstLine="360"/>
        <w:spacing w:after="0" w:line="246" w:lineRule="auto"/>
        <w:rPr>
          <w:sz w:val="20"/>
          <w:szCs w:val="20"/>
          <w:color w:val="auto"/>
        </w:rPr>
      </w:pPr>
      <w:r>
        <w:rPr>
          <w:rFonts w:ascii="Arial" w:cs="Arial" w:eastAsia="Arial" w:hAnsi="Arial"/>
          <w:sz w:val="18"/>
          <w:szCs w:val="18"/>
          <w:color w:val="auto"/>
        </w:rPr>
        <w:t>The common stock and warrants constituting the units will begin separate trading on the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following the closing of this offering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four units, you will not be able to receive or trade a whole warrant.</w:t>
      </w:r>
    </w:p>
    <w:p>
      <w:pPr>
        <w:spacing w:after="0" w:line="89"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which will include this audited balance sheet,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260" w:right="1259" w:firstLine="360"/>
        <w:spacing w:after="0" w:line="263" w:lineRule="auto"/>
        <w:rPr>
          <w:sz w:val="20"/>
          <w:szCs w:val="20"/>
          <w:color w:val="auto"/>
        </w:rPr>
      </w:pPr>
      <w:r>
        <w:rPr>
          <w:rFonts w:ascii="Arial" w:cs="Arial" w:eastAsia="Arial" w:hAnsi="Arial"/>
          <w:sz w:val="18"/>
          <w:szCs w:val="18"/>
          <w:color w:val="auto"/>
        </w:rPr>
        <w:t>Upon the closing of this offering, 93,750,000 shares of our common stock will be outstanding (assuming no exercise of the underwriters’ option to purchase additional units and the corresponding forfeiture of 2,812,500 founder shares by our sponsor), including:</w:t>
      </w:r>
    </w:p>
    <w:p>
      <w:pPr>
        <w:spacing w:after="0" w:line="103" w:lineRule="exact"/>
        <w:rPr>
          <w:sz w:val="20"/>
          <w:szCs w:val="20"/>
          <w:color w:val="auto"/>
        </w:rPr>
      </w:pPr>
    </w:p>
    <w:p>
      <w:pPr>
        <w:ind w:left="1980" w:right="65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75,000,000 shares of our Class A common stock underlying the units being offered in this offering; and</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18,750,000 shares of Class B common stock held by our initial stockholders.</w:t>
      </w:r>
    </w:p>
    <w:p>
      <w:pPr>
        <w:spacing w:after="0" w:line="11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w:t>
      </w:r>
    </w:p>
    <w:p>
      <w:pPr>
        <w:spacing w:after="0" w:line="80"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 These provisions of our amended and restated certificate of incorporation may only be amended if approved by a majority</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of at least 90% of our common stock voting at a stockholder meeting.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Directors will be divided into three classes, each of which will generally serve for a term of three years with only one class elected in each year. There is no cumulative voting with respect to the election of directors. Our stockholders are entitled to receive ratable dividends when, as and if declared by the board of directors out of funds legally available therefor.</w:t>
      </w:r>
    </w:p>
    <w:p>
      <w:pPr>
        <w:spacing w:after="0" w:line="8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Because our amended and restated certificate of incorporation will authorize the issuance of up to 240,000,000 shares of Class A common stock, if we were to enter into a business combination, we may (depending on the terms of such a business combination) be required to increase the number of shares of common stock which we are authorized to issue at the same time as our stockholders vote on the business combination to the extent we seek stockholder approval in connection with our initial business combination.</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accordance with the NYSE corporate governance requirements, we are not required to hold an annual meeting until not later than one year after our first fiscal year end following our listing on the NYSE.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86"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Permitted transferees of our sponsor, officers or directors will be subject to the same obligations.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stockholder vote is not required by applicable law or stock exchange listing requirements and we do not decide to hold a stockholder vote for business or other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rules, or we decide to obtain stockholder approval for business or other reasons, we will, like many blank check companies, offer to redeem shares in conjunction with a proxy solicitation pursuant to the proxy rules and not pursuant to the tender offer rules. If we seek stockholder approval, unless a different vote is required by applicable law or stock exchange rules, we will complete our initial business combination only if a majority of the outstanding shares of common stock voted are voted</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in favor of the business combination. Unless otherwise required by applicable law or stock exchange rules, a quorum for such meeting will consist of the holders present in person or by proxy of shares of outstanding capital stock of the company representing a majority of the voting power of all outstanding shares of capital stock of the company entitled to vote at such meeting. However, the participation of our sponsor, officers, directors, advisors or any of their respective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agreements may make it more likely that we will consummate our initial business combination.</w:t>
      </w:r>
    </w:p>
    <w:p>
      <w:pPr>
        <w:spacing w:after="0" w:line="9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business combination. And, as a result, such stockholders will continue to hold that number of shares exceeding 15% and, in order to dispose such shares would be required to sell their stock in open market transactions, potentially at a loss.</w:t>
      </w:r>
    </w:p>
    <w:p>
      <w:pPr>
        <w:spacing w:after="0" w:line="76"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officers and directors have (and their permitted transferees, as applicable, will agree) agreed to vote any founder shares and any public shares held by them in favor of our initial business combination. As a result, in addition to our initial stockholders’ founder shares, we would need 28,125,001, or 37.5%, of the 75,000,000 public shares sold in this offering to be voted in favor of our initial business combination (assuming all issued and outstanding shares are voted and the option to purchase additional units is not exercised) in order to have such initial business combination approved. Additionally, each public stockholder may elect to redeem its public shares without voting, and if they do vote, irrespective of whether they vote for or against the proposed transaction.</w:t>
      </w:r>
    </w:p>
    <w:p>
      <w:pPr>
        <w:spacing w:after="0" w:line="88"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the completion window, we will: (1) cease all operations except for the purpose of winding up; (2) as promptly as reasonably possible but no more than ten business days thereafter, subject to lawfully available funds therefor,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after this offering, they will be entitled to liquidating distributions from the trust account with respect to such public shares if we fail to complete our initial business combination within the completion window.</w:t>
      </w: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on deposit in the trust account as of two business days prior to the consummation of our initial business combination, including interest (net of permitted withdrawals), upon the completion of our initial business combination, subject to the limitations described herein.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 If we submit our initial business combination to our public stockholders for a vote, our initial stockholders, officers and directors have agreed (and their permitted transferees, as applicable, will agree) to vote any founder shares and any public shares held by them in favor of our initial business combination.</w:t>
      </w:r>
    </w:p>
    <w:p>
      <w:pPr>
        <w:spacing w:after="0" w:line="7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our initial business combination on a one-for-one basis, subject to adjustment as provided herein. In the case that additional shares of Class A common stock, or equity-linked securities, are issued or deemed issued in excess of the amounts sold in this offering and related to the closing of our initial business combination, the ratio at which shares of Class B common stock shall convert into shares of Class A common stock will be adjusted (unless the holders of a majority of the outstanding shares of Class B common stock agree to waive such anti-dilution adjustment with respect to any such issuance or deemed issuance) so that the number of shares of Class A common stock issuable upon conversion of all shares of Class B common stock will equal, in the aggregate, on an as-converted basis, 20% of the total number of all shares of common stock outstanding upon completion of this offering plus all shares of Class A common stock and equity-linked securities issued or deemed issued in connection with our initial business combination (net of the number of shares of Class A common stock redeemed in connection with our initial business combination), excluding any shares or equity-linked securities issued, or to be issued, to any seller in our initial business combination in consideration for such seller’s interest in the business combination target and any private placement warrants issued upon the conversion of working capital loans made to us.</w:t>
      </w:r>
    </w:p>
    <w:p>
      <w:pPr>
        <w:spacing w:after="0" w:line="7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and other permitted transferees, each of whom will be subject to the same transfer restrictions) until the earlier of (A) one year after the completion of our initial business combination, (B) subsequent to our initial business combination, if the closing price of our Class A common stock equals or exceeds $12.00 per share (as</w:t>
      </w: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adjusted for stock splits, stock dividends, reorganizations, recapitalizations and the like) for any 20 trading days within any 30-trading day period commencing at least 150 days after our initial business combination, and (C) following the completion of our initial business combination, such future date on which we complete a liquidation, merger, stock exchange, reorganization or other similar transaction that results in all of our public stockholders having the right to exchange their shares of common stock for cash, securities or other property.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authorize 1,000,000 shares of preferred stock and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04"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Each whole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four units, you will not be able to receive or trade a whole warrant. The warrants will expire five years after the completion of our initial business combination, at 5:00 p.m., New York City time, or earlier upon redemption or liquidation.</w:t>
      </w:r>
    </w:p>
    <w:p>
      <w:pPr>
        <w:spacing w:after="0" w:line="73"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7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our Class A common stock is at the time of any exercise of a warrant not listed on a national securities exchange such that it satisfies the definition of a</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74" w:lineRule="auto"/>
        <w:rPr>
          <w:sz w:val="20"/>
          <w:szCs w:val="20"/>
          <w:color w:val="auto"/>
        </w:rPr>
      </w:pPr>
      <w:r>
        <w:rPr>
          <w:rFonts w:ascii="Arial" w:cs="Arial" w:eastAsia="Arial" w:hAnsi="Arial"/>
          <w:sz w:val="17"/>
          <w:szCs w:val="17"/>
          <w:color w:val="auto"/>
        </w:rPr>
        <w:t>“covered security” under Section 18(b)(1) of the Securities Act, we may, at our option, require holders of public warrants who exercise their warrants to do so on a “cashless basis” in accordance with Section 3(a)</w:t>
      </w:r>
    </w:p>
    <w:p>
      <w:pPr>
        <w:ind w:left="1260" w:right="799" w:firstLine="8"/>
        <w:spacing w:after="0" w:line="255" w:lineRule="auto"/>
        <w:tabs>
          <w:tab w:leader="none" w:pos="15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8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b w:val="1"/>
          <w:bCs w:val="1"/>
          <w:i w:val="1"/>
          <w:iCs w:val="1"/>
          <w:color w:val="auto"/>
        </w:rPr>
        <w:t xml:space="preserve">Redemption of Warrants for Cash. </w:t>
      </w:r>
      <w:r>
        <w:rPr>
          <w:rFonts w:ascii="Arial" w:cs="Arial" w:eastAsia="Arial" w:hAnsi="Arial"/>
          <w:sz w:val="18"/>
          <w:szCs w:val="18"/>
          <w:color w:val="auto"/>
        </w:rPr>
        <w:t>Once the warrants become exercisable, we may call the warrants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w:t>
      </w:r>
    </w:p>
    <w:p>
      <w:pPr>
        <w:spacing w:after="0" w:line="116" w:lineRule="exact"/>
        <w:rPr>
          <w:sz w:val="20"/>
          <w:szCs w:val="20"/>
          <w:color w:val="auto"/>
        </w:rPr>
      </w:pPr>
    </w:p>
    <w:p>
      <w:pPr>
        <w:ind w:left="1980" w:hanging="352"/>
        <w:spacing w:after="0"/>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116" w:lineRule="exact"/>
        <w:rPr>
          <w:rFonts w:ascii="Arial" w:cs="Arial" w:eastAsia="Arial" w:hAnsi="Arial"/>
          <w:sz w:val="18"/>
          <w:szCs w:val="18"/>
          <w:color w:val="auto"/>
        </w:rPr>
      </w:pPr>
    </w:p>
    <w:p>
      <w:pPr>
        <w:ind w:left="1980" w:right="699" w:hanging="352"/>
        <w:spacing w:after="0" w:line="259"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stock splits, stock dividends, reorganizations, recapitalizations and the like) for any 20 trading days within a 30-trading day period ending on the third trading day prior to the date on which we send the notice of redemption to the warrant holders.</w:t>
      </w:r>
    </w:p>
    <w:p>
      <w:pPr>
        <w:spacing w:after="0" w:line="79" w:lineRule="exact"/>
        <w:rPr>
          <w:sz w:val="20"/>
          <w:szCs w:val="20"/>
          <w:color w:val="auto"/>
        </w:rPr>
      </w:pPr>
    </w:p>
    <w:p>
      <w:pPr>
        <w:jc w:val="both"/>
        <w:ind w:left="1260" w:right="839" w:firstLine="360"/>
        <w:spacing w:after="0" w:line="308"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well as the $11.50 warrant exercise price after the redemption notice is issued.</w:t>
      </w:r>
    </w:p>
    <w:p>
      <w:pPr>
        <w:spacing w:after="0" w:line="70"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Redemption Procedures and Cashless Exercise. </w:t>
      </w:r>
      <w:r>
        <w:rPr>
          <w:rFonts w:ascii="Arial" w:cs="Arial" w:eastAsia="Arial" w:hAnsi="Arial"/>
          <w:sz w:val="17"/>
          <w:szCs w:val="17"/>
          <w:color w:val="auto"/>
        </w:rPr>
        <w:t>If we call the warrants for redemption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76"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ectPr>
          <w:pgSz w:w="11900" w:h="16838" w:orient="portrait"/>
          <w:cols w:equalWidth="0" w:num="1">
            <w:col w:w="10139"/>
          </w:cols>
          <w:pgMar w:left="320" w:top="131" w:right="1440" w:bottom="1440" w:gutter="0" w:footer="0" w:header="0"/>
        </w:sect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b w:val="1"/>
          <w:bCs w:val="1"/>
          <w:i w:val="1"/>
          <w:iCs w:val="1"/>
          <w:color w:val="auto"/>
        </w:rPr>
        <w:t xml:space="preserve">Anti-Dilution Adjustments. </w:t>
      </w:r>
      <w:r>
        <w:rPr>
          <w:rFonts w:ascii="Arial" w:cs="Arial" w:eastAsia="Arial" w:hAnsi="Arial"/>
          <w:sz w:val="17"/>
          <w:szCs w:val="17"/>
          <w:color w:val="auto"/>
        </w:rPr>
        <w:t>If the number of outstanding shares of Class A common stock is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w:t>
      </w:r>
    </w:p>
    <w:p>
      <w:pPr>
        <w:spacing w:after="0" w:line="7" w:lineRule="exact"/>
        <w:rPr>
          <w:sz w:val="20"/>
          <w:szCs w:val="20"/>
          <w:color w:val="auto"/>
        </w:rPr>
      </w:pPr>
    </w:p>
    <w:p>
      <w:pPr>
        <w:ind w:left="1260" w:right="719" w:firstLine="8"/>
        <w:spacing w:after="0" w:line="252" w:lineRule="auto"/>
        <w:tabs>
          <w:tab w:leader="none" w:pos="152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Class A common stock if we do not complete our initial business combination within the completion window,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89"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6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w:t>
      </w: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66" w:lineRule="auto"/>
        <w:rPr>
          <w:sz w:val="20"/>
          <w:szCs w:val="20"/>
          <w:color w:val="auto"/>
        </w:rPr>
      </w:pPr>
      <w:r>
        <w:rPr>
          <w:rFonts w:ascii="Arial" w:cs="Arial" w:eastAsia="Arial" w:hAnsi="Arial"/>
          <w:sz w:val="17"/>
          <w:szCs w:val="17"/>
          <w:color w:val="auto"/>
        </w:rPr>
        <w:t>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amended and restated certificate of incorporation or as a result of the redemption of shares of Class A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83"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8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 Warrants</w:t>
      </w:r>
    </w:p>
    <w:p>
      <w:pPr>
        <w:spacing w:after="0" w:line="10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“Principal Stockholders — Transfers of Founder Shares and Private Placement Warrants,” to our officers and directors and other persons or entities affiliated with our sponsor) and they will not be redeemable by us so long as they are held by our sponsor or its permitted transferees. Our sponsor, or its permitted transferees, has the option to exercise the private placement warrants on a cashless basis and will be entitled to certain registration rights.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92"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9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this offering, in which case we will effect a stock dividend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 Further, if we incur any indebtedness, our ability to declare dividends may be limited by restrictive covenants we may agree to in connection therewith.</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08"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(other than amendments relating to the appointment of directors, which require the approval of a majority of at least 90% of our common stock voting in a stockholder meeting) cannot be amended without the approval of the holders of at least 65% of our common stock. Our initial stockholders, who collectively will beneficially own 20% of our common stock upon the closing of this offering, may participate in any vote to amend our amended and restated certificate of incorporation and will have the discretion to vote in any manner they choose. Prior to an initial business combination, we may not issue additional securities that can vote on amendments to our amended and restated certificate of incorporation. Specifically, our amended and restated certificate of incorporation will provide, among other things, that:</w:t>
      </w:r>
    </w:p>
    <w:p>
      <w:pPr>
        <w:spacing w:after="0" w:line="158" w:lineRule="exact"/>
        <w:rPr>
          <w:sz w:val="20"/>
          <w:szCs w:val="20"/>
          <w:color w:val="auto"/>
        </w:rPr>
      </w:pPr>
    </w:p>
    <w:p>
      <w:pPr>
        <w:ind w:left="1980" w:right="739" w:hanging="352"/>
        <w:spacing w:after="0" w:line="269" w:lineRule="auto"/>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the completion window, we will: (1) cease all operations except for the purpose of winding up; (2) as promptly as reasonably possible but not more than ten business days thereafter, subject to lawfully available funds therefor,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38"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143" w:lineRule="exact"/>
        <w:rPr>
          <w:rFonts w:ascii="Arial" w:cs="Arial" w:eastAsia="Arial" w:hAnsi="Arial"/>
          <w:sz w:val="18"/>
          <w:szCs w:val="18"/>
          <w:color w:val="auto"/>
        </w:rPr>
      </w:pPr>
    </w:p>
    <w:p>
      <w:pPr>
        <w:ind w:left="1980" w:right="679" w:hanging="352"/>
        <w:spacing w:after="0" w:line="271" w:lineRule="auto"/>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although we do not intend to enter into a business combination with a target business that is affiliated with M. Klein and Company, one of our Strategic and Operating Partners, our sponsor, our directors or our officers, we are not prohibited from doing so. In the event we seek to complete our initial business combination with a company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a business combination is fair to our company from a financial point of view;</w:t>
      </w:r>
    </w:p>
    <w:p>
      <w:pPr>
        <w:spacing w:after="0" w:line="151"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applicable law or stock exchange rules and we do not decide to hold a stockholder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19" w:hanging="352"/>
        <w:spacing w:after="0" w:line="286" w:lineRule="auto"/>
        <w:tabs>
          <w:tab w:leader="none" w:pos="1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required by applicable stock-exchange rules, our initial business combination must be with one or more operating businesses or assets with a fair market value equal to at least 80% of the net assets held in the trust account (excluding the amount of any deferred underwriting discount).</w:t>
      </w:r>
    </w:p>
    <w:p>
      <w:pPr>
        <w:spacing w:after="0" w:line="43" w:lineRule="exact"/>
        <w:rPr>
          <w:rFonts w:ascii="Arial" w:cs="Arial" w:eastAsia="Arial" w:hAnsi="Arial"/>
          <w:sz w:val="17"/>
          <w:szCs w:val="17"/>
          <w:color w:val="auto"/>
        </w:rPr>
      </w:pPr>
    </w:p>
    <w:p>
      <w:pPr>
        <w:ind w:left="1980" w:right="679" w:hanging="352"/>
        <w:spacing w:after="0" w:line="254"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we will provide our public stockholders with the opportunity to redeem all or a portion of their shares of common stock upon such approval at a per share price, payable in cash, equal to the aggregate amount then on deposit in the trust account, including interest (net of permitted withdrawals), divided by the number of then outstanding public shares; and</w:t>
      </w:r>
    </w:p>
    <w:p>
      <w:pPr>
        <w:spacing w:after="0" w:line="70"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under no circumstances will we redeem our public shares in an amount that would cause our net tangible assets to be less than $5,000,001.</w:t>
      </w:r>
    </w:p>
    <w:p>
      <w:pPr>
        <w:spacing w:after="0" w:line="166" w:lineRule="exact"/>
        <w:rPr>
          <w:sz w:val="20"/>
          <w:szCs w:val="20"/>
          <w:color w:val="auto"/>
        </w:rPr>
      </w:pPr>
    </w:p>
    <w:p>
      <w:pPr>
        <w:ind w:left="1260" w:right="1719"/>
        <w:spacing w:after="0" w:line="250"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7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We have elected to be exempt from the restrictions imposed under Section 203 of the DGCL. However, our certificate of incorporation will contain similar provisions providing that we may not engage in certain “business combinations” with any “interested stockholder” for a three-year period following the time that such stockholder becomes an interested stockholder unless:</w:t>
      </w:r>
    </w:p>
    <w:p>
      <w:pPr>
        <w:spacing w:after="0" w:line="65" w:lineRule="exact"/>
        <w:rPr>
          <w:sz w:val="20"/>
          <w:szCs w:val="20"/>
          <w:color w:val="auto"/>
        </w:rPr>
      </w:pPr>
    </w:p>
    <w:p>
      <w:pPr>
        <w:ind w:left="1980" w:right="1419" w:hanging="352"/>
        <w:spacing w:after="0" w:line="308" w:lineRule="auto"/>
        <w:tabs>
          <w:tab w:leader="none" w:pos="1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24" w:lineRule="exact"/>
        <w:rPr>
          <w:rFonts w:ascii="Arial" w:cs="Arial" w:eastAsia="Arial" w:hAnsi="Arial"/>
          <w:sz w:val="17"/>
          <w:szCs w:val="17"/>
          <w:color w:val="auto"/>
        </w:rPr>
      </w:pPr>
    </w:p>
    <w:p>
      <w:pPr>
        <w:ind w:left="1980" w:right="759" w:hanging="352"/>
        <w:spacing w:after="0" w:line="263"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62" w:lineRule="exact"/>
        <w:rPr>
          <w:rFonts w:ascii="Arial" w:cs="Arial" w:eastAsia="Arial" w:hAnsi="Arial"/>
          <w:sz w:val="18"/>
          <w:szCs w:val="18"/>
          <w:color w:val="auto"/>
        </w:rPr>
      </w:pPr>
    </w:p>
    <w:p>
      <w:pPr>
        <w:ind w:left="1980" w:right="679" w:hanging="352"/>
        <w:spacing w:after="0" w:line="286" w:lineRule="auto"/>
        <w:tabs>
          <w:tab w:leader="none" w:pos="1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on or subsequent to such time, the business combination is approved by the Board and authorized at an annual or special meeting of stockholders, and not by written consent, by the affirmative vote of at least two-thirds of the outstanding voting stock not owned by the interested stockholder.</w:t>
      </w:r>
    </w:p>
    <w:p>
      <w:pPr>
        <w:spacing w:after="0" w:line="57" w:lineRule="exact"/>
        <w:rPr>
          <w:sz w:val="20"/>
          <w:szCs w:val="20"/>
          <w:color w:val="auto"/>
        </w:rPr>
      </w:pPr>
    </w:p>
    <w:p>
      <w:pPr>
        <w:ind w:left="1260" w:right="699" w:firstLine="360"/>
        <w:spacing w:after="0" w:line="311" w:lineRule="auto"/>
        <w:rPr>
          <w:sz w:val="20"/>
          <w:szCs w:val="20"/>
          <w:color w:val="auto"/>
        </w:rPr>
      </w:pPr>
      <w:r>
        <w:rPr>
          <w:rFonts w:ascii="Arial" w:cs="Arial" w:eastAsia="Arial" w:hAnsi="Arial"/>
          <w:sz w:val="16"/>
          <w:szCs w:val="16"/>
          <w:color w:val="auto"/>
        </w:rPr>
        <w:t>Generally, a “business combination” includes a merger, asset or stock sale to the interested stockholder. Subject to certain exceptions, an “interested stockholder” is a person who, together with that person’s affiliates and associates, owns, or within the previous three years owned, 15% or more of our voting stock.</w:t>
      </w:r>
    </w:p>
    <w:p>
      <w:pPr>
        <w:spacing w:after="0" w:line="4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Under some circumstances, this provision will make it more difficult for a person who is an interested stockholder to effect various business combinations with us for a three-year period.</w:t>
      </w:r>
    </w:p>
    <w:p>
      <w:pPr>
        <w:spacing w:after="0" w:line="62"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Our certificate of incorporation will provide that our sponsor and its various affiliates, successors and transferees will not be deemed to be “interested stockholders” regardless of the percentage of our voting stock owned by them, and accordingly will not be subject to this provision.</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 For Certain Lawsuits</w:t>
      </w:r>
    </w:p>
    <w:p>
      <w:pPr>
        <w:spacing w:after="0" w:line="108"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(i) any derivative action or proceeding brought on our behalf, (ii) any action asserting a claim of breach of a fiduciary duty owed by any director, officer or other employee to us or our stockholders,</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8"/>
        <w:spacing w:after="0" w:line="267" w:lineRule="auto"/>
        <w:tabs>
          <w:tab w:leader="none" w:pos="1596"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action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8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Our amended and restated certificate of incorporation will provide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As noted above, our amended and restated certificate of incorporation will provide that the Court of Chancery and the federal district court for the District of Delaware shall have concurrent jurisdiction over any action arising under the Securities Act. Accordingly, there is uncertainty as to whether a court would enforce such provision, and our stockholders will not be deemed to have waived our compliance with the federal securities laws and the rules and regulations thereunder.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Meeting of Stockholders</w:t>
      </w:r>
    </w:p>
    <w:p>
      <w:pPr>
        <w:spacing w:after="0" w:line="10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 if any.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bylaws will provide for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Pursuant to Rule 14a-8 of the Exchange Act, proposals seeking inclusion in our annual proxy statement must comply with the notice periods contained therein. Our bylaws will also specify requirements as to the form and content of a stockholder’s notice. Our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Action by Written Consent</w:t>
      </w:r>
    </w:p>
    <w:p>
      <w:pPr>
        <w:spacing w:after="0" w:line="108"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Subsequent to the consummation of this offering, any action required or permitted to be taken by our stockholders must be effected by a duly called annual or special meeting of such stockholders and may not be effected by written consent of the stockholders other than with respect to our Class B common stock.</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Classified Board of Directors</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B Common Stock Consent Right</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08"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Immediately after this offering we will have 75,000,000 (or 86,250,000 if the underwriters’ option to purchase additional units is exercised in full) shares of Class A common stock outstanding. All of these shares will have been sold in this offering and will be freely tradable without restriction or further registration under the Securities Act, except for any shares purchased by one of our affiliates within the meaning of Rule 144 under the Securities Act. All of the 18,750,000 (or 21,562,500 if the underwriters’ over-allotment option is exercised in full) Class B founder shares and all 16,000,000 (or 18,250,000 if the underwriters’ option to purchase additional units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our common stock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7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0" w:lineRule="exact"/>
        <w:rPr>
          <w:sz w:val="20"/>
          <w:szCs w:val="20"/>
          <w:color w:val="auto"/>
        </w:rPr>
      </w:pPr>
    </w:p>
    <w:p>
      <w:pPr>
        <w:ind w:left="1980" w:right="699" w:hanging="352"/>
        <w:spacing w:after="0" w:line="263"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750,000 shares immediately after this offering (or 862,500 if the underwriters exercise their option to purchase additional units in full); or</w:t>
      </w:r>
    </w:p>
    <w:p>
      <w:pPr>
        <w:spacing w:after="0" w:line="143"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399" w:firstLine="36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08"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a business combination related shell companies) or issuers that have been at any time previously a shell company. However, Rule 144 also includes an important exception to this prohibition if the following conditions are met:</w:t>
      </w:r>
    </w:p>
    <w:p>
      <w:pPr>
        <w:spacing w:after="0" w:line="160" w:lineRule="exact"/>
        <w:rPr>
          <w:sz w:val="20"/>
          <w:szCs w:val="20"/>
          <w:color w:val="auto"/>
        </w:rPr>
      </w:pPr>
    </w:p>
    <w:p>
      <w:pPr>
        <w:ind w:left="1980" w:hanging="352"/>
        <w:spacing w:after="0"/>
        <w:tabs>
          <w:tab w:leader="none" w:pos="1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96" w:lineRule="exact"/>
        <w:rPr>
          <w:rFonts w:ascii="Arial" w:cs="Arial" w:eastAsia="Arial" w:hAnsi="Arial"/>
          <w:sz w:val="17"/>
          <w:szCs w:val="17"/>
          <w:color w:val="auto"/>
        </w:rPr>
      </w:pPr>
    </w:p>
    <w:p>
      <w:pPr>
        <w:ind w:left="1980" w:right="979" w:hanging="352"/>
        <w:spacing w:after="0" w:line="277"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29" w:lineRule="exact"/>
        <w:rPr>
          <w:rFonts w:ascii="Arial" w:cs="Arial" w:eastAsia="Arial" w:hAnsi="Arial"/>
          <w:sz w:val="18"/>
          <w:szCs w:val="18"/>
          <w:color w:val="auto"/>
        </w:rPr>
      </w:pPr>
    </w:p>
    <w:p>
      <w:pPr>
        <w:jc w:val="both"/>
        <w:ind w:left="1980" w:right="799" w:hanging="352"/>
        <w:spacing w:after="0" w:line="286" w:lineRule="auto"/>
        <w:tabs>
          <w:tab w:leader="none" w:pos="1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38"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62"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As a result, our initial stockholders will be able to sell their founder shares and our sponsor will be able to sell its private placement warrants, as applicable, pursuant to Rule 144 without registration one year after we have completed our initial business combination.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into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We intend to apply to list our units, Class A common stock and warrants on the NYSE under the symbols “CCIV.U,” “CCIV” and “CCIV WS,” respectively. We expect that our units will be listed on the NYSE on or promptly after the effective date of the registration statement. Following the date the shares of our Class A common stock and warrants are eligible to trade separately, we anticipate that the shares of our common stock and warrants will be listed separately and as a unit on the NYSE. We cannot guarantee that our securities will be approved for listing on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The following discussion is a summary of the U.S. federal income tax considerations generally applicable to the ownership and disposition of our units,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additional tax on net investment income or alternative minimum tax. In addition, this summary is limited to investors that will hold our securities as “capital assets” (generally, property held for investment) under the Internal Revenue Code of 1986, as amended, (the “Code”), and that acquired the securities pursuant to this offering (or, in the case of Class A common stock, upon exercise of warrants so acquired). No ruling from the Internal Revenue Service, (the “IRS”) has been or will be sought regarding any matter discussed herein. No assurance can be given that the IRS would not assert, or that a court would not sustain a position contrary to any of the tax aspects set forth below.</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purposes of this summary, a “U.S. Holder” is a beneficial holder of securities who or that is:</w:t>
      </w:r>
    </w:p>
    <w:p>
      <w:pPr>
        <w:spacing w:after="0" w:line="104" w:lineRule="exact"/>
        <w:rPr>
          <w:sz w:val="20"/>
          <w:szCs w:val="20"/>
          <w:color w:val="auto"/>
        </w:rPr>
      </w:pPr>
    </w:p>
    <w:p>
      <w:pPr>
        <w:ind w:left="1980" w:right="819" w:hanging="352"/>
        <w:spacing w:after="0" w:line="277"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 as determined for U.S. federal income tax purposes;</w:t>
      </w:r>
    </w:p>
    <w:p>
      <w:pPr>
        <w:spacing w:after="0" w:line="35" w:lineRule="exact"/>
        <w:rPr>
          <w:rFonts w:ascii="Arial" w:cs="Arial" w:eastAsia="Arial" w:hAnsi="Arial"/>
          <w:sz w:val="18"/>
          <w:szCs w:val="18"/>
          <w:color w:val="auto"/>
        </w:rPr>
      </w:pPr>
    </w:p>
    <w:p>
      <w:pPr>
        <w:ind w:left="1980" w:right="799" w:hanging="352"/>
        <w:spacing w:after="0" w:line="308" w:lineRule="auto"/>
        <w:tabs>
          <w:tab w:leader="none" w:pos="1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in, or organized under the law of, the United States or any state or political subdivision thereof;</w:t>
      </w:r>
    </w:p>
    <w:p>
      <w:pPr>
        <w:spacing w:after="0" w:line="24"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35" w:lineRule="exact"/>
        <w:rPr>
          <w:rFonts w:ascii="Arial" w:cs="Arial" w:eastAsia="Arial" w:hAnsi="Arial"/>
          <w:sz w:val="18"/>
          <w:szCs w:val="18"/>
          <w:color w:val="auto"/>
        </w:rPr>
      </w:pPr>
    </w:p>
    <w:p>
      <w:pPr>
        <w:ind w:left="1980" w:right="899" w:hanging="352"/>
        <w:spacing w:after="0" w:line="259"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79"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A “non-U.S. Holder” is a beneficial holder of shares who or that is neither a U.S. Holder nor a partnership for U.S. federal income tax purposes.</w:t>
      </w:r>
    </w:p>
    <w:p>
      <w:pPr>
        <w:spacing w:after="0" w:line="62"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83" w:lineRule="exact"/>
        <w:rPr>
          <w:sz w:val="20"/>
          <w:szCs w:val="20"/>
          <w:color w:val="auto"/>
        </w:rPr>
      </w:pPr>
    </w:p>
    <w:p>
      <w:pPr>
        <w:ind w:left="1260" w:right="679" w:firstLine="360"/>
        <w:spacing w:after="0" w:line="256" w:lineRule="auto"/>
        <w:rPr>
          <w:sz w:val="20"/>
          <w:szCs w:val="20"/>
          <w:color w:val="auto"/>
        </w:rPr>
      </w:pPr>
      <w:r>
        <w:rPr>
          <w:rFonts w:ascii="Arial" w:cs="Arial" w:eastAsia="Arial" w:hAnsi="Arial"/>
          <w:sz w:val="18"/>
          <w:szCs w:val="18"/>
          <w:b w:val="1"/>
          <w:bCs w:val="1"/>
          <w:color w:val="auto"/>
        </w:rPr>
        <w:t>THIS DISCUSSION OF U.S. FEDERAL INCOME TAX CONSIDERATIONS IS FOR GENERAL INFORMATION PURPOSES ONLY AND IS NOT TAX ADVICE. WE URGE PROSPECTIVE HOLDERS TO CONSULT THEIR TAX ADVISORS CONCERNING THE U.S. FEDERAL INCOME TAX CONSEQUENCES TO THEM OF OWNING AND DISPOSING OF OUR SECURITIES, AS WELL AS THE APPLICATION OF ANY, STATE, LOCAL AND NON-U.S. INCOME, ESTATE AND OTHER TAX CONSIDERATIONS.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08"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or PHC, for U.S. federal income tax purposes. A 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71" w:lineRule="auto"/>
        <w:rPr>
          <w:sz w:val="20"/>
          <w:szCs w:val="20"/>
          <w:color w:val="auto"/>
        </w:rPr>
      </w:pPr>
      <w:r>
        <w:rPr>
          <w:rFonts w:ascii="Arial" w:cs="Arial" w:eastAsia="Arial" w:hAnsi="Arial"/>
          <w:sz w:val="17"/>
          <w:szCs w:val="17"/>
          <w:color w:val="auto"/>
        </w:rPr>
        <w:t>corporation will generally be classified as a PHC for U.S. federal income tax purposes in a given taxable year if (1)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directly or indirectly, more than 50% of the stock of the corporation by value and (2)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five or fewer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Treatment of Units</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There is no authority directly addressing the treatment, for U.S. federal income tax purposes, of instruments with terms substantially the same as the units and, therefore, their treatment is not entirely clear. The acquisition of a unit should be treated for U.S. federal income tax purposes as the acquisition of one share of our Class A common stock and one-fourth of one warrant to acquire one share of our Class A common stock. We intend to treat the acquisition of a unit in this manner and, by purchasing a unit, you agree to adopt such treatment for tax purposes. Each holder of a unit must allocate the purchase price paid by such holder for such unit between the share of Class A common stock and the one-fourth of one warrant based on their respective relative fair market values. A holder’s initial tax basis in the Class A common stock and the one-fourth of one warrant included in each unit should equal the portion of the purchase price of the unit allocated thereto. The separation of the Class A common stock and one-fourth of one warrant constituting a unit should not be a taxable event for U.S. federal income tax purposes.</w:t>
      </w:r>
    </w:p>
    <w:p>
      <w:pPr>
        <w:spacing w:after="0" w:line="7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is no authority that directly addresses instruments that are similar to the units, no assurance can be given that the IRS or the courts will agree with the characterization described above or the discussion below. Each prospective investor is urged to consult its tax advisors regarding the U.S. federal, state, local and any foreign tax consequences of an investment in a unit (including alternative characterizations of a unit and its components). The following discussion is based on the assumption that the characterization of the Class A common stock and warrants and the allocation methodology described above are respected for U.S. federal income tax purposes.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If we pay cash distributions to U.S. Holders of shares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below.</w:t>
      </w:r>
    </w:p>
    <w:p>
      <w:pPr>
        <w:spacing w:after="0" w:line="70"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certain holding period requirements are met, dividends we pay to a non-corporate U.S. Holder will generally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Gain or Loss on Sale, Taxable Exchange or Other Taxable Disposition of Class A Common Stock</w:t>
      </w:r>
    </w:p>
    <w:p>
      <w:pPr>
        <w:spacing w:after="0" w:line="115"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A U.S. Holder will recognize gain or loss on the sale, taxable exchange or other taxable disposition (which would include a dissolution and liquidation in the event we do not complete an initial business combination within the completion window) of our Class A common stock. Any such gain or loss will be capital gain or loss, and will be long-term capital gain or loss if the U.S. Holder’s holding period for the Class A common stock so disposed of exceeds one year. It is unclear, however, whether the redemption rights with respect to the Class A common stock described in this prospectus may suspend the running of the applicable holding period for this purpose. The amount of gain or loss recognized will generally be equal to the difference between (1) the sum of the amount of cash and the fair market value of any property received in such disposition (or, if the Class A common stock is held as part of a unit at the time of the disposition, the portion of the amount realized on such disposition that is allocated to the Class A common stock based upon the then fair market values of the Class A common stock and the one-fourth of one warrant included in the unit) and (2) the U.S. Holder’s adjusted tax basis in its Class A common stock so disposed of. A U.S. Holder’s adjusted tax basis in its Class A common stock will generally equal the U.S. Holder’s acquisition cost (that is, as discussed above, the portion of the purchase price of a unit allocated to a share of Class A common stock or, as discussed below, the U.S. Holder’s initial basis for Class A common stock received upon exercise of a warrant) less any prior distributions treated as a return of capital. The deductibility of capital losses is subject to limitations.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Class A Common Stock</w:t>
      </w:r>
    </w:p>
    <w:p>
      <w:pPr>
        <w:spacing w:after="0" w:line="104"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In the event that a U.S. Holder’s Class A common stock is redeemed pursuant to the redemption provisions described in this prospectus under “Description of Securities — Common Stock”, the treatment of the transaction for U.S. federal income tax purposes will depend on whether the redemption qualifies as sale of the Class A common stock under Section 302 of the Code. If the redemption qualifies as a sale of Class A common stock under the tests described below, the tax consequences to the U.S. Holder will be the same as described under “U.S. Holders — Gain or Loss on Sale, Taxable Exchange or Other Taxable Disposition of Class A Common Stock” above. If the redemption does not qualify as a sale of Class A common stock, the U.S. Holder will be treated as receiving a corporate distribution, the tax consequences of which are described above under “U.S. Holders — Taxation of Distributions”. Whether the redemption qualifies for sale treatment will depend primarily on the total number of shares of our stock treated as held by the U.S. Holder (including any stock constructively owned by the U.S. Holder as a result of owning warrants) both before and after the redemption. For a given U.S. Holder, the redemption of Class A common stock will generally be treated as a sale of the Class A common stock (rather than as a corporate distribution) if the redemption (1) is “substantially disproportionate” with respect to the U.S. Holder,</w:t>
      </w:r>
    </w:p>
    <w:p>
      <w:pPr>
        <w:spacing w:after="0" w:line="5" w:lineRule="exact"/>
        <w:rPr>
          <w:sz w:val="20"/>
          <w:szCs w:val="20"/>
          <w:color w:val="auto"/>
        </w:rPr>
      </w:pPr>
    </w:p>
    <w:p>
      <w:pPr>
        <w:jc w:val="center"/>
        <w:ind w:left="1260" w:right="1219" w:firstLine="8"/>
        <w:spacing w:after="0" w:line="290" w:lineRule="auto"/>
        <w:tabs>
          <w:tab w:leader="none" w:pos="1529"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(3) is “not essentially equivalent to a dividend” with respect to the U.S. Holder. These tests are explained more fully below.</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A redemption of a U.S. Holder’s stock will be substantially disproportionate with respect to the U.S. Holder if the percentage of our outstanding voting stock actually and constructively owned by the U.S. Holder immediately following the redemption of common stock is, among other requirements, less than 80% of the percentage of our outstanding voting stock actually and constructively owned by the U.S. Holder immediately before the redemption. Prior to our initial business combination, the Class A common stock may not be treated as voting stock for this purpose</w:t>
      </w:r>
    </w:p>
    <w:p>
      <w:pPr>
        <w:sectPr>
          <w:pgSz w:w="11900" w:h="16838" w:orient="portrait"/>
          <w:cols w:equalWidth="0" w:num="1">
            <w:col w:w="10139"/>
          </w:cols>
          <w:pgMar w:left="320" w:top="131" w:right="1440" w:bottom="1440" w:gutter="0" w:footer="0" w:header="0"/>
        </w:sect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79"/>
        <w:spacing w:after="0" w:line="271" w:lineRule="auto"/>
        <w:rPr>
          <w:sz w:val="20"/>
          <w:szCs w:val="20"/>
          <w:color w:val="auto"/>
        </w:rPr>
      </w:pPr>
      <w:r>
        <w:rPr>
          <w:rFonts w:ascii="Arial" w:cs="Arial" w:eastAsia="Arial" w:hAnsi="Arial"/>
          <w:sz w:val="17"/>
          <w:szCs w:val="17"/>
          <w:color w:val="auto"/>
        </w:rPr>
        <w:t>and, consequently, this substantially disproportionate test may not be applicable. There will be a complete termination of a U.S. Holder’s interest if either (1) all of the shares of our stock actually and constructively owned by the U.S. Holder are redeemed or (2) all of the shares of our stock actually owned by the U.S.</w:t>
      </w:r>
    </w:p>
    <w:p>
      <w:pPr>
        <w:ind w:left="1260" w:right="699"/>
        <w:spacing w:after="0" w:line="267" w:lineRule="auto"/>
        <w:rPr>
          <w:sz w:val="20"/>
          <w:szCs w:val="20"/>
          <w:color w:val="auto"/>
        </w:rPr>
      </w:pPr>
      <w:r>
        <w:rPr>
          <w:rFonts w:ascii="Arial" w:cs="Arial" w:eastAsia="Arial" w:hAnsi="Arial"/>
          <w:sz w:val="17"/>
          <w:szCs w:val="17"/>
          <w:color w:val="auto"/>
        </w:rPr>
        <w:t>Holder are redeemed and the U.S. Holder is eligible to waive, and effectively waives in accordance with specific rules, the attribution of stock owned by certain family members and the U.S. Holder does not constructively own any other stock (including any stock constructively owned by the U.S. Holder as a result of owning warrants). The redemption of the Class A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 Each U.S. Holder is urged to consult its tax advisor as to the tax consequences of a redemption, including the application of the constructive ownership rules described above.</w:t>
      </w:r>
    </w:p>
    <w:p>
      <w:pPr>
        <w:spacing w:after="0" w:line="7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If none of the foregoing tests is satisfied, the redemption will be treated as a corporate distribution, the tax consequences of which are described under “U.S. Holders — Taxation of Distributions,”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04"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the U.S. Holder’s initial investment in the warrant (i.e., the portion of the U.S. Holder’s purchase price for a unit that is allocated to the warrant, as described above under “— General Treatment of Units”)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7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88"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(i.e., the portion of the U.S. Holder’s purchase price for the units that is allocated to the warrant, as described above under “— General Treatment of Units”) and the exercise price of such warrants. It is unclear whether a U.S. Holder’s holding period for the Class A common stock would commence on the date of exercise of the warrant or the day following the date of exercise of the warrant.</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described above would be adopted by the IRS or a court of law. Accordingly, each U.S. Holder is urged to consult its tax advisor regarding the tax consequences of a cashless exercise.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04"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(or, if the warrant is held as part of a unit at the time of the disposition of the unit, the portion of the amount realized on such disposition that is allocated to the warrant based on the then fair market values of the warrant and the Class A common stock constituting such unit) and (2) the U.S. Holder’s tax basis in the warrant (that is, the portion of the U.S. Holder’s purchase price for a unit that is allocated to the warrant, as described above under “— General Treatment of Units”).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0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U.S. Holders as described under “U.S. Holders — Taxation of Distributions” above. Such constructive distribution would be subject to tax as described under that section in the same manner as if such U.S. Holder received a cash distribution from us equal to the fair market value of such increased interest.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jc w:val="both"/>
        <w:ind w:left="1260" w:right="739" w:firstLine="360"/>
        <w:spacing w:after="0" w:line="275" w:lineRule="auto"/>
        <w:rPr>
          <w:sz w:val="20"/>
          <w:szCs w:val="20"/>
          <w:color w:val="auto"/>
        </w:rPr>
      </w:pPr>
      <w:r>
        <w:rPr>
          <w:rFonts w:ascii="Arial" w:cs="Arial" w:eastAsia="Arial" w:hAnsi="Arial"/>
          <w:sz w:val="17"/>
          <w:szCs w:val="17"/>
          <w:color w:val="auto"/>
        </w:rPr>
        <w:t>In general, information reporting requirements may 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6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77"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0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“U.S. Holders — Exercise of a Warrant” above, although to the extent a cashless exercise results in a taxable exchange, the tax consequences to the non-U.S. Holder would be the same as those described below in “Non-U.S. Holders — Gain on Sale, Exchange or Other Taxable Disposition of Class A Common Stock and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0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A non-U.S. Holder will generally not be subject to U.S. federal income or withholding tax in respect of gain recognized on a sale, taxable exchange or other taxable disposition of our Class A common stock, which would include a dissolution and liquidation in the event we do not complete an initial business combination within the completion window, or warrants (including an expiration or redemption of our warrants), in each case without regard to whether those securities were held as part of a unit, unless:</w:t>
      </w:r>
    </w:p>
    <w:p>
      <w:pPr>
        <w:spacing w:after="0" w:line="149" w:lineRule="exact"/>
        <w:rPr>
          <w:sz w:val="20"/>
          <w:szCs w:val="20"/>
          <w:color w:val="auto"/>
        </w:rPr>
      </w:pPr>
    </w:p>
    <w:p>
      <w:pPr>
        <w:ind w:left="1980" w:right="939" w:hanging="352"/>
        <w:spacing w:after="0" w:line="263"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43"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29" w:lineRule="exact"/>
        <w:rPr>
          <w:rFonts w:ascii="Arial" w:cs="Arial" w:eastAsia="Arial" w:hAnsi="Arial"/>
          <w:sz w:val="18"/>
          <w:szCs w:val="18"/>
          <w:color w:val="auto"/>
        </w:rPr>
      </w:pPr>
    </w:p>
    <w:p>
      <w:pPr>
        <w:ind w:left="1980" w:right="699" w:hanging="352"/>
        <w:spacing w:after="0" w:line="253"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If we are or have been a “United States real property holding corporation” you are urged to consult your own tax advisors regarding the application of these rules.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non-U.S. Holders as described under “Non-U.S. Holders — Taxation of Distributions” above.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Class A Common Stock</w:t>
      </w:r>
    </w:p>
    <w:p>
      <w:pPr>
        <w:spacing w:after="0" w:line="10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characterization for U.S. federal income tax purposes of the redemption of a non-U.S. Holder’s Class A common stock pursuant to the redemption provisions described in this prospectus under “Description of Securities — Common Stock” will generally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 — Gain on Sale, Exchange or Other Taxable Disposition of Class A Common Stock and Warrants,” as applicable.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04"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auto"/>
        </w:rPr>
        <w:t>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investors should consult their tax advisors regarding the possible implications of FATCA on their investment in our securities.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In general, information reporting requirements will apply to payments of dividends and proceeds from the sale of our securities to non-U.S. Holders that are not exempt recipients. We must report annually to the IRS and to each such holder the amount of dividends or other distributions we pay to such non-U.S. Holder on our shares of Class A common stock and the amount of tax withheld with respect to those distributions, regardless of whether withholding is required. The IRS may make copies of the information returns reporting those dividends and amounts withheld available to the tax authorities in the country in which the non-U.S. Holder resides pursuant to the provisions of an applicable income tax treaty or exchange of information treaty.</w:t>
      </w:r>
    </w:p>
    <w:p>
      <w:pPr>
        <w:spacing w:after="0" w:line="84"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The gross amount of dividends and proceeds from the disposition of our Class A common stock or warrants paid to a holder that fails to provide the appropriate certification in accordance with applicable U.S. Treasury regulations generally will be subject to backup withholding at the applicable rate.</w:t>
      </w:r>
    </w:p>
    <w:p>
      <w:pPr>
        <w:spacing w:after="0" w:line="57"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Information reporting and backup withholding are generally not required with respect to the amount of any proceeds from the sale by a non-U.S. Holder of Class A common stock or warrants outside the United States through a foreign office of a foreign broker that does not have certain specified connections to the United States. However, if a non-U.S. Holder sells Class A common stock or warrants through a U.S. broker or the U.S. office of a foreign broker, the broker will generally be required to report to the IRS the amount of proceeds paid to such holder, unless the non-U.S. Holder provides appropriate certification (usually on an IRS Form W-8BEN or W-8BEN-E, as applicable) to the broker of its status as a non-U.S. Holder or such non-U.S. Holder is an exempt recipient. In addition, for information reporting purposes, certain non-U.S. brokers with certain relationships with the United States will be treated in a manner similar to U.S. brokers.</w:t>
      </w:r>
    </w:p>
    <w:p>
      <w:pPr>
        <w:spacing w:after="0" w:line="73"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Backup withholding is not an additional tax. Any amounts we withhold under the backup withholding rules may be refunded or credited against a holder’s U.S. federal income tax liability, if any, by the IRS if the required information is furnished in a timely manner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jc w:val="both"/>
        <w:ind w:left="1260" w:right="899" w:firstLine="360"/>
        <w:spacing w:after="0" w:line="257" w:lineRule="auto"/>
        <w:rPr>
          <w:sz w:val="20"/>
          <w:szCs w:val="20"/>
          <w:color w:val="auto"/>
        </w:rPr>
      </w:pPr>
      <w:r>
        <w:rPr>
          <w:rFonts w:ascii="Arial" w:cs="Arial" w:eastAsia="Arial" w:hAnsi="Arial"/>
          <w:sz w:val="18"/>
          <w:szCs w:val="18"/>
          <w:color w:val="auto"/>
        </w:rPr>
        <w:t>Citigroup Global Markets Inc. is acting as global coordinator, joint bookrunner and representative of the underwriters and [•] is acting as joint bookrunner of the offering. Subject to the terms and conditions stated in the underwriting agreement dated the date of this prospectus, each underwriter named below has severally agreed to purchase, and we have agreed to sell to that underwriter, the number of units set forth opposite the underwriter’s name.</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86"/>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r>
      <w:tr>
        <w:trPr>
          <w:trHeight w:val="26"/>
        </w:trPr>
        <w:tc>
          <w:tcPr>
            <w:tcW w:w="7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820" w:type="dxa"/>
            <w:vAlign w:val="bottom"/>
            <w:shd w:val="clear" w:color="auto" w:fill="CCEEFF"/>
          </w:tcPr>
          <w:p>
            <w:pPr>
              <w:spacing w:after="0"/>
              <w:rPr>
                <w:sz w:val="21"/>
                <w:szCs w:val="21"/>
                <w:color w:val="auto"/>
              </w:rPr>
            </w:pPr>
          </w:p>
        </w:tc>
      </w:tr>
      <w:tr>
        <w:trPr>
          <w:trHeight w:val="263"/>
        </w:trPr>
        <w:tc>
          <w:tcPr>
            <w:tcW w:w="7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75,000,000</w:t>
            </w:r>
          </w:p>
        </w:tc>
      </w:tr>
      <w:tr>
        <w:trPr>
          <w:trHeight w:val="20"/>
        </w:trPr>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-367665</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79"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If all of the units are not sold at the initial offering price, the underwriters may change the offering price and the other selling terms. The representative has advised us that the underwriters do not intend to make sales to discretionary accounts.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If the underwriters sell more units than the total number set forth in the table above, we have granted to the underwriters an option, exercisable for 45 days from the date of this prospectus, to purchase up to 11,250,000 additional units at the public offering price less the underwriting discount. The underwriters may exercise this option solely for the purpose of covering over-allotments, if any, in connection with this offering. To the extent the option is exercised, each underwriter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8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the representative, offer, sell, contract to sell, pledge or otherwise dispose of, directly or indirectly, any units, warrants, shares of common stock or any other securities convertible into, or exercisable, or exchangeable for, shares of common stock, subject to certain exceptions. The representative in its sole discretion may release any of the securities subject to these lock-up agreements at any time without notice. Our sponsor, officers and directors are also subject to separate transfer restrictions on their founder shares and private placement warrants pursuant to the insider letters as described herein.</w:t>
      </w:r>
    </w:p>
    <w:p>
      <w:pPr>
        <w:spacing w:after="0" w:line="8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 Notwithstanding the foregoing, if the closing price of our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The private placement warrants (including the Class A common stock issuable upon exercise of the private placement warrants) will not be transferable, assignable or saleable until 30 days after the completion of our initial business combination (except with respect to permitted transferees as described herein under the section of this prospectus entitled “Principal Stockholders — Transfers of Founder Shares and Private Placement Warrants”).</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62"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8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We have applied to list our units on the NYSE under the symbol “CCIV.U.” We cannot guarantee that our securities will be approved for listing on the NYSE. We expect that our Class A common stock and warrants will be listed under the symbols “CCIV” and “CCIV WS,” respectively, once the Class A common stock and warrants begin separate trading.</w:t>
      </w:r>
    </w:p>
    <w:p>
      <w:pPr>
        <w:spacing w:after="0" w:line="79"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Payable by</w:t>
            </w: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w w:val="98"/>
              </w:rPr>
              <w:t>Annetta Acquisition Corp</w:t>
            </w:r>
          </w:p>
        </w:tc>
      </w:tr>
      <w:tr>
        <w:trPr>
          <w:trHeight w:val="26"/>
        </w:trPr>
        <w:tc>
          <w:tcPr>
            <w:tcW w:w="5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Full Exercise</w:t>
            </w:r>
          </w:p>
        </w:tc>
      </w:tr>
      <w:tr>
        <w:trPr>
          <w:trHeight w:val="26"/>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Per Unit</w:t>
            </w:r>
            <w:r>
              <w:rPr>
                <w:rFonts w:ascii="Arial" w:cs="Arial" w:eastAsia="Arial" w:hAnsi="Arial"/>
                <w:sz w:val="26"/>
                <w:szCs w:val="26"/>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53"/>
        </w:trPr>
        <w:tc>
          <w:tcPr>
            <w:tcW w:w="54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6"/>
                <w:szCs w:val="26"/>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41,250,000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-403225</wp:posOffset>
            </wp:positionV>
            <wp:extent cx="41662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118745</wp:posOffset>
            </wp:positionV>
            <wp:extent cx="12344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2" w:lineRule="exact"/>
        <w:rPr>
          <w:sz w:val="20"/>
          <w:szCs w:val="20"/>
          <w:color w:val="auto"/>
        </w:rPr>
      </w:pPr>
    </w:p>
    <w:p>
      <w:pPr>
        <w:ind w:left="1620" w:right="679" w:hanging="352"/>
        <w:spacing w:after="0" w:line="255"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$0.35 per unit, or $26,250,000 (or $30,187,500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we do not complete our initial business combination and subsequently liquidate, the trustee and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underwriters have agreed that (i) they will forfeit any rights or claims to their deferred underwriting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discounts and commissions, including any accrued interest thereon, then in the trust account upon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liquidation, and (ii) that the deferred underwriters’ discounts and commissions will be distributed on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 rata basis, including interest earned on the funds held in the trust account and not previously released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to pay our taxes to the public stockholders.</w:t>
      </w:r>
    </w:p>
    <w:p>
      <w:pPr>
        <w:spacing w:after="0" w:line="103"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146" w:lineRule="exact"/>
        <w:rPr>
          <w:sz w:val="20"/>
          <w:szCs w:val="20"/>
          <w:color w:val="auto"/>
        </w:rPr>
      </w:pPr>
    </w:p>
    <w:p>
      <w:pPr>
        <w:ind w:left="1980" w:right="879" w:hanging="352"/>
        <w:spacing w:after="0" w:line="27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units than they are required to purchase in the offering.</w:t>
      </w:r>
    </w:p>
    <w:p>
      <w:pPr>
        <w:spacing w:after="0" w:line="129"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129"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143" w:lineRule="exact"/>
        <w:rPr>
          <w:rFonts w:ascii="Arial" w:cs="Arial" w:eastAsia="Arial" w:hAnsi="Arial"/>
          <w:sz w:val="18"/>
          <w:szCs w:val="18"/>
          <w:color w:val="auto"/>
        </w:rPr>
      </w:pPr>
    </w:p>
    <w:p>
      <w:pPr>
        <w:ind w:left="1980" w:right="739" w:hanging="352"/>
        <w:spacing w:after="0" w:line="308" w:lineRule="auto"/>
        <w:tabs>
          <w:tab w:leader="none" w:pos="1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Covering transactions involve purchases of units either pursuant to the over-allotment option or in the open market after the distribution has been completed in order to cover short positions.</w:t>
      </w: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99" w:hanging="352"/>
        <w:spacing w:after="0" w:line="279" w:lineRule="auto"/>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44" w:lineRule="exact"/>
        <w:rPr>
          <w:rFonts w:ascii="Arial" w:cs="Arial" w:eastAsia="Arial" w:hAnsi="Arial"/>
          <w:sz w:val="17"/>
          <w:szCs w:val="17"/>
          <w:color w:val="auto"/>
        </w:rPr>
      </w:pPr>
    </w:p>
    <w:p>
      <w:pPr>
        <w:ind w:left="1980" w:right="739" w:hanging="352"/>
        <w:spacing w:after="0" w:line="25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47"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8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We estimate that our portion of the total expenses of this offering payable by us will be $1,000,000, excluding underwriting discounts and commissions. We have also agreed to pay the FINRA-related fees and expenses of the underwriters’ legal counsel, not to exceed $20,000.</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underwriters have agreed to reimburse certain of our expenses.</w:t>
      </w:r>
    </w:p>
    <w:p>
      <w:pPr>
        <w:spacing w:after="0" w:line="117"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7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77" w:lineRule="exact"/>
        <w:rPr>
          <w:sz w:val="20"/>
          <w:szCs w:val="20"/>
          <w:color w:val="auto"/>
        </w:rPr>
      </w:pPr>
    </w:p>
    <w:p>
      <w:pPr>
        <w:ind w:left="1260" w:right="1159" w:firstLine="360"/>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54" w:lineRule="exact"/>
        <w:rPr>
          <w:sz w:val="20"/>
          <w:szCs w:val="20"/>
          <w:color w:val="auto"/>
        </w:rPr>
      </w:pPr>
    </w:p>
    <w:p>
      <w:pPr>
        <w:ind w:left="1980" w:hanging="352"/>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4" w:lineRule="exact"/>
        <w:rPr>
          <w:rFonts w:ascii="Arial" w:cs="Arial" w:eastAsia="Arial" w:hAnsi="Arial"/>
          <w:sz w:val="18"/>
          <w:szCs w:val="18"/>
          <w:color w:val="auto"/>
        </w:rPr>
      </w:pPr>
    </w:p>
    <w:p>
      <w:pPr>
        <w:ind w:left="1980" w:right="779" w:hanging="352"/>
        <w:spacing w:after="0" w:line="273" w:lineRule="auto"/>
        <w:tabs>
          <w:tab w:leader="none" w:pos="1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underwriters for any such offer; or</w:t>
      </w:r>
    </w:p>
    <w:p>
      <w:pPr>
        <w:spacing w:after="0" w:line="137" w:lineRule="exact"/>
        <w:rPr>
          <w:rFonts w:ascii="Arial" w:cs="Arial" w:eastAsia="Arial" w:hAnsi="Arial"/>
          <w:sz w:val="17"/>
          <w:szCs w:val="17"/>
          <w:color w:val="auto"/>
        </w:rPr>
      </w:pPr>
    </w:p>
    <w:p>
      <w:pPr>
        <w:ind w:left="1980" w:right="979" w:hanging="352"/>
        <w:spacing w:after="0" w:line="27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62"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76"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70"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08"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w:t>
      </w:r>
    </w:p>
    <w:p>
      <w:pPr>
        <w:ind w:left="1260" w:right="679" w:firstLine="8"/>
        <w:spacing w:after="0" w:line="268" w:lineRule="auto"/>
        <w:tabs>
          <w:tab w:leader="none" w:pos="1489"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08" w:lineRule="exact"/>
        <w:rPr>
          <w:sz w:val="20"/>
          <w:szCs w:val="20"/>
          <w:color w:val="auto"/>
        </w:rPr>
      </w:pPr>
    </w:p>
    <w:p>
      <w:pPr>
        <w:jc w:val="both"/>
        <w:ind w:left="1260" w:right="719" w:firstLine="360"/>
        <w:spacing w:after="0" w:line="255" w:lineRule="auto"/>
        <w:rPr>
          <w:sz w:val="20"/>
          <w:szCs w:val="20"/>
          <w:color w:val="auto"/>
        </w:rPr>
      </w:pPr>
      <w:r>
        <w:rPr>
          <w:rFonts w:ascii="Arial" w:cs="Arial" w:eastAsia="Arial" w:hAnsi="Arial"/>
          <w:sz w:val="18"/>
          <w:szCs w:val="18"/>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25" w:lineRule="exact"/>
        <w:rPr>
          <w:sz w:val="20"/>
          <w:szCs w:val="20"/>
          <w:color w:val="auto"/>
        </w:rPr>
      </w:pPr>
    </w:p>
    <w:p>
      <w:pPr>
        <w:ind w:left="1980" w:right="779" w:hanging="352"/>
        <w:spacing w:after="0" w:line="277"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89"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89" w:lineRule="exact"/>
        <w:rPr>
          <w:rFonts w:ascii="Arial" w:cs="Arial" w:eastAsia="Arial" w:hAnsi="Arial"/>
          <w:sz w:val="18"/>
          <w:szCs w:val="18"/>
          <w:color w:val="auto"/>
        </w:rPr>
      </w:pPr>
    </w:p>
    <w:p>
      <w:pPr>
        <w:ind w:left="1980" w:right="879" w:hanging="352"/>
        <w:spacing w:after="0" w:line="259"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ind w:left="1980" w:right="979" w:hanging="352"/>
        <w:spacing w:after="0" w:line="286" w:lineRule="auto"/>
        <w:tabs>
          <w:tab w:leader="none" w:pos="1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57"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units offered in this prospectus have not been and will not be registered under the Financial Instruments and Exchange Law of Japan. The units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w:t>
      </w:r>
    </w:p>
    <w:p>
      <w:pPr>
        <w:sectPr>
          <w:pgSz w:w="11900" w:h="16838" w:orient="portrait"/>
          <w:cols w:equalWidth="0" w:num="1">
            <w:col w:w="10139"/>
          </w:cols>
          <w:pgMar w:left="320" w:top="132" w:right="1440" w:bottom="1440" w:gutter="0" w:footer="0" w:header="0"/>
        </w:sect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5" w:lineRule="auto"/>
        <w:rPr>
          <w:sz w:val="20"/>
          <w:szCs w:val="20"/>
          <w:color w:val="auto"/>
        </w:rPr>
      </w:pPr>
      <w:r>
        <w:rPr>
          <w:rFonts w:ascii="Arial" w:cs="Arial" w:eastAsia="Arial" w:hAnsi="Arial"/>
          <w:sz w:val="17"/>
          <w:szCs w:val="17"/>
          <w:color w:val="auto"/>
        </w:rPr>
        <w:t>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70" w:lineRule="exact"/>
        <w:rPr>
          <w:sz w:val="20"/>
          <w:szCs w:val="20"/>
          <w:color w:val="auto"/>
        </w:rPr>
      </w:pPr>
    </w:p>
    <w:p>
      <w:pPr>
        <w:jc w:val="both"/>
        <w:ind w:left="1980" w:right="819" w:hanging="352"/>
        <w:spacing w:after="0" w:line="263"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3" w:lineRule="exact"/>
        <w:rPr>
          <w:rFonts w:ascii="Arial" w:cs="Arial" w:eastAsia="Arial" w:hAnsi="Arial"/>
          <w:sz w:val="18"/>
          <w:szCs w:val="18"/>
          <w:color w:val="auto"/>
        </w:rPr>
      </w:pPr>
    </w:p>
    <w:p>
      <w:pPr>
        <w:ind w:left="1980" w:right="719" w:hanging="352"/>
        <w:spacing w:after="0" w:line="275" w:lineRule="auto"/>
        <w:tabs>
          <w:tab w:leader="none" w:pos="1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5"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54" w:lineRule="exact"/>
        <w:rPr>
          <w:rFonts w:ascii="Arial" w:cs="Arial" w:eastAsia="Arial" w:hAnsi="Arial"/>
          <w:sz w:val="18"/>
          <w:szCs w:val="18"/>
          <w:color w:val="auto"/>
        </w:rPr>
      </w:pPr>
    </w:p>
    <w:p>
      <w:pPr>
        <w:ind w:left="1980" w:hanging="352"/>
        <w:spacing w:after="0"/>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 or</w:t>
      </w:r>
      <w:r>
        <w:rPr>
          <w:rFonts w:ascii="Arial" w:cs="Arial" w:eastAsia="Arial" w:hAnsi="Arial"/>
          <w:sz w:val="18"/>
          <w:szCs w:val="18"/>
          <w:color w:val="auto"/>
        </w:rPr>
        <w:t xml:space="preserve">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units must be made in accordance with an exemption from, or in a transaction not subject to, the prospectus requirements of applicable securities laws.</w:t>
      </w:r>
    </w:p>
    <w:p>
      <w:pPr>
        <w:spacing w:after="0" w:line="8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ind w:left="1260" w:right="1239" w:firstLine="360"/>
        <w:spacing w:after="0" w:line="263"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w:t>
      </w:r>
    </w:p>
    <w:p>
      <w:pPr>
        <w:sectPr>
          <w:pgSz w:w="11900" w:h="16838" w:orient="portrait"/>
          <w:cols w:equalWidth="0" w:num="1">
            <w:col w:w="10139"/>
          </w:cols>
          <w:pgMar w:left="320" w:top="132"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80"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08"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6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Paul, Weiss, Rifkind, Wharton &amp; Garrison LLP, New York, New York, has passed upon the validity of the securities offered in this prospectus on behalf of us. White &amp; Case LLP, New York, New York, advised the underwriters in connection with the offering of the securities.</w:t>
      </w:r>
    </w:p>
    <w:p>
      <w:pPr>
        <w:spacing w:after="0" w:line="166"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financial statements of Annetta Acquisition Corp as of May 22, 2020 and for the period from April 30, 2020 (inception) through May 22, 2020 included in this prospectus have been audited by Marcum LLP, independent registered public accounting firm, as set forth in their report, thereon (which contains an explanatory paragraph relating to substantial doubt about the ability of Annetta Acquisition Corp to continue as a going concern as described in Note 1 to the financial statements), appearing elsewhere in this prospectus, and are included in reliance on such report given upon such firm as experts in auditing and accounting.</w:t>
      </w:r>
    </w:p>
    <w:p>
      <w:pPr>
        <w:spacing w:after="0" w:line="17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84" w:lineRule="exact"/>
        <w:rPr>
          <w:sz w:val="20"/>
          <w:szCs w:val="20"/>
          <w:color w:val="auto"/>
        </w:rPr>
      </w:pPr>
    </w:p>
    <w:p>
      <w:pPr>
        <w:jc w:val="both"/>
        <w:ind w:left="1260" w:right="839" w:firstLine="360"/>
        <w:spacing w:after="0" w:line="259"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INDEX TO FINANCIAL STATEMENTS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Report of Independent Registered Public Accounting Firm</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57">
              <w:r>
                <w:rPr>
                  <w:rFonts w:ascii="Arial" w:cs="Arial" w:eastAsia="Arial" w:hAnsi="Arial"/>
                  <w:sz w:val="18"/>
                  <w:szCs w:val="18"/>
                  <w:u w:val="single" w:color="auto"/>
                  <w:color w:val="0000EE"/>
                  <w:w w:val="88"/>
                </w:rPr>
                <w:t>F-2</w:t>
              </w:r>
            </w:hyperlink>
          </w:p>
        </w:tc>
      </w:tr>
      <w:tr>
        <w:trPr>
          <w:trHeight w:val="256"/>
        </w:trPr>
        <w:tc>
          <w:tcPr>
            <w:tcW w:w="790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Balance Sheet</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58">
              <w:r>
                <w:rPr>
                  <w:rFonts w:ascii="Arial" w:cs="Arial" w:eastAsia="Arial" w:hAnsi="Arial"/>
                  <w:sz w:val="18"/>
                  <w:szCs w:val="18"/>
                  <w:u w:val="single" w:color="auto"/>
                  <w:color w:val="0000EE"/>
                  <w:w w:val="88"/>
                </w:rPr>
                <w:t>F-3</w:t>
              </w:r>
            </w:hyperlink>
          </w:p>
        </w:tc>
      </w:tr>
      <w:tr>
        <w:trPr>
          <w:trHeight w:val="257"/>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Statement of Operations</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59">
              <w:r>
                <w:rPr>
                  <w:rFonts w:ascii="Arial" w:cs="Arial" w:eastAsia="Arial" w:hAnsi="Arial"/>
                  <w:sz w:val="18"/>
                  <w:szCs w:val="18"/>
                  <w:u w:val="single" w:color="auto"/>
                  <w:color w:val="0000EE"/>
                  <w:w w:val="88"/>
                </w:rPr>
                <w:t>F-4</w:t>
              </w:r>
            </w:hyperlink>
          </w:p>
        </w:tc>
      </w:tr>
      <w:tr>
        <w:trPr>
          <w:trHeight w:val="270"/>
        </w:trPr>
        <w:tc>
          <w:tcPr>
            <w:tcW w:w="790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Statement of Changes in Stockholder’s Equity</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0">
              <w:r>
                <w:rPr>
                  <w:rFonts w:ascii="Arial" w:cs="Arial" w:eastAsia="Arial" w:hAnsi="Arial"/>
                  <w:sz w:val="18"/>
                  <w:szCs w:val="18"/>
                  <w:u w:val="single" w:color="auto"/>
                  <w:color w:val="0000EE"/>
                  <w:w w:val="88"/>
                </w:rPr>
                <w:t>F-5</w:t>
              </w:r>
            </w:hyperlink>
          </w:p>
        </w:tc>
      </w:tr>
      <w:tr>
        <w:trPr>
          <w:trHeight w:val="270"/>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Statement of Cash Flows</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61">
              <w:r>
                <w:rPr>
                  <w:rFonts w:ascii="Arial" w:cs="Arial" w:eastAsia="Arial" w:hAnsi="Arial"/>
                  <w:sz w:val="18"/>
                  <w:szCs w:val="18"/>
                  <w:u w:val="single" w:color="auto"/>
                  <w:color w:val="0000EE"/>
                  <w:w w:val="88"/>
                </w:rPr>
                <w:t>F-6</w:t>
              </w:r>
            </w:hyperlink>
          </w:p>
        </w:tc>
      </w:tr>
      <w:tr>
        <w:trPr>
          <w:trHeight w:val="270"/>
        </w:trPr>
        <w:tc>
          <w:tcPr>
            <w:tcW w:w="790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Notes to Financial Statements</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2">
              <w:r>
                <w:rPr>
                  <w:rFonts w:ascii="Arial" w:cs="Arial" w:eastAsia="Arial" w:hAnsi="Arial"/>
                  <w:sz w:val="18"/>
                  <w:szCs w:val="18"/>
                  <w:u w:val="single" w:color="auto"/>
                  <w:color w:val="0000EE"/>
                  <w:w w:val="88"/>
                </w:rPr>
                <w:t>F-7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-1010920</wp:posOffset>
            </wp:positionV>
            <wp:extent cx="50145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Annetta Acquisition Corp</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have audited the accompanying balance sheet of Annetta Acquisition Corp (the “Company”) as of May 22, 2020, the related statements of operations, changes in stockholder’s equity and cash flows for the period from April 30, 2020 (inception) through May 22, 2020 and the related notes (collectively referred to as the “financial statements”). In our opinion, the financial statements present fairly, in all material respects, the financial position of the Company as of May 22, 2020 and the results of its operations and its cash flows for the period from April 30, 2020 (inception) through May 22, 2020, in conformity with accounting principles generally accepted in the United States of America.</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ability to execute its business plan is dependent upon its completion of the proposed initial public offering described in Note 3 to the financial statements. The Company had a working capital deficit as of May 22, 2020 of $34,000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Notes 1 and 3. The financial statements do not include any adjustments that might become necessary should the Company be unable to continue as a going concern.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and in the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4"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Marcum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Marcum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27, 2020</w:t>
      </w: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6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8"/>
              </w:rPr>
              <w:t>ANNETTA ACQUISITION CORP</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3"/>
        </w:trPr>
        <w:tc>
          <w:tcPr>
            <w:tcW w:w="1940" w:type="dxa"/>
            <w:vAlign w:val="bottom"/>
          </w:tcPr>
          <w:p>
            <w:pPr>
              <w:spacing w:after="0"/>
              <w:rPr>
                <w:sz w:val="24"/>
                <w:szCs w:val="24"/>
                <w:color w:val="auto"/>
              </w:rPr>
            </w:pPr>
          </w:p>
        </w:tc>
        <w:tc>
          <w:tcPr>
            <w:tcW w:w="5680" w:type="dxa"/>
            <w:vAlign w:val="bottom"/>
          </w:tcPr>
          <w:p>
            <w:pPr>
              <w:jc w:val="center"/>
              <w:ind w:right="1270"/>
              <w:spacing w:after="0"/>
              <w:rPr>
                <w:sz w:val="20"/>
                <w:szCs w:val="20"/>
                <w:color w:val="auto"/>
              </w:rPr>
            </w:pPr>
            <w:r>
              <w:rPr>
                <w:rFonts w:ascii="Arial" w:cs="Arial" w:eastAsia="Arial" w:hAnsi="Arial"/>
                <w:sz w:val="18"/>
                <w:szCs w:val="18"/>
                <w:b w:val="1"/>
                <w:bCs w:val="1"/>
                <w:color w:val="auto"/>
                <w:w w:val="96"/>
              </w:rPr>
              <w:t>BALANCE SHEET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568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MAY 22, 2020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194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 —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58,000</w:t>
            </w:r>
          </w:p>
        </w:tc>
        <w:tc>
          <w:tcPr>
            <w:tcW w:w="60" w:type="dxa"/>
            <w:vAlign w:val="bottom"/>
          </w:tcPr>
          <w:p>
            <w:pPr>
              <w:spacing w:after="0"/>
              <w:rPr>
                <w:sz w:val="22"/>
                <w:szCs w:val="22"/>
                <w:color w:val="auto"/>
              </w:rPr>
            </w:pPr>
          </w:p>
        </w:tc>
      </w:tr>
      <w:tr>
        <w:trPr>
          <w:trHeight w:val="303"/>
        </w:trPr>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83,000</w:t>
            </w:r>
          </w:p>
        </w:tc>
        <w:tc>
          <w:tcPr>
            <w:tcW w:w="60" w:type="dxa"/>
            <w:vAlign w:val="bottom"/>
          </w:tcPr>
          <w:p>
            <w:pPr>
              <w:spacing w:after="0"/>
              <w:rPr>
                <w:sz w:val="24"/>
                <w:szCs w:val="24"/>
                <w:color w:val="auto"/>
              </w:rPr>
            </w:pPr>
          </w:p>
        </w:tc>
      </w:tr>
      <w:tr>
        <w:trPr>
          <w:trHeight w:val="311"/>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Accrued offering costs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59,000</w:t>
            </w: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2"/>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$0.0001 par value; 240,000,000 shares authorized; none issued and</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05"/>
        </w:trPr>
        <w:tc>
          <w:tcPr>
            <w:tcW w:w="7620" w:type="dxa"/>
            <w:vAlign w:val="bottom"/>
            <w:gridSpan w:val="2"/>
          </w:tcPr>
          <w:p>
            <w:pPr>
              <w:spacing w:after="0" w:line="205" w:lineRule="exact"/>
              <w:rPr>
                <w:sz w:val="20"/>
                <w:szCs w:val="20"/>
                <w:color w:val="auto"/>
              </w:rPr>
            </w:pPr>
            <w:r>
              <w:rPr>
                <w:rFonts w:ascii="Arial" w:cs="Arial" w:eastAsia="Arial" w:hAnsi="Arial"/>
                <w:sz w:val="18"/>
                <w:szCs w:val="18"/>
                <w:color w:val="auto"/>
              </w:rPr>
              <w:t>Class B common stock, $0.0001 par value; 60,000,000 shares authorized; 21,562,500 shares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4"/>
        </w:trPr>
        <w:tc>
          <w:tcPr>
            <w:tcW w:w="762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issued and outstanding</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2,156</w:t>
            </w:r>
          </w:p>
        </w:tc>
        <w:tc>
          <w:tcPr>
            <w:tcW w:w="60" w:type="dxa"/>
            <w:vAlign w:val="bottom"/>
          </w:tcPr>
          <w:p>
            <w:pPr>
              <w:spacing w:after="0"/>
              <w:rPr>
                <w:sz w:val="24"/>
                <w:szCs w:val="24"/>
                <w:color w:val="auto"/>
              </w:rPr>
            </w:pPr>
          </w:p>
        </w:tc>
      </w:tr>
      <w:tr>
        <w:trPr>
          <w:trHeight w:val="270"/>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22,844</w:t>
            </w:r>
          </w:p>
        </w:tc>
        <w:tc>
          <w:tcPr>
            <w:tcW w:w="60" w:type="dxa"/>
            <w:vAlign w:val="bottom"/>
          </w:tcPr>
          <w:p>
            <w:pPr>
              <w:spacing w:after="0"/>
              <w:rPr>
                <w:sz w:val="23"/>
                <w:szCs w:val="23"/>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(1,000)</w:t>
            </w:r>
          </w:p>
        </w:tc>
      </w:tr>
      <w:tr>
        <w:trPr>
          <w:trHeight w:val="277"/>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24,000</w:t>
            </w:r>
          </w:p>
        </w:tc>
        <w:tc>
          <w:tcPr>
            <w:tcW w:w="60" w:type="dxa"/>
            <w:vAlign w:val="bottom"/>
          </w:tcPr>
          <w:p>
            <w:pPr>
              <w:spacing w:after="0"/>
              <w:rPr>
                <w:sz w:val="24"/>
                <w:szCs w:val="24"/>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83,000</w:t>
            </w:r>
          </w:p>
        </w:tc>
        <w:tc>
          <w:tcPr>
            <w:tcW w:w="6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-521970</wp:posOffset>
            </wp:positionV>
            <wp:extent cx="4834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-2176780</wp:posOffset>
            </wp:positionV>
            <wp:extent cx="4834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82" w:lineRule="exact"/>
        <w:rPr>
          <w:sz w:val="20"/>
          <w:szCs w:val="20"/>
          <w:color w:val="auto"/>
        </w:rPr>
      </w:pPr>
    </w:p>
    <w:p>
      <w:pPr>
        <w:ind w:left="1620" w:right="1599" w:hanging="352"/>
        <w:spacing w:after="0" w:line="277"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an aggregate of 2,812,500 shares that are subject to forfeiture to the extent that the underwriters’ over-allotment is not exercised in full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360" w:type="dxa"/>
            <w:vAlign w:val="bottom"/>
          </w:tcPr>
          <w:p>
            <w:pPr>
              <w:jc w:val="center"/>
              <w:ind w:right="970"/>
              <w:spacing w:after="0"/>
              <w:rPr>
                <w:sz w:val="20"/>
                <w:szCs w:val="20"/>
                <w:color w:val="auto"/>
              </w:rPr>
            </w:pPr>
            <w:r>
              <w:rPr>
                <w:rFonts w:ascii="Arial" w:cs="Arial" w:eastAsia="Arial" w:hAnsi="Arial"/>
                <w:sz w:val="18"/>
                <w:szCs w:val="18"/>
                <w:b w:val="1"/>
                <w:bCs w:val="1"/>
                <w:color w:val="auto"/>
                <w:w w:val="98"/>
              </w:rPr>
              <w:t>ANNETTA ACQUISITION CORP</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360" w:type="dxa"/>
            <w:vAlign w:val="bottom"/>
          </w:tcPr>
          <w:p>
            <w:pPr>
              <w:jc w:val="center"/>
              <w:ind w:right="970"/>
              <w:spacing w:after="0"/>
              <w:rPr>
                <w:sz w:val="20"/>
                <w:szCs w:val="20"/>
                <w:color w:val="auto"/>
              </w:rPr>
            </w:pPr>
            <w:r>
              <w:rPr>
                <w:rFonts w:ascii="Arial" w:cs="Arial" w:eastAsia="Arial" w:hAnsi="Arial"/>
                <w:sz w:val="18"/>
                <w:szCs w:val="18"/>
                <w:b w:val="1"/>
                <w:bCs w:val="1"/>
                <w:color w:val="auto"/>
                <w:w w:val="96"/>
              </w:rPr>
              <w:t>STATEMENT OF OPERATIONS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6"/>
              </w:rPr>
              <w:t>FOR THE PERIOD FROM APRIL 30, 2020 (INCEPTION) THROUGH MAY 22, 2020</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3"/>
        </w:trPr>
        <w:tc>
          <w:tcPr>
            <w:tcW w:w="7300" w:type="dxa"/>
            <w:vAlign w:val="bottom"/>
            <w:tcBorders>
              <w:top w:val="single" w:sz="8" w:color="CCEEFF"/>
              <w:bottom w:val="single" w:sz="8" w:color="CCEEFF"/>
            </w:tcBorders>
            <w:gridSpan w:val="2"/>
            <w:shd w:val="clear" w:color="auto" w:fill="CCEEFF"/>
          </w:tcPr>
          <w:p>
            <w:pPr>
              <w:spacing w:after="0" w:line="243" w:lineRule="exact"/>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6"/>
                <w:szCs w:val="26"/>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18,750,000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right="1539" w:hanging="352"/>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Excludes an aggregate of 2,812,500 shares that are subject to forfeiture to the extent that the underwriters’ over-allotment is not exercised in full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ANNETTA ACQUISITION CORP</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 w:lineRule="exact"/>
        <w:rPr>
          <w:sz w:val="20"/>
          <w:szCs w:val="20"/>
          <w:color w:val="auto"/>
        </w:rPr>
      </w:pPr>
    </w:p>
    <w:p>
      <w:pPr>
        <w:jc w:val="right"/>
        <w:ind w:right="1519"/>
        <w:spacing w:after="0"/>
        <w:rPr>
          <w:sz w:val="20"/>
          <w:szCs w:val="20"/>
          <w:color w:val="auto"/>
        </w:rPr>
      </w:pPr>
      <w:r>
        <w:rPr>
          <w:rFonts w:ascii="Arial" w:cs="Arial" w:eastAsia="Arial" w:hAnsi="Arial"/>
          <w:sz w:val="18"/>
          <w:szCs w:val="18"/>
          <w:b w:val="1"/>
          <w:bCs w:val="1"/>
          <w:color w:val="auto"/>
        </w:rPr>
        <w:t>FOR THE PERIOD FROM APRIL 30, 2020 (INCEPTION) THROUGH MAY 22, 2020</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7"/>
              <w:spacing w:after="0"/>
              <w:rPr>
                <w:sz w:val="20"/>
                <w:szCs w:val="20"/>
                <w:color w:val="auto"/>
              </w:rPr>
            </w:pPr>
            <w:r>
              <w:rPr>
                <w:rFonts w:ascii="Arial" w:cs="Arial" w:eastAsia="Arial" w:hAnsi="Arial"/>
                <w:sz w:val="11"/>
                <w:szCs w:val="11"/>
                <w:b w:val="1"/>
                <w:bCs w:val="1"/>
                <w:color w:val="auto"/>
              </w:rPr>
              <w:t>(1)</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760" w:type="dxa"/>
            <w:vAlign w:val="bottom"/>
            <w:gridSpan w:val="5"/>
          </w:tcPr>
          <w:p>
            <w:pPr>
              <w:ind w:left="240"/>
              <w:spacing w:after="0" w:line="135" w:lineRule="exact"/>
              <w:rPr>
                <w:sz w:val="20"/>
                <w:szCs w:val="20"/>
                <w:color w:val="auto"/>
              </w:rPr>
            </w:pPr>
            <w:r>
              <w:rPr>
                <w:rFonts w:ascii="Arial" w:cs="Arial" w:eastAsia="Arial" w:hAnsi="Arial"/>
                <w:sz w:val="14"/>
                <w:szCs w:val="14"/>
                <w:b w:val="1"/>
                <w:bCs w:val="1"/>
                <w:color w:val="auto"/>
              </w:rPr>
              <w:t>Common Stock</w:t>
            </w: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 April 30, 2020 (inception)</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700" w:type="dxa"/>
            <w:vAlign w:val="bottom"/>
            <w:gridSpan w:val="2"/>
          </w:tcPr>
          <w:p>
            <w:pPr>
              <w:spacing w:after="0" w:line="192" w:lineRule="exact"/>
              <w:rPr>
                <w:sz w:val="20"/>
                <w:szCs w:val="20"/>
                <w:color w:val="auto"/>
              </w:rPr>
            </w:pPr>
            <w:r>
              <w:rPr>
                <w:rFonts w:ascii="Arial" w:cs="Arial" w:eastAsia="Arial" w:hAnsi="Arial"/>
                <w:sz w:val="18"/>
                <w:szCs w:val="18"/>
                <w:color w:val="auto"/>
              </w:rPr>
              <w:t>Issuance of Class B common stock to</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70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Sponsor</w:t>
            </w:r>
            <w:r>
              <w:rPr>
                <w:rFonts w:ascii="Arial" w:cs="Arial" w:eastAsia="Arial" w:hAnsi="Arial"/>
                <w:sz w:val="26"/>
                <w:szCs w:val="26"/>
                <w:color w:val="auto"/>
                <w:vertAlign w:val="superscript"/>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21,562,500</w:t>
            </w: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2,156</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22,844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7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Balance — May 22, 2020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21,562,500</w:t>
            </w: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2,156</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7"/>
              </w:rPr>
              <w:t>22,844</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24,000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-976630</wp:posOffset>
            </wp:positionV>
            <wp:extent cx="46716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82" w:lineRule="exact"/>
        <w:rPr>
          <w:sz w:val="20"/>
          <w:szCs w:val="20"/>
          <w:color w:val="auto"/>
        </w:rPr>
      </w:pPr>
    </w:p>
    <w:p>
      <w:pPr>
        <w:ind w:left="1620" w:right="1599" w:hanging="352"/>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an aggregate of 2,812,500 shares that are subject to forfeiture to the extent that the underwriters’ over-allotment option is not exercised in full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62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8"/>
              </w:rPr>
              <w:t>ANNETTA ACQUISITION CORP</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6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6"/>
              </w:rPr>
              <w:t>STATEMENT OF CASH FLOWS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6"/>
              </w:rPr>
              <w:t>FOR THE PERIOD FROM APRIL 30, 2020 (INCEPTION) THROUGH MAY 22, 2020</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7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 (1,000)</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7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57"/>
        </w:trPr>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spacing w:after="0"/>
              <w:rPr>
                <w:sz w:val="20"/>
                <w:szCs w:val="20"/>
                <w:color w:val="auto"/>
              </w:rPr>
            </w:pPr>
            <w:r>
              <w:rPr>
                <w:rFonts w:ascii="Arial" w:cs="Arial" w:eastAsia="Arial" w:hAnsi="Arial"/>
                <w:sz w:val="18"/>
                <w:szCs w:val="18"/>
                <w:color w:val="auto"/>
              </w:rPr>
              <w:t>Cash — Beginning</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-624840</wp:posOffset>
            </wp:positionV>
            <wp:extent cx="4834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-967740</wp:posOffset>
            </wp:positionV>
            <wp:extent cx="4834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-1739265</wp:posOffset>
            </wp:positionV>
            <wp:extent cx="4834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7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62"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As of May 22, 2020, the Company had not commenced any operations. All activity for the period from April 30, 2020 (inception) through May 22,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7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75,000,000 units (the “Units” and, with respect to the shares of Class A common stock included in the Units being offered, the “Public Shares”) at $10.00 per Unit (or 86,250,000 Units if the underwriters’ over-allotment option is exercised in full), which is discussed in Note 3, and the sale of 16,000,000 warrants (or 18,250,000 warrants if the underwriters’ over-allotment option is exercised in full) (each, a “Private Placement Warrant” and, collectively, the “Private Placement Warrants”) at a price of $1.00 per Private Placement Warrant in a private placement to the Annetta Sponsor LLC (the “Sponsor”) that will close simultaneously with the Proposed Public Offering.</w:t>
      </w:r>
    </w:p>
    <w:p>
      <w:pPr>
        <w:spacing w:after="0" w:line="70"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(as defined below)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and invested only in U.S. government securities, within the meaning set forth in Section 2(a)(16) of the Investment Company Act, with a maturity of</w:t>
      </w:r>
    </w:p>
    <w:p>
      <w:pPr>
        <w:spacing w:after="0" w:line="4" w:lineRule="exact"/>
        <w:rPr>
          <w:sz w:val="20"/>
          <w:szCs w:val="20"/>
          <w:color w:val="auto"/>
        </w:rPr>
      </w:pPr>
    </w:p>
    <w:p>
      <w:pPr>
        <w:ind w:left="1260" w:right="779"/>
        <w:spacing w:after="0" w:line="252" w:lineRule="auto"/>
        <w:rPr>
          <w:sz w:val="20"/>
          <w:szCs w:val="20"/>
          <w:color w:val="auto"/>
        </w:rPr>
      </w:pPr>
      <w:r>
        <w:rPr>
          <w:rFonts w:ascii="Arial" w:cs="Arial" w:eastAsia="Arial" w:hAnsi="Arial"/>
          <w:sz w:val="18"/>
          <w:szCs w:val="18"/>
          <w:color w:val="auto"/>
        </w:rPr>
        <w:t>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86"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portion of the amount then in the Trust Account (initially anticipated to be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 The Public Shares subject to redemption will be recorded at redemption value and classified as temporary equity upon the completion of the Proposed Public Offering in accordance with the Accounting Standards Codification (“ASC”) Topic 480 “Distinguishing Liabilities from Equity.”</w:t>
      </w:r>
    </w:p>
    <w:p>
      <w:pPr>
        <w:spacing w:after="0" w:line="8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72"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87"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70"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(or 27 months from the closing of the Proposed Public Offering if the Company has an executed letter of intent, agreement in principle or definitive agreement for a Business Combination within 24 months from the closing of the Proposed Public Offering)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w:t>
      </w: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87" w:lineRule="exact"/>
        <w:rPr>
          <w:sz w:val="20"/>
          <w:szCs w:val="20"/>
          <w:color w:val="auto"/>
        </w:rPr>
      </w:pPr>
    </w:p>
    <w:p>
      <w:pPr>
        <w:ind w:left="1260" w:right="899" w:firstLine="360"/>
        <w:spacing w:after="0" w:line="253"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Proposed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84"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04"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At May 22, 2020, the Company had $25,000 in cash and working capital deficit of $34,000.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within the Combination Window. The financial statements do not include any adjustments that might result from the outcome of this uncertainty.</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accompanying financial statements are presented in in conformity with accounting principles generally accepted in the United States of America (“GAAP”) and pursuant to the rules and regulations of the SEC.</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88"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7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w:t>
      </w:r>
    </w:p>
    <w:p>
      <w:pPr>
        <w:spacing w:after="0" w:line="2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76"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May 22,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0"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The provision for income taxes was deemed to be immaterial for the period from April 30, 2020 (inception) through May 22, 2020.</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2,812,500 shares of common stock that are subject to forfeiture if the over-allotment option is not exercised by the underwriters (see Note 7). As of May 22,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04"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Measurements and Disclosures,” approximates the carrying amounts represented in the balance sheet, primarily due to their short-term nature.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Management does not believe that any recently issued, but not yet effective, accounting pronouncements, if currently adopted, would have a material effect on the Company’s financial statements.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Public Offering</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Pursuant to the Proposed Public Offering, the Company intends to offer for sale 75,000,000 Units (or 86,250,000 Units if the underwriters’ over-allotment option is exercised in full) at a price of $10.00 per Unit. Each Unit consists of one share of Class A common stock and one-fourth of one redeemable warrant (“Public Warrant”). Each whole Public Warrant entitles the holder to purchase one share of Class A common stock at a price of $11.50 per share, subject to adjustment (see Note 7).</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Private Placement</w:t>
      </w:r>
    </w:p>
    <w:p>
      <w:pPr>
        <w:spacing w:after="0" w:line="108"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The Sponsor will agree to purchase an aggregate of 16,000,000 Private Placement Warrants (or 18,250,000 Private Placement Warrants if the over-allotment option is exercised in full) at a price of $1.00 per Private Placement Warrant, for an aggregate purchase price of $16,000,000, or $18,250,000 if the</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39"/>
        <w:spacing w:after="0" w:line="253" w:lineRule="auto"/>
        <w:rPr>
          <w:sz w:val="20"/>
          <w:szCs w:val="20"/>
          <w:color w:val="auto"/>
        </w:rPr>
      </w:pPr>
      <w:r>
        <w:rPr>
          <w:rFonts w:ascii="Arial" w:cs="Arial" w:eastAsia="Arial" w:hAnsi="Arial"/>
          <w:sz w:val="18"/>
          <w:szCs w:val="18"/>
          <w:color w:val="auto"/>
        </w:rPr>
        <w:t>over-allotment option is exercised in full, in a private placement that will occur simultaneously with the closing of the Proposed Public Offering. Each Private Placement Warrant is exercisable to purchase one share of Class A common stock at a price of $11.50 per share. The proceeds from the Private Placement Warrants will be added to the proceeds from the Proposed Public Offering to be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04"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On May 22, 2020, the Sponsor purchased 21,562,500 shares of the Company’s Class B common stock for an aggregate price of $25,000 (the “Founder Shares”). The Founder Shares include an aggregate of up to 2,812,500 shares subject to forfeiture to the extent that the underwriters’ over-allotment option is not exercised in full or in part, so that the Sponsor will own, on an as-converted basis, 20% of the Company’s issued and outstanding shares after the Proposed Public Offering (assuming the Sponsor does not purchase any Public Shares in the Proposed Public Offering).</w:t>
      </w:r>
    </w:p>
    <w:p>
      <w:pPr>
        <w:spacing w:after="0" w:line="8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form the lock-up.</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04"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Proposed Public Offering pursuant to a promissory note (the “Promissory Note”). The Promissory Note is non-interest bearing and payable on the earlier of December 31, 2021 or the completion of the Proposed Public Offering. As of May 22, 2020, there was no amounts outstanding under the Promissory Note.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04"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The Company will agree, commencing on the effective date of the Proposed Public Offering through the earlier of the Company’s consummation of a Business Combination and its liquidation, to pay an affiliate of the Sponsor a total of $50,000 per month for office space, administrative and support services.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Advisory Fee</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04" w:lineRule="exact"/>
        <w:rPr>
          <w:sz w:val="20"/>
          <w:szCs w:val="20"/>
          <w:color w:val="auto"/>
        </w:rPr>
      </w:pPr>
    </w:p>
    <w:p>
      <w:pPr>
        <w:ind w:left="1260" w:right="1139" w:firstLine="360"/>
        <w:spacing w:after="0" w:line="308" w:lineRule="auto"/>
        <w:rPr>
          <w:sz w:val="20"/>
          <w:szCs w:val="20"/>
          <w:color w:val="auto"/>
        </w:rPr>
      </w:pPr>
      <w:r>
        <w:rPr>
          <w:rFonts w:ascii="Arial" w:cs="Arial" w:eastAsia="Arial" w:hAnsi="Arial"/>
          <w:sz w:val="17"/>
          <w:szCs w:val="17"/>
          <w:color w:val="auto"/>
        </w:rPr>
        <w:t>In order to finance transaction costs in connection with a Business Combination, the Sponsor, an affiliate of the Sponsor, or the Company’s officers and directors may, but are not obligated to, loan the</w:t>
      </w:r>
    </w:p>
    <w:p>
      <w:pPr>
        <w:spacing w:after="0" w:line="2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19"/>
        <w:spacing w:after="0" w:line="269" w:lineRule="auto"/>
        <w:rPr>
          <w:sz w:val="20"/>
          <w:szCs w:val="20"/>
          <w:color w:val="auto"/>
        </w:rPr>
      </w:pPr>
      <w:r>
        <w:rPr>
          <w:rFonts w:ascii="Arial" w:cs="Arial" w:eastAsia="Arial" w:hAnsi="Arial"/>
          <w:sz w:val="17"/>
          <w:szCs w:val="17"/>
          <w:color w:val="auto"/>
        </w:rPr>
        <w:t>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Commitments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0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Proposed Public Offering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04"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11,250,000 additional Units to cover over-allotments, if any, at the Proposed Public Offering price less the underwriting discounts and commissions.</w:t>
      </w:r>
    </w:p>
    <w:p>
      <w:pPr>
        <w:spacing w:after="0" w:line="76"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underwriters will be entitled to a cash underwriting discount of $0.20 per Unit, or $15,000,000 in the aggregate (or $17,250,000 in the aggregate if the underwriters’ over-allotment option is exercised in full), payable upon the closing of the Proposed Public Offering. In addition, the underwriters will be entitled to a deferred fee of $0.35 per Unit, or $26,250,000 in the aggregate (or $30,187,500 in the aggregate if the underwriters’ over-allotment option is exercised in full). The deferred fee will be waived by the underwriters in the event that the Company does not complete a Business Combination, subject to the terms of the underwriting agreement.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Stockholder’s Equity</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with such designations, voting and other rights and preferences as may be determined from time to time by the Company’s board of directors. At May 22, 2020, there were no shares of preferred stock issued or outstanding.</w:t>
      </w:r>
    </w:p>
    <w:p>
      <w:pPr>
        <w:spacing w:after="0" w:line="79" w:lineRule="exact"/>
        <w:rPr>
          <w:sz w:val="20"/>
          <w:szCs w:val="20"/>
          <w:color w:val="auto"/>
        </w:rPr>
      </w:pPr>
    </w:p>
    <w:p>
      <w:pPr>
        <w:jc w:val="both"/>
        <w:ind w:left="1260" w:right="839" w:firstLine="360"/>
        <w:spacing w:after="0" w:line="311"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The Company is authorized to issue 240,000,000 shares of Class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with a par value of $0.0001 per share. Holders of Class A common stock are entitled to one vote for each share. At May 22, 2020, there were no shares of Class A common stock issued or outstanding.</w:t>
      </w:r>
    </w:p>
    <w:p>
      <w:pPr>
        <w:spacing w:after="0" w:line="41" w:lineRule="exact"/>
        <w:rPr>
          <w:sz w:val="20"/>
          <w:szCs w:val="20"/>
          <w:color w:val="auto"/>
        </w:rPr>
      </w:pPr>
    </w:p>
    <w:p>
      <w:pPr>
        <w:jc w:val="both"/>
        <w:ind w:left="1260" w:right="899" w:firstLine="360"/>
        <w:spacing w:after="0" w:line="311"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The Company is authorized to issue 60,000,000 shares of Class B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with a par value of $0.0001 per share. Holders of Class B common stock are entitled to one vote for each share. At May 22, 2020, there were 21,562,500 shares of Class B common stock issued and</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59"/>
        <w:spacing w:after="0" w:line="279" w:lineRule="auto"/>
        <w:rPr>
          <w:sz w:val="20"/>
          <w:szCs w:val="20"/>
          <w:color w:val="auto"/>
        </w:rPr>
      </w:pPr>
      <w:r>
        <w:rPr>
          <w:rFonts w:ascii="Arial" w:cs="Arial" w:eastAsia="Arial" w:hAnsi="Arial"/>
          <w:sz w:val="17"/>
          <w:szCs w:val="17"/>
          <w:color w:val="auto"/>
        </w:rPr>
        <w:t>outstanding, of which an aggregate of up to 2,812,500 shares are subject to forfeiture to the extent that the underwriters’ over-allotment option is not exercised in full or in part, so that the Sponsor will collectively own 20% of the Company’s issued and outstanding common stock after the Proposed Public Offering (assuming the Sponsor does not purchase any Public Shares in the Proposed Public Offering).</w:t>
      </w:r>
    </w:p>
    <w:p>
      <w:pPr>
        <w:spacing w:after="0" w:line="63"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5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Proposed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Proposed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will be issued upon separation of the Units and only whole warrants will trade. The Public Warrants will become exercisable on the later of (a) 30 days after the completion of a Business Combination or (b) 12 months from the closing of the Proposed Public Offering. The Public Warrants will expire five years after the completion of a Business Combination or earlier upon redemption or liquidation.</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8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Company will agree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85" w:lineRule="exact"/>
        <w:rPr>
          <w:sz w:val="20"/>
          <w:szCs w:val="20"/>
          <w:color w:val="auto"/>
        </w:rPr>
      </w:pPr>
    </w:p>
    <w:p>
      <w:pPr>
        <w:ind w:left="1980" w:hanging="352"/>
        <w:spacing w:after="0"/>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129" w:lineRule="exact"/>
        <w:rPr>
          <w:rFonts w:ascii="Arial" w:cs="Arial" w:eastAsia="Arial" w:hAnsi="Arial"/>
          <w:sz w:val="18"/>
          <w:szCs w:val="18"/>
          <w:color w:val="auto"/>
        </w:rPr>
      </w:pPr>
    </w:p>
    <w:p>
      <w:pPr>
        <w:ind w:left="1980" w:right="679" w:hanging="352"/>
        <w:spacing w:after="0" w:line="286" w:lineRule="auto"/>
        <w:tabs>
          <w:tab w:leader="none" w:pos="1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57" w:lineRule="exact"/>
        <w:rPr>
          <w:sz w:val="20"/>
          <w:szCs w:val="20"/>
          <w:color w:val="auto"/>
        </w:rPr>
      </w:pPr>
    </w:p>
    <w:p>
      <w:pPr>
        <w:ind w:left="1260" w:right="1319" w:firstLine="360"/>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7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Subsequent Events</w:t>
      </w:r>
    </w:p>
    <w:p>
      <w:pPr>
        <w:spacing w:after="0" w:line="108" w:lineRule="exact"/>
        <w:rPr>
          <w:sz w:val="20"/>
          <w:szCs w:val="20"/>
          <w:color w:val="auto"/>
        </w:rPr>
      </w:pPr>
    </w:p>
    <w:p>
      <w:pPr>
        <w:jc w:val="both"/>
        <w:ind w:left="1260" w:right="85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and through May 27, 2020,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40"/>
        <w:spacing w:after="0"/>
        <w:rPr>
          <w:sz w:val="20"/>
          <w:szCs w:val="20"/>
          <w:color w:val="auto"/>
        </w:rPr>
      </w:pPr>
      <w:r>
        <w:rPr>
          <w:rFonts w:ascii="Arial" w:cs="Arial" w:eastAsia="Arial" w:hAnsi="Arial"/>
          <w:sz w:val="32"/>
          <w:szCs w:val="32"/>
          <w:b w:val="1"/>
          <w:bCs w:val="1"/>
          <w:color w:val="auto"/>
        </w:rPr>
        <w:t>75,000,000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380"/>
        <w:spacing w:after="0"/>
        <w:rPr>
          <w:sz w:val="20"/>
          <w:szCs w:val="20"/>
          <w:color w:val="auto"/>
        </w:rPr>
      </w:pPr>
      <w:r>
        <w:rPr>
          <w:rFonts w:ascii="Arial" w:cs="Arial" w:eastAsia="Arial" w:hAnsi="Arial"/>
          <w:sz w:val="54"/>
          <w:szCs w:val="54"/>
          <w:b w:val="1"/>
          <w:bCs w:val="1"/>
          <w:color w:val="auto"/>
        </w:rPr>
        <w:t>Annetta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1133475</wp:posOffset>
            </wp:positionV>
            <wp:extent cx="12344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PRELIMINARY PROSPECTUS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214630</wp:posOffset>
            </wp:positionV>
            <wp:extent cx="12344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43"/>
          <w:szCs w:val="43"/>
          <w:b w:val="1"/>
          <w:bCs w:val="1"/>
          <w:color w:val="auto"/>
        </w:rPr>
        <w:t>Citigroup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Until , 2020 (25 days after the date of this prospectus), all dealers that buy, sell or trade shares of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607695</wp:posOffset>
            </wp:positionV>
            <wp:extent cx="52120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650240</wp:posOffset>
            </wp:positionV>
            <wp:extent cx="521208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241,828</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Travel and road show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360" w:type="dxa"/>
            <w:vAlign w:val="bottom"/>
          </w:tcPr>
          <w:p>
            <w:pPr>
              <w:spacing w:after="0"/>
              <w:rPr>
                <w:sz w:val="23"/>
                <w:szCs w:val="23"/>
                <w:color w:val="auto"/>
              </w:rPr>
            </w:pPr>
          </w:p>
        </w:tc>
        <w:tc>
          <w:tcPr>
            <w:tcW w:w="66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Directors and officers insurance premiums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w:t>
            </w:r>
          </w:p>
        </w:tc>
      </w:tr>
      <w:tr>
        <w:trPr>
          <w:trHeight w:val="25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63"/>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Miscellaneous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8,172</w:t>
            </w:r>
          </w:p>
        </w:tc>
      </w:tr>
      <w:tr>
        <w:trPr>
          <w:trHeight w:val="277"/>
        </w:trPr>
        <w:tc>
          <w:tcPr>
            <w:tcW w:w="360" w:type="dxa"/>
            <w:vAlign w:val="bottom"/>
          </w:tcPr>
          <w:p>
            <w:pPr>
              <w:spacing w:after="0"/>
              <w:rPr>
                <w:sz w:val="24"/>
                <w:szCs w:val="24"/>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r>
      <w:tr>
        <w:trPr>
          <w:trHeight w:val="135"/>
        </w:trPr>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-290830</wp:posOffset>
            </wp:positionV>
            <wp:extent cx="42259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74" w:lineRule="exact"/>
        <w:rPr>
          <w:sz w:val="20"/>
          <w:szCs w:val="20"/>
          <w:color w:val="auto"/>
        </w:rPr>
      </w:pPr>
    </w:p>
    <w:p>
      <w:pPr>
        <w:ind w:left="1620" w:right="939" w:hanging="352"/>
        <w:spacing w:after="0" w:line="248"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145.  Indemnification of officers, directors, employees and agents; insurance.</w:t>
      </w:r>
    </w:p>
    <w:p>
      <w:pPr>
        <w:spacing w:after="0" w:line="104" w:lineRule="exact"/>
        <w:rPr>
          <w:sz w:val="20"/>
          <w:szCs w:val="20"/>
          <w:color w:val="auto"/>
        </w:rPr>
      </w:pPr>
    </w:p>
    <w:p>
      <w:pPr>
        <w:ind w:left="1260" w:right="679" w:firstLine="368"/>
        <w:spacing w:after="0" w:line="252" w:lineRule="auto"/>
        <w:tabs>
          <w:tab w:leader="none" w:pos="19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87" w:lineRule="exact"/>
        <w:rPr>
          <w:rFonts w:ascii="Arial" w:cs="Arial" w:eastAsia="Arial" w:hAnsi="Arial"/>
          <w:sz w:val="18"/>
          <w:szCs w:val="18"/>
          <w:color w:val="auto"/>
        </w:rPr>
      </w:pPr>
    </w:p>
    <w:p>
      <w:pPr>
        <w:ind w:left="1260" w:right="699" w:firstLine="368"/>
        <w:spacing w:after="0" w:line="271" w:lineRule="auto"/>
        <w:tabs>
          <w:tab w:leader="none" w:pos="1976"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5" w:lineRule="auto"/>
        <w:rPr>
          <w:sz w:val="20"/>
          <w:szCs w:val="20"/>
          <w:color w:val="auto"/>
        </w:rPr>
      </w:pPr>
      <w:r>
        <w:rPr>
          <w:rFonts w:ascii="Arial" w:cs="Arial" w:eastAsia="Arial" w:hAnsi="Arial"/>
          <w:sz w:val="17"/>
          <w:szCs w:val="17"/>
          <w:color w:val="auto"/>
        </w:rPr>
        <w:t>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8" w:lineRule="exact"/>
        <w:rPr>
          <w:sz w:val="20"/>
          <w:szCs w:val="20"/>
          <w:color w:val="auto"/>
        </w:rPr>
      </w:pPr>
    </w:p>
    <w:p>
      <w:pPr>
        <w:ind w:left="1260" w:right="819" w:firstLine="368"/>
        <w:spacing w:after="0" w:line="257" w:lineRule="auto"/>
        <w:tabs>
          <w:tab w:leader="none" w:pos="197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79" w:lineRule="exact"/>
        <w:rPr>
          <w:rFonts w:ascii="Arial" w:cs="Arial" w:eastAsia="Arial" w:hAnsi="Arial"/>
          <w:sz w:val="18"/>
          <w:szCs w:val="18"/>
          <w:color w:val="auto"/>
        </w:rPr>
      </w:pPr>
    </w:p>
    <w:p>
      <w:pPr>
        <w:ind w:left="1260" w:right="679" w:firstLine="368"/>
        <w:spacing w:after="0" w:line="270" w:lineRule="auto"/>
        <w:tabs>
          <w:tab w:leader="none" w:pos="1976"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72" w:lineRule="exact"/>
        <w:rPr>
          <w:rFonts w:ascii="Arial" w:cs="Arial" w:eastAsia="Arial" w:hAnsi="Arial"/>
          <w:sz w:val="17"/>
          <w:szCs w:val="17"/>
          <w:color w:val="auto"/>
        </w:rPr>
      </w:pPr>
    </w:p>
    <w:p>
      <w:pPr>
        <w:ind w:left="1260" w:right="819" w:firstLine="368"/>
        <w:spacing w:after="0" w:line="272" w:lineRule="auto"/>
        <w:tabs>
          <w:tab w:leader="none" w:pos="1976"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69" w:lineRule="exact"/>
        <w:rPr>
          <w:rFonts w:ascii="Arial" w:cs="Arial" w:eastAsia="Arial" w:hAnsi="Arial"/>
          <w:sz w:val="17"/>
          <w:szCs w:val="17"/>
          <w:color w:val="auto"/>
        </w:rPr>
      </w:pPr>
    </w:p>
    <w:p>
      <w:pPr>
        <w:ind w:left="1260" w:right="739" w:firstLine="368"/>
        <w:spacing w:after="0" w:line="269" w:lineRule="auto"/>
        <w:tabs>
          <w:tab w:leader="none" w:pos="195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77" w:lineRule="exact"/>
        <w:rPr>
          <w:rFonts w:ascii="Arial" w:cs="Arial" w:eastAsia="Arial" w:hAnsi="Arial"/>
          <w:sz w:val="17"/>
          <w:szCs w:val="17"/>
          <w:color w:val="auto"/>
        </w:rPr>
      </w:pPr>
    </w:p>
    <w:p>
      <w:pPr>
        <w:ind w:left="1260" w:right="679" w:firstLine="368"/>
        <w:spacing w:after="0" w:line="255" w:lineRule="auto"/>
        <w:tabs>
          <w:tab w:leader="none" w:pos="19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4" w:lineRule="exact"/>
        <w:rPr>
          <w:rFonts w:ascii="Arial" w:cs="Arial" w:eastAsia="Arial" w:hAnsi="Arial"/>
          <w:sz w:val="18"/>
          <w:szCs w:val="18"/>
          <w:color w:val="auto"/>
        </w:rPr>
      </w:pPr>
    </w:p>
    <w:p>
      <w:pPr>
        <w:ind w:left="1260" w:right="739" w:firstLine="368"/>
        <w:spacing w:after="0" w:line="253" w:lineRule="auto"/>
        <w:tabs>
          <w:tab w:leader="none" w:pos="19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8"/>
        <w:spacing w:after="0" w:line="271" w:lineRule="auto"/>
        <w:tabs>
          <w:tab w:leader="none" w:pos="1946"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70" w:lineRule="exact"/>
        <w:rPr>
          <w:rFonts w:ascii="Arial" w:cs="Arial" w:eastAsia="Arial" w:hAnsi="Arial"/>
          <w:sz w:val="17"/>
          <w:szCs w:val="17"/>
          <w:color w:val="auto"/>
        </w:rPr>
      </w:pPr>
    </w:p>
    <w:p>
      <w:pPr>
        <w:jc w:val="both"/>
        <w:ind w:left="1260" w:right="719" w:firstLine="368"/>
        <w:spacing w:after="0" w:line="259" w:lineRule="auto"/>
        <w:tabs>
          <w:tab w:leader="none" w:pos="194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78" w:lineRule="exact"/>
        <w:rPr>
          <w:rFonts w:ascii="Arial" w:cs="Arial" w:eastAsia="Arial" w:hAnsi="Arial"/>
          <w:sz w:val="18"/>
          <w:szCs w:val="18"/>
          <w:color w:val="auto"/>
        </w:rPr>
      </w:pPr>
    </w:p>
    <w:p>
      <w:pPr>
        <w:ind w:left="1260" w:right="1039" w:firstLine="368"/>
        <w:spacing w:after="0" w:line="279" w:lineRule="auto"/>
        <w:tabs>
          <w:tab w:leader="none" w:pos="198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63"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In connection with this registration statement, we have undertaken that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 See Item 17 “Undertakings”.</w:t>
      </w:r>
    </w:p>
    <w:p>
      <w:pPr>
        <w:spacing w:after="0" w:line="7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77"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8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79"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affecting indemnification rights, whether by our stockholders or by changes in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78"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7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87"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In May 2020, Annetta Sponsor LLC, purchased an aggregate of 21,562,500 founder shares, for an aggregate offering price of $25,000 at an average purchase price of approximately $0.001 per share. The number of founder shares issued was determined based on the expectation that the founder shares would represent 20% of the outstanding shares of common stock upon completion of this offering. Such securities were issued in connection with our organization pursuant to the exemption from registration contained in Section 4(a)(2) of the Securities Act. Annetta Sponsor LLC is an accredited investor for purposes of Rule 501 of Regulation D.</w:t>
      </w:r>
    </w:p>
    <w:p>
      <w:pPr>
        <w:spacing w:after="0" w:line="87"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addition, Annetta Sponsor LLC has subscribed to purchase from us an aggregate of 16,000,000 private placement warrants (or 18,250,000 warrants if the underwriters’ option to purchase additional units is exercised in full) at $1.00 per warrant (for an aggregate purchase price of $16,000,000 or $18,250,000 if the underwriters’ option to purchase additional units is exercised in full). This purchase will take place on a private placement basis simultaneously with the completion of our initial public offering. Any such issuances will be made pursuant to the exemption from registration contained in Section 4(a)(2) of the Securities Act.</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1620"/>
        <w:spacing w:after="0"/>
        <w:tabs>
          <w:tab w:leader="none" w:pos="1960" w:val="left"/>
          <w:tab w:leader="none" w:pos="2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i w:val="1"/>
          <w:iCs w:val="1"/>
          <w:color w:val="auto"/>
        </w:rPr>
        <w:t>Exhibits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following exhibits are being filed herewith:</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460" w:type="dxa"/>
            <w:vAlign w:val="bottom"/>
          </w:tcPr>
          <w:p>
            <w:pPr>
              <w:ind w:left="340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243"/>
        </w:trPr>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Certificate of Incorporation</w:t>
            </w:r>
          </w:p>
        </w:tc>
      </w:tr>
      <w:tr>
        <w:trPr>
          <w:trHeight w:val="243"/>
        </w:trPr>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243"/>
        </w:trPr>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Amended and Restated Bylaws</w:t>
            </w:r>
          </w:p>
        </w:tc>
      </w:tr>
      <w:tr>
        <w:trPr>
          <w:trHeight w:val="243"/>
        </w:trPr>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Specimen Unit Certificate</w:t>
            </w:r>
          </w:p>
        </w:tc>
      </w:tr>
      <w:tr>
        <w:trPr>
          <w:trHeight w:val="243"/>
        </w:trPr>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Specimen Class A Common Stock Certificate</w:t>
            </w:r>
          </w:p>
        </w:tc>
      </w:tr>
      <w:tr>
        <w:trPr>
          <w:trHeight w:val="242"/>
        </w:trPr>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Specimen Warrant Certificate (included in Exhibit 4.4)</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Warrant Agreement between Continental Stock Transfer &amp; Trust Company and the</w:t>
            </w: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Registrant</w:t>
            </w:r>
          </w:p>
        </w:tc>
      </w:tr>
      <w:tr>
        <w:trPr>
          <w:trHeight w:val="257"/>
        </w:trPr>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Opinion of Paul, Weiss, Rifkind, Wharton &amp; Garrison LLP</w:t>
            </w:r>
          </w:p>
        </w:tc>
      </w:tr>
      <w:tr>
        <w:trPr>
          <w:trHeight w:val="256"/>
        </w:trPr>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Promissory Note, dated May 13, 2020, issued to the Sponsor</w:t>
            </w:r>
          </w:p>
        </w:tc>
      </w:tr>
      <w:tr>
        <w:trPr>
          <w:trHeight w:val="229"/>
        </w:trPr>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4"/>
              </w:rPr>
              <w:t>Form of Letter Agreement among the Registrant and the Registrant’s officers and directors and the</w:t>
            </w: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Sponsor and its members</w:t>
            </w:r>
          </w:p>
        </w:tc>
      </w:tr>
      <w:tr>
        <w:trPr>
          <w:trHeight w:val="242"/>
        </w:trPr>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8"/>
              </w:rPr>
              <w:t>Form of Investment Management Trust Agreement between Continental Stock Transfer &amp; Trust</w:t>
            </w: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Company and the Registrant</w:t>
            </w: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3"/>
                <w:szCs w:val="23"/>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Registration Rights Agreement between the Registrant and certain security holders</w:t>
            </w:r>
          </w:p>
        </w:tc>
      </w:tr>
      <w:tr>
        <w:trPr>
          <w:trHeight w:val="256"/>
        </w:trPr>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5"/>
              </w:rPr>
              <w:t>Securities Subscription Agreement, dated May 13, 2020, between the Registrant and the Sponsor</w:t>
            </w:r>
          </w:p>
        </w:tc>
      </w:tr>
      <w:tr>
        <w:trPr>
          <w:trHeight w:val="243"/>
        </w:trPr>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3"/>
              </w:rPr>
              <w:t>Form of Private Placement Warrants Purchase Agreement between the Registrant and the Sponsor</w:t>
            </w: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3"/>
                <w:szCs w:val="23"/>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Form of Indemnity Agreement</w:t>
            </w:r>
          </w:p>
        </w:tc>
      </w:tr>
      <w:tr>
        <w:trPr>
          <w:trHeight w:val="229"/>
        </w:trPr>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6"/>
              </w:rPr>
              <w:t>Form of Administrative Services Agreement, by and between the Registrant and an affiliate of the</w:t>
            </w: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Sponsor</w:t>
            </w:r>
          </w:p>
        </w:tc>
      </w:tr>
      <w:tr>
        <w:trPr>
          <w:trHeight w:val="270"/>
        </w:trPr>
        <w:tc>
          <w:tcPr>
            <w:tcW w:w="540" w:type="dxa"/>
            <w:vAlign w:val="bottom"/>
          </w:tcPr>
          <w:p>
            <w:pPr>
              <w:jc w:val="right"/>
              <w:ind w:right="31"/>
              <w:spacing w:after="0"/>
              <w:rPr>
                <w:sz w:val="20"/>
                <w:szCs w:val="20"/>
                <w:color w:val="auto"/>
              </w:rPr>
            </w:pPr>
            <w:r>
              <w:rPr>
                <w:rFonts w:ascii="Arial" w:cs="Arial" w:eastAsia="Arial" w:hAnsi="Arial"/>
                <w:sz w:val="18"/>
                <w:szCs w:val="18"/>
                <w:color w:val="auto"/>
                <w:w w:val="95"/>
              </w:rPr>
              <w:t>23.1*</w:t>
            </w:r>
          </w:p>
        </w:tc>
        <w:tc>
          <w:tcPr>
            <w:tcW w:w="220" w:type="dxa"/>
            <w:vAlign w:val="bottom"/>
          </w:tcPr>
          <w:p>
            <w:pPr>
              <w:spacing w:after="0"/>
              <w:rPr>
                <w:sz w:val="23"/>
                <w:szCs w:val="23"/>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Consent of Marcum LLP</w:t>
            </w:r>
          </w:p>
        </w:tc>
      </w:tr>
      <w:tr>
        <w:trPr>
          <w:trHeight w:val="256"/>
        </w:trPr>
        <w:tc>
          <w:tcPr>
            <w:tcW w:w="540" w:type="dxa"/>
            <w:vAlign w:val="bottom"/>
          </w:tcPr>
          <w:p>
            <w:pPr>
              <w:jc w:val="right"/>
              <w:ind w:right="31"/>
              <w:spacing w:after="0"/>
              <w:rPr>
                <w:sz w:val="20"/>
                <w:szCs w:val="20"/>
                <w:color w:val="auto"/>
              </w:rPr>
            </w:pPr>
            <w:r>
              <w:rPr>
                <w:rFonts w:ascii="Arial" w:cs="Arial" w:eastAsia="Arial" w:hAnsi="Arial"/>
                <w:sz w:val="18"/>
                <w:szCs w:val="18"/>
                <w:color w:val="auto"/>
                <w:w w:val="95"/>
              </w:rPr>
              <w:t>23.2*</w:t>
            </w:r>
          </w:p>
        </w:tc>
        <w:tc>
          <w:tcPr>
            <w:tcW w:w="220" w:type="dxa"/>
            <w:vAlign w:val="bottom"/>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Consent of Paul, Weiss, Rifkind, Wharton &amp; Garrison LLP (included in Exhibit 5.1)</w:t>
            </w:r>
          </w:p>
        </w:tc>
      </w:tr>
      <w:tr>
        <w:trPr>
          <w:trHeight w:val="256"/>
        </w:trPr>
        <w:tc>
          <w:tcPr>
            <w:tcW w:w="540" w:type="dxa"/>
            <w:vAlign w:val="bottom"/>
          </w:tcPr>
          <w:p>
            <w:pP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Power of Attorney</w:t>
            </w:r>
          </w:p>
        </w:tc>
      </w:tr>
      <w:tr>
        <w:trPr>
          <w:trHeight w:val="256"/>
        </w:trPr>
        <w:tc>
          <w:tcPr>
            <w:tcW w:w="540" w:type="dxa"/>
            <w:vAlign w:val="bottom"/>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Consent of Glenn R. August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171450</wp:posOffset>
            </wp:positionV>
            <wp:extent cx="12344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60" w:right="6499" w:firstLine="8"/>
        <w:spacing w:after="0" w:line="506"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be filed by amendment. ** Previously filed.</w:t>
      </w:r>
    </w:p>
    <w:p>
      <w:pPr>
        <w:spacing w:after="0" w:line="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279" w:firstLine="368"/>
        <w:spacing w:after="0" w:line="277" w:lineRule="auto"/>
        <w:tabs>
          <w:tab w:leader="none" w:pos="1986"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jc w:val="both"/>
        <w:ind w:left="1260" w:right="699" w:firstLine="368"/>
        <w:spacing w:after="0" w:line="263" w:lineRule="auto"/>
        <w:tabs>
          <w:tab w:leader="none" w:pos="19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260" w:right="719" w:firstLine="368"/>
        <w:spacing w:after="0" w:line="253" w:lineRule="auto"/>
        <w:tabs>
          <w:tab w:leader="none" w:pos="19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rFonts w:ascii="Arial" w:cs="Arial" w:eastAsia="Arial" w:hAnsi="Arial"/>
          <w:sz w:val="18"/>
          <w:szCs w:val="18"/>
          <w:color w:val="auto"/>
        </w:rPr>
      </w:pPr>
    </w:p>
    <w:p>
      <w:pPr>
        <w:ind w:left="1980" w:hanging="352"/>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2340" w:right="939" w:hanging="352"/>
        <w:spacing w:after="0" w:line="275" w:lineRule="auto"/>
        <w:tabs>
          <w:tab w:leader="none" w:pos="2340" w:val="left"/>
        </w:tabs>
        <w:numPr>
          <w:ilvl w:val="1"/>
          <w:numId w:val="9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8" w:lineRule="exact"/>
        <w:rPr>
          <w:rFonts w:ascii="Arial" w:cs="Arial" w:eastAsia="Arial" w:hAnsi="Arial"/>
          <w:sz w:val="17"/>
          <w:szCs w:val="17"/>
          <w:color w:val="auto"/>
        </w:rPr>
      </w:pPr>
    </w:p>
    <w:p>
      <w:pPr>
        <w:ind w:left="2340" w:right="1119" w:hanging="352"/>
        <w:spacing w:after="0" w:line="279" w:lineRule="auto"/>
        <w:tabs>
          <w:tab w:leader="none" w:pos="2340" w:val="left"/>
        </w:tabs>
        <w:numPr>
          <w:ilvl w:val="1"/>
          <w:numId w:val="9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3" w:lineRule="exact"/>
        <w:rPr>
          <w:rFonts w:ascii="Arial" w:cs="Arial" w:eastAsia="Arial" w:hAnsi="Arial"/>
          <w:sz w:val="17"/>
          <w:szCs w:val="17"/>
          <w:color w:val="auto"/>
        </w:rPr>
      </w:pPr>
    </w:p>
    <w:p>
      <w:pPr>
        <w:ind w:left="2340" w:right="699" w:hanging="352"/>
        <w:spacing w:after="0" w:line="269" w:lineRule="auto"/>
        <w:tabs>
          <w:tab w:leader="none" w:pos="2340" w:val="left"/>
        </w:tabs>
        <w:numPr>
          <w:ilvl w:val="1"/>
          <w:numId w:val="94"/>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7"/>
          <w:szCs w:val="17"/>
          <w:color w:val="auto"/>
        </w:rPr>
      </w:pPr>
    </w:p>
    <w:p>
      <w:pPr>
        <w:ind w:left="2340" w:right="659" w:hanging="352"/>
        <w:spacing w:after="0" w:line="254" w:lineRule="auto"/>
        <w:tabs>
          <w:tab w:leader="none" w:pos="23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6" w:lineRule="exact"/>
        <w:rPr>
          <w:rFonts w:ascii="Arial" w:cs="Arial" w:eastAsia="Arial" w:hAnsi="Arial"/>
          <w:sz w:val="18"/>
          <w:szCs w:val="18"/>
          <w:color w:val="auto"/>
        </w:rPr>
      </w:pPr>
    </w:p>
    <w:p>
      <w:pPr>
        <w:ind w:left="2700" w:right="959" w:hanging="352"/>
        <w:spacing w:after="0" w:line="277" w:lineRule="auto"/>
        <w:tabs>
          <w:tab w:leader="none" w:pos="27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2700" w:right="1179" w:hanging="352"/>
        <w:spacing w:after="0" w:line="277" w:lineRule="auto"/>
        <w:tabs>
          <w:tab w:leader="none" w:pos="27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00" w:right="799" w:hanging="352"/>
        <w:spacing w:after="0" w:line="263" w:lineRule="auto"/>
        <w:tabs>
          <w:tab w:leader="none" w:pos="2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9" w:lineRule="exact"/>
        <w:rPr>
          <w:rFonts w:ascii="Arial" w:cs="Arial" w:eastAsia="Arial" w:hAnsi="Arial"/>
          <w:sz w:val="18"/>
          <w:szCs w:val="18"/>
          <w:color w:val="auto"/>
        </w:rPr>
      </w:pPr>
    </w:p>
    <w:p>
      <w:pPr>
        <w:ind w:left="2700" w:right="1259" w:hanging="352"/>
        <w:spacing w:after="0" w:line="277" w:lineRule="auto"/>
        <w:tabs>
          <w:tab w:leader="none" w:pos="2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w:t>
      </w:r>
    </w:p>
    <w:tbl>
      <w:tblPr>
        <w:tblLayout w:type="fixed"/>
        <w:tblInd w:w="12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New York, State of New York on the</w:t>
            </w:r>
          </w:p>
        </w:tc>
        <w:tc>
          <w:tcPr>
            <w:tcW w:w="640" w:type="dxa"/>
            <w:vAlign w:val="bottom"/>
          </w:tcPr>
          <w:p>
            <w:pPr>
              <w:ind w:left="320"/>
              <w:spacing w:after="0"/>
              <w:rPr>
                <w:sz w:val="20"/>
                <w:szCs w:val="20"/>
                <w:color w:val="auto"/>
              </w:rPr>
            </w:pPr>
            <w:r>
              <w:rPr>
                <w:rFonts w:ascii="Arial" w:cs="Arial" w:eastAsia="Arial" w:hAnsi="Arial"/>
                <w:sz w:val="18"/>
                <w:szCs w:val="18"/>
                <w:color w:val="auto"/>
              </w:rPr>
              <w:t>of</w:t>
            </w:r>
          </w:p>
        </w:tc>
        <w:tc>
          <w:tcPr>
            <w:tcW w:w="4460" w:type="dxa"/>
            <w:vAlign w:val="bottom"/>
            <w:gridSpan w:val="2"/>
          </w:tcPr>
          <w:p>
            <w:pPr>
              <w:jc w:val="right"/>
              <w:ind w:right="3350"/>
              <w:spacing w:after="0"/>
              <w:rPr>
                <w:sz w:val="20"/>
                <w:szCs w:val="20"/>
                <w:color w:val="auto"/>
              </w:rPr>
            </w:pPr>
            <w:r>
              <w:rPr>
                <w:rFonts w:ascii="Arial" w:cs="Arial" w:eastAsia="Arial" w:hAnsi="Arial"/>
                <w:sz w:val="18"/>
                <w:szCs w:val="18"/>
                <w:color w:val="auto"/>
              </w:rPr>
              <w:t>, 2020.</w:t>
            </w:r>
          </w:p>
        </w:tc>
      </w:tr>
      <w:tr>
        <w:trPr>
          <w:trHeight w:val="445"/>
        </w:trPr>
        <w:tc>
          <w:tcPr>
            <w:tcW w:w="3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ANNETTA ACQUISITION CORP</w:t>
            </w:r>
          </w:p>
        </w:tc>
      </w:tr>
      <w:tr>
        <w:trPr>
          <w:trHeight w:val="445"/>
        </w:trPr>
        <w:tc>
          <w:tcPr>
            <w:tcW w:w="3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54"/>
        </w:trPr>
        <w:tc>
          <w:tcPr>
            <w:tcW w:w="3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r>
        <w:trPr>
          <w:trHeight w:val="222"/>
        </w:trPr>
        <w:tc>
          <w:tcPr>
            <w:tcW w:w="3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Name:</w:t>
            </w:r>
          </w:p>
        </w:tc>
      </w:tr>
      <w:tr>
        <w:trPr>
          <w:trHeight w:val="230"/>
        </w:trPr>
        <w:tc>
          <w:tcPr>
            <w:tcW w:w="3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5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3020" w:type="dxa"/>
            <w:vAlign w:val="bottom"/>
            <w:gridSpan w:val="2"/>
          </w:tcPr>
          <w:p>
            <w:pPr>
              <w:ind w:left="1260"/>
              <w:spacing w:after="0"/>
              <w:rPr>
                <w:sz w:val="20"/>
                <w:szCs w:val="20"/>
                <w:color w:val="auto"/>
              </w:rPr>
            </w:pPr>
            <w:r>
              <w:rPr>
                <w:rFonts w:ascii="Arial" w:cs="Arial" w:eastAsia="Arial" w:hAnsi="Arial"/>
                <w:sz w:val="14"/>
                <w:szCs w:val="14"/>
                <w:b w:val="1"/>
                <w:bCs w:val="1"/>
                <w:color w:val="auto"/>
              </w:rPr>
              <w:t>Title</w:t>
            </w:r>
          </w:p>
        </w:tc>
        <w:tc>
          <w:tcPr>
            <w:tcW w:w="1840" w:type="dxa"/>
            <w:vAlign w:val="bottom"/>
          </w:tcPr>
          <w:p>
            <w:pPr>
              <w:jc w:val="right"/>
              <w:ind w:right="696"/>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
        </w:trPr>
        <w:tc>
          <w:tcPr>
            <w:tcW w:w="3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Chief Executive Officer, Chairman</w:t>
            </w:r>
          </w:p>
        </w:tc>
        <w:tc>
          <w:tcPr>
            <w:tcW w:w="1840" w:type="dxa"/>
            <w:vAlign w:val="bottom"/>
          </w:tcPr>
          <w:p>
            <w:pPr>
              <w:jc w:val="right"/>
              <w:ind w:right="316"/>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5"/>
        </w:trPr>
        <w:tc>
          <w:tcPr>
            <w:tcW w:w="3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of the Board of Directors and</w:t>
            </w: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rPr>
              <w:t>Michael Klein</w:t>
            </w:r>
          </w:p>
        </w:tc>
        <w:tc>
          <w:tcPr>
            <w:tcW w:w="220" w:type="dxa"/>
            <w:vAlign w:val="bottom"/>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Director (Principal Executive</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1840" w:type="dxa"/>
            <w:vAlign w:val="bottom"/>
          </w:tcPr>
          <w:p>
            <w:pPr>
              <w:jc w:val="right"/>
              <w:ind w:right="316"/>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5"/>
        </w:trPr>
        <w:tc>
          <w:tcPr>
            <w:tcW w:w="3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Accounting Officer and Financial</w:t>
            </w: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1"/>
              </w:rPr>
              <w:t>Jay Taragin</w:t>
            </w:r>
          </w:p>
        </w:tc>
        <w:tc>
          <w:tcPr>
            <w:tcW w:w="220" w:type="dxa"/>
            <w:vAlign w:val="bottom"/>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20" w:type="dxa"/>
            <w:vAlign w:val="bottom"/>
            <w:gridSpan w:val="2"/>
            <w:vMerge w:val="continue"/>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emdash "/>
      <w:numFmt w:val="bullet"/>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1)"/>
      <w:numFmt w:val="decimal"/>
      <w:start w:val="2"/>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emdash "/>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1)"/>
      <w:numFmt w:val="decimal"/>
      <w:start w:val="2"/>
    </w:lvl>
  </w:abstractNum>
  <w:abstractNum w:abstractNumId="49">
    <w:nsid w:val="168E121F"/>
    <w:multiLevelType w:val="hybridMultilevel"/>
    <w:lvl w:ilvl="0">
      <w:lvlJc w:val="left"/>
      <w:lvlText w:val="(%1)"/>
      <w:numFmt w:val="decimal"/>
      <w:start w:val="2"/>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upperLetter"/>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decimal"/>
      <w:start w:val="9"/>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lowerRoman"/>
      <w:start w:val="3"/>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1)"/>
      <w:numFmt w:val="decimal"/>
      <w:start w:val="2"/>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1)"/>
      <w:numFmt w:val="lowerRoman"/>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3"/>
    </w:lvl>
  </w:abstractNum>
  <w:abstractNum w:abstractNumId="90">
    <w:nsid w:val="CC1016F"/>
    <w:multiLevelType w:val="hybridMultilevel"/>
    <w:lvl w:ilvl="0">
      <w:lvlJc w:val="left"/>
      <w:lvlText w:val="(%1)"/>
      <w:numFmt w:val="lowerLetter"/>
      <w:start w:val="9"/>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1)"/>
      <w:numFmt w:val="lowerLetter"/>
      <w:start w:val="2"/>
    </w:lvl>
  </w:abstractNum>
  <w:abstractNum w:abstractNumId="93">
    <w:nsid w:val="26F324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4">
    <w:nsid w:val="7F01579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2020-07-20T23:06:40Z</dcterms:created>
  <dcterms:modified xsi:type="dcterms:W3CDTF">2020-07-20T23:06:40Z</dcterms:modified>
</cp:coreProperties>
</file>