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by Churchill Capital Corp IV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425 under the Securities Act of 1933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and deemed filed pursuant to Rule 14a-12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Subject Company: Churchill Capital Corp IV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 001-39408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Date: February 25, 2021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The following communication was made available by Lucid Motors on its employee Intranet: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5846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84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72" w:right="33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349240" cy="2537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253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349240" cy="591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591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4877435" cy="6840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684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349240" cy="7372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737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048885" cy="68408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885" cy="684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6" w:name="page7"/>
    <w:bookmarkEnd w:id="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5349240" cy="70034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700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349240" cy="72351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723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8" w:name="page9"/>
    <w:bookmarkEnd w:id="8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297805" cy="74066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740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9" w:name="page10"/>
    <w:bookmarkEnd w:id="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349240" cy="72777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727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29210</wp:posOffset>
            </wp:positionV>
            <wp:extent cx="713232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0" w:name="page11"/>
    <w:bookmarkEnd w:id="1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5349240" cy="10629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106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29210</wp:posOffset>
            </wp:positionV>
            <wp:extent cx="713232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jpe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2021-02-26T07:12:01Z</dcterms:created>
  <dcterms:modified xsi:type="dcterms:W3CDTF">2021-02-26T07:12:01Z</dcterms:modified>
</cp:coreProperties>
</file>