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60" w:after="283"/>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February 20, 2026</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Lucid Group,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7977" w:type="dxa"/>
        <w:jc w:val="left"/>
        <w:tblInd w:w="0" w:type="dxa"/>
        <w:tblLayout w:type="fixed"/>
        <w:tblCellMar>
          <w:top w:w="28" w:type="dxa"/>
          <w:left w:w="28" w:type="dxa"/>
          <w:bottom w:w="28" w:type="dxa"/>
          <w:right w:w="28" w:type="dxa"/>
        </w:tblCellMar>
      </w:tblPr>
      <w:tblGrid>
        <w:gridCol w:w="1215"/>
        <w:gridCol w:w="1066"/>
        <w:gridCol w:w="1078"/>
        <w:gridCol w:w="528"/>
        <w:gridCol w:w="528"/>
        <w:gridCol w:w="533"/>
        <w:gridCol w:w="884"/>
        <w:gridCol w:w="884"/>
        <w:gridCol w:w="1261"/>
      </w:tblGrid>
      <w:tr>
        <w:trPr/>
        <w:tc>
          <w:tcPr>
            <w:tcW w:w="121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001-39408</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85-0891392</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 or organization)</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w:t>
              <w:br/>
              <w:t>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7373 Gateway Boulevard</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Newark, CA</w:t>
            </w:r>
          </w:p>
        </w:tc>
        <w:tc>
          <w:tcPr>
            <w:tcW w:w="1589"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94560</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6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(510) 648-3553</w:t>
      </w:r>
    </w:p>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(Former name or former address, if changed since last report.)</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528"/>
        <w:gridCol w:w="1329"/>
        <w:gridCol w:w="1344"/>
        <w:gridCol w:w="109"/>
        <w:gridCol w:w="109"/>
        <w:gridCol w:w="109"/>
        <w:gridCol w:w="550"/>
        <w:gridCol w:w="550"/>
        <w:gridCol w:w="552"/>
        <w:gridCol w:w="109"/>
        <w:gridCol w:w="109"/>
        <w:gridCol w:w="109"/>
        <w:gridCol w:w="1079"/>
        <w:gridCol w:w="1079"/>
        <w:gridCol w:w="1540"/>
      </w:tblGrid>
      <w:tr>
        <w:trPr/>
        <w:tc>
          <w:tcPr>
            <w:tcW w:w="152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Class A Common Stock, $0.0001 par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LCID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color w:val="000000"/>
        </w:rPr>
      </w:pP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83"/>
        <w:jc w:val="both"/>
        <w:rPr/>
      </w:pPr>
      <w:r>
        <w:rPr>
          <w:rFonts w:ascii="Times New Roman;serif" w:hAnsi="Times New Roman;serif"/>
          <w:b w:val="false"/>
          <w:color w:val="000000"/>
          <w:sz w:val="20"/>
        </w:rPr>
        <w:t>On February 24, 2026, Lucid Group, Inc. (“</w:t>
      </w:r>
      <w:r>
        <w:rPr>
          <w:rFonts w:ascii="Times New Roman;serif" w:hAnsi="Times New Roman;serif"/>
          <w:b/>
          <w:i/>
          <w:color w:val="000000"/>
          <w:sz w:val="20"/>
        </w:rPr>
        <w:t>Lucid</w:t>
      </w:r>
      <w:r>
        <w:rPr>
          <w:color w:val="000000"/>
        </w:rPr>
        <w:t xml:space="preserve">” </w:t>
      </w:r>
      <w:r>
        <w:rPr>
          <w:rFonts w:ascii="Times New Roman;serif" w:hAnsi="Times New Roman;serif"/>
          <w:b w:val="false"/>
          <w:color w:val="000000"/>
          <w:sz w:val="20"/>
        </w:rPr>
        <w:t>or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issued a press release announcing its results for the fourth quarter and full year ended December 31, 2025. A copy of the press release is attached as Exhibit 99.1 to this Current Report on Form 8-K and is incorporated by reference herein.</w:t>
      </w:r>
    </w:p>
    <w:p>
      <w:pPr>
        <w:pStyle w:val="TextBody"/>
        <w:bidi w:val="0"/>
        <w:spacing w:lineRule="auto" w:line="288" w:before="240" w:after="283"/>
        <w:jc w:val="both"/>
        <w:rPr/>
      </w:pPr>
      <w:r>
        <w:rPr>
          <w:rFonts w:ascii="Times New Roman;serif" w:hAnsi="Times New Roman;serif"/>
          <w:b w:val="false"/>
          <w:color w:val="000000"/>
          <w:sz w:val="20"/>
        </w:rPr>
        <w:t xml:space="preserve">Lucid uses its </w:t>
      </w:r>
      <w:r>
        <w:rPr>
          <w:rFonts w:ascii="Times New Roman;serif" w:hAnsi="Times New Roman;serif"/>
          <w:b w:val="false"/>
          <w:color w:val="000000"/>
          <w:sz w:val="20"/>
          <w:u w:val="single"/>
        </w:rPr>
        <w:t>ir.lucidmotors.com</w:t>
      </w:r>
      <w:r>
        <w:rPr>
          <w:color w:val="000000"/>
        </w:rPr>
        <w:t xml:space="preserve"> </w:t>
      </w:r>
      <w:r>
        <w:rPr>
          <w:rFonts w:ascii="Times New Roman;serif" w:hAnsi="Times New Roman;serif"/>
          <w:b w:val="false"/>
          <w:color w:val="000000"/>
          <w:sz w:val="20"/>
        </w:rPr>
        <w:t>website as a means of disclosing material non-public information and for complying with its disclosure obligations under Regulation FD.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information in Item 2.02 of this Current Report on Form 8-K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Item 2.05 Costs Associated with Exit or Disposal Activities. </w:t>
      </w:r>
    </w:p>
    <w:p>
      <w:pPr>
        <w:pStyle w:val="TextBody"/>
        <w:bidi w:val="0"/>
        <w:spacing w:lineRule="auto" w:line="288" w:before="240" w:after="283"/>
        <w:jc w:val="both"/>
        <w:rPr/>
      </w:pPr>
      <w:r>
        <w:rPr>
          <w:rFonts w:ascii="Times New Roman;serif" w:hAnsi="Times New Roman;serif"/>
          <w:b w:val="false"/>
          <w:color w:val="000000"/>
          <w:sz w:val="20"/>
        </w:rPr>
        <w:t>On February 20, 2026, in order to optimize the Company’s operating expenses as it focuses on the start of production of the Midsize platform, expansion into the robotaxi market and development of ADAS technologies, as well as the sale and distribution of its current models in existing and new geographies, the Company announced a reduction of the Company’s current U.S. workforce by approximately 12 percent, excluding hourly production workers in manufacturing, logistics, and quality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The Plan is expected to provide the Company with cost savings of approximately $500 million over a three-year period. The Company estimates that it will incur charges of $40 million to $42 million related to severance, employee benefits, and employee transition. The Company expects to substantially complete the Plan by the end of the second quarter of 2026, subject to local law and consultation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8.01 Other Events. </w:t>
      </w:r>
    </w:p>
    <w:p>
      <w:pPr>
        <w:pStyle w:val="TextBody"/>
        <w:bidi w:val="0"/>
        <w:spacing w:lineRule="auto" w:line="288" w:before="240" w:after="283"/>
        <w:jc w:val="left"/>
        <w:rPr/>
      </w:pPr>
      <w:r>
        <w:rPr>
          <w:rFonts w:ascii="Times New Roman;serif" w:hAnsi="Times New Roman;serif"/>
          <w:b w:val="false"/>
          <w:color w:val="000000"/>
          <w:sz w:val="20"/>
        </w:rPr>
        <w:t>On February 24, 2026, the Company registered for resale up to 69,108,837 shares of the Company’s Class A Common Stock, par value $0.0001 per share (the “</w:t>
      </w:r>
      <w:r>
        <w:rPr>
          <w:rFonts w:ascii="Times New Roman;serif" w:hAnsi="Times New Roman;serif"/>
          <w:b/>
          <w:i/>
          <w:color w:val="000000"/>
          <w:sz w:val="20"/>
        </w:rPr>
        <w:t>Common Stock</w:t>
      </w:r>
      <w:r>
        <w:rPr>
          <w:color w:val="000000"/>
        </w:rPr>
        <w:t>”</w:t>
      </w:r>
      <w:r>
        <w:rPr>
          <w:rFonts w:ascii="Times New Roman;serif" w:hAnsi="Times New Roman;serif"/>
          <w:b w:val="false"/>
          <w:color w:val="000000"/>
          <w:sz w:val="20"/>
        </w:rPr>
        <w:t>), pursuant to a registration statement and a related prospectus supplement filed by the Company with the Securities and Exchange Commission. 13,715,121 shares of Common Stock being registered were issued to SMB Holding Corporation (“</w:t>
      </w:r>
      <w:r>
        <w:rPr>
          <w:rFonts w:ascii="Times New Roman;serif" w:hAnsi="Times New Roman;serif"/>
          <w:b/>
          <w:i/>
          <w:color w:val="000000"/>
          <w:sz w:val="20"/>
        </w:rPr>
        <w:t>SMB</w:t>
      </w:r>
      <w:r>
        <w:rPr>
          <w:color w:val="000000"/>
        </w:rPr>
        <w:t>”</w:t>
      </w:r>
      <w:r>
        <w:rPr>
          <w:rFonts w:ascii="Times New Roman;serif" w:hAnsi="Times New Roman;serif"/>
          <w:b w:val="false"/>
          <w:color w:val="000000"/>
          <w:sz w:val="20"/>
        </w:rPr>
        <w:t>), a subsidiary of Uber Technologies, Inc., by the Company in a private placement pursuant to a subscription agreement, dated July 16, 2025, by and between SMB and the Company. 55,393,716 shares of Common Stock being registered are shares that Ayar Third Investment Company (“</w:t>
      </w:r>
      <w:r>
        <w:rPr>
          <w:rFonts w:ascii="Times New Roman;serif" w:hAnsi="Times New Roman;serif"/>
          <w:b/>
          <w:i/>
          <w:color w:val="000000"/>
          <w:sz w:val="20"/>
        </w:rPr>
        <w:t>Ayar</w:t>
      </w:r>
      <w:r>
        <w:rPr>
          <w:color w:val="000000"/>
        </w:rPr>
        <w:t>”</w:t>
      </w:r>
      <w:r>
        <w:rPr>
          <w:rFonts w:ascii="Times New Roman;serif" w:hAnsi="Times New Roman;serif"/>
          <w:b w:val="false"/>
          <w:color w:val="000000"/>
          <w:sz w:val="20"/>
        </w:rPr>
        <w:t xml:space="preserve">), an affiliate of the Public Investment Fund, is entitled to purchase from a certain forward counterparty pursuant to the prepaid forward transactions Ayar entered into with such forward counterparty.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filing a copy of the legal opinion and consent of Skadden, Arps, Slate, Meagher &amp; Flom LLP as Exhibit 5.1 to this Current Report on Form 8-K to add such exhibit to the Company’s Registration Statement on Form S-3ASR (File No. 333-282677).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issued a press release announcing the resale registration. A copy of the press release is attached as Exhibit 99.2 to this Current Report on Form 8-K and is incorporated by reference into this Item 8.01.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i/>
          <w:color w:val="000000"/>
          <w:sz w:val="20"/>
        </w:rPr>
        <w:t>Forward-Looking Statements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report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plans and expectations regarding the Plan, including timing of implementation and completion, estimates of the charges and expenditures, the estimated timing of incurrence of such charges and expenditures, the anticipated benefits and cost savings, as well as the Company’s business plans, including its expectations regarding the Midsize platform, robotaxi and ADAS technologies.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those factors discussed under the cautionary language and the Risk Factors in our Annual Report on Form 10-K for the year ended December 31, 2025, subsequent Quarterly Reports on Form 10-Q, Current Reports on Form 8-K, and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report.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report. Accordingly, undue reliance should not be placed upon the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797"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45"/>
        <w:gridCol w:w="1945"/>
        <w:gridCol w:w="2769"/>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q4fy25ex51resaleprosuppopi.htm">
              <w:r>
                <w:rPr>
                  <w:rStyle w:val="InternetLink"/>
                  <w:rFonts w:ascii="Times New Roman;serif" w:hAnsi="Times New Roman;serif"/>
                  <w:b w:val="false"/>
                  <w:color w:val="0000FF"/>
                  <w:sz w:val="20"/>
                  <w:u w:val="single"/>
                </w:rPr>
                <w:t>Opinion of Skadden, Arps, Slate, Meagher &amp; Flom LLP</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q4fy25ex991earnings.htm">
              <w:r>
                <w:rPr>
                  <w:rStyle w:val="InternetLink"/>
                  <w:rFonts w:ascii="Times New Roman;serif" w:hAnsi="Times New Roman;serif"/>
                  <w:b w:val="false"/>
                  <w:color w:val="000080"/>
                  <w:sz w:val="20"/>
                  <w:u w:val="single"/>
                </w:rPr>
                <w:t xml:space="preserve">Lucid Press Release Dated </w:t>
              </w:r>
            </w:hyperlink>
            <w:hyperlink w:anchor="q4fy25ex991earnings.htm">
              <w:r>
                <w:rPr>
                  <w:rStyle w:val="InternetLink"/>
                  <w:rFonts w:ascii="Times New Roman;serif" w:hAnsi="Times New Roman;serif"/>
                  <w:b w:val="false"/>
                  <w:color w:val="000080"/>
                  <w:sz w:val="20"/>
                  <w:u w:val="single"/>
                </w:rPr>
                <w:t>February 2</w:t>
              </w:r>
            </w:hyperlink>
            <w:hyperlink w:anchor="q4fy25ex991earnings.htm">
              <w:r>
                <w:rPr>
                  <w:rStyle w:val="InternetLink"/>
                  <w:rFonts w:ascii="Times New Roman;serif" w:hAnsi="Times New Roman;serif"/>
                  <w:b w:val="false"/>
                  <w:color w:val="000080"/>
                  <w:sz w:val="20"/>
                  <w:u w:val="single"/>
                </w:rPr>
                <w:t>4</w:t>
              </w:r>
            </w:hyperlink>
            <w:hyperlink w:anchor="q4fy25ex991earnings.htm">
              <w:r>
                <w:rPr>
                  <w:rStyle w:val="InternetLink"/>
                  <w:rFonts w:ascii="Times New Roman;serif" w:hAnsi="Times New Roman;serif"/>
                  <w:b w:val="false"/>
                  <w:color w:val="000080"/>
                  <w:sz w:val="20"/>
                  <w:u w:val="single"/>
                </w:rPr>
                <w:t>, 202</w:t>
              </w:r>
            </w:hyperlink>
            <w:hyperlink w:anchor="q4fy25ex991earnings.htm">
              <w:r>
                <w:rPr>
                  <w:rStyle w:val="InternetLink"/>
                  <w:rFonts w:ascii="Times New Roman;serif" w:hAnsi="Times New Roman;serif"/>
                  <w:b w:val="false"/>
                  <w:color w:val="000080"/>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q4fy25ex992resaleprosuppsm.htm">
              <w:r>
                <w:rPr>
                  <w:rStyle w:val="InternetLink"/>
                  <w:rFonts w:ascii="Times New Roman;serif" w:hAnsi="Times New Roman;serif"/>
                  <w:b w:val="false"/>
                  <w:color w:val="0000FF"/>
                  <w:sz w:val="20"/>
                  <w:u w:val="single"/>
                </w:rPr>
                <w:t>Lucid Press Release Dated February 24,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q4fy25ex51resaleprosuppopi.htm">
              <w:r>
                <w:rPr>
                  <w:rStyle w:val="InternetLink"/>
                  <w:rFonts w:ascii="Times New Roman;serif" w:hAnsi="Times New Roman;serif"/>
                  <w:b w:val="false"/>
                  <w:color w:val="0000FF"/>
                  <w:sz w:val="20"/>
                  <w:u w:val="single"/>
                </w:rPr>
                <w:t>Consent of Skadden, Arps, Slate, Meagher &amp; Flom LLP (included in Exhibit 5.1)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123" w:type="dxa"/>
        <w:jc w:val="left"/>
        <w:tblInd w:w="0" w:type="dxa"/>
        <w:tblLayout w:type="fixed"/>
        <w:tblCellMar>
          <w:top w:w="28" w:type="dxa"/>
          <w:left w:w="28" w:type="dxa"/>
          <w:bottom w:w="28" w:type="dxa"/>
          <w:right w:w="28" w:type="dxa"/>
        </w:tblCellMar>
      </w:tblPr>
      <w:tblGrid>
        <w:gridCol w:w="792"/>
        <w:gridCol w:w="696"/>
        <w:gridCol w:w="702"/>
        <w:gridCol w:w="308"/>
        <w:gridCol w:w="308"/>
        <w:gridCol w:w="308"/>
        <w:gridCol w:w="587"/>
        <w:gridCol w:w="587"/>
        <w:gridCol w:w="835"/>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Dated: February 24, 2026</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LUCID GROUP, INC.</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Taoufiq Boussaid</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Taoufiq Boussaid</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4"/>
        </w:rPr>
      </w:pPr>
      <w:r>
        <w:rPr>
          <w:rFonts w:ascii="Times New Roman;serif" w:hAnsi="Times New Roman;serif"/>
          <w:b/>
          <w:color w:val="000000"/>
          <w:sz w:val="24"/>
        </w:rPr>
        <w:t>Exhibit 5.1</w:t>
      </w:r>
    </w:p>
    <w:tbl>
      <w:tblPr>
        <w:tblW w:w="8258" w:type="dxa"/>
        <w:jc w:val="center"/>
        <w:tblInd w:w="0" w:type="dxa"/>
        <w:tblLayout w:type="fixed"/>
        <w:tblCellMar>
          <w:top w:w="28" w:type="dxa"/>
          <w:left w:w="28" w:type="dxa"/>
          <w:bottom w:w="28" w:type="dxa"/>
          <w:right w:w="28" w:type="dxa"/>
        </w:tblCellMar>
      </w:tblPr>
      <w:tblGrid>
        <w:gridCol w:w="525"/>
        <w:gridCol w:w="462"/>
        <w:gridCol w:w="462"/>
        <w:gridCol w:w="462"/>
        <w:gridCol w:w="462"/>
        <w:gridCol w:w="462"/>
        <w:gridCol w:w="462"/>
        <w:gridCol w:w="462"/>
        <w:gridCol w:w="462"/>
        <w:gridCol w:w="462"/>
        <w:gridCol w:w="462"/>
        <w:gridCol w:w="462"/>
        <w:gridCol w:w="776"/>
        <w:gridCol w:w="776"/>
        <w:gridCol w:w="1099"/>
      </w:tblGrid>
      <w:tr>
        <w:trPr/>
        <w:tc>
          <w:tcPr>
            <w:tcW w:w="52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rPr/>
        <w:tc>
          <w:tcPr>
            <w:tcW w:w="8258" w:type="dxa"/>
            <w:gridSpan w:val="15"/>
            <w:tcBorders/>
            <w:tcMar>
              <w:top w:w="0" w:type="dxa"/>
              <w:left w:w="0" w:type="dxa"/>
              <w:bottom w:w="0" w:type="dxa"/>
              <w:right w:w="0" w:type="dxa"/>
            </w:tcMar>
            <w:vAlign w:val="center"/>
          </w:tcPr>
          <w:p>
            <w:pPr>
              <w:pStyle w:val="TableContents"/>
              <w:bidi w:val="0"/>
              <w:spacing w:lineRule="auto" w:line="288" w:before="240" w:after="283"/>
              <w:jc w:val="center"/>
              <w:rPr/>
            </w:pPr>
            <w:r>
              <w:rPr>
                <w:rFonts w:ascii="Times New Roman;serif" w:hAnsi="Times New Roman;serif"/>
                <w:b w:val="false"/>
                <w:color w:val="000000"/>
                <w:sz w:val="34"/>
              </w:rPr>
              <w:t>S</w:t>
            </w:r>
            <w:r>
              <w:rPr>
                <w:rFonts w:ascii="Times New Roman;serif" w:hAnsi="Times New Roman;serif"/>
                <w:b w:val="false"/>
                <w:color w:val="000000"/>
                <w:sz w:val="28"/>
              </w:rPr>
              <w:t>KADDEN</w:t>
            </w:r>
            <w:r>
              <w:rPr>
                <w:rFonts w:ascii="Times New Roman;serif" w:hAnsi="Times New Roman;serif"/>
                <w:b w:val="false"/>
                <w:color w:val="000000"/>
                <w:sz w:val="34"/>
              </w:rPr>
              <w:t>, A</w:t>
            </w:r>
            <w:r>
              <w:rPr>
                <w:rFonts w:ascii="Times New Roman;serif" w:hAnsi="Times New Roman;serif"/>
                <w:b w:val="false"/>
                <w:color w:val="000000"/>
                <w:sz w:val="28"/>
              </w:rPr>
              <w:t>RPS</w:t>
            </w:r>
            <w:r>
              <w:rPr>
                <w:rFonts w:ascii="Times New Roman;serif" w:hAnsi="Times New Roman;serif"/>
                <w:b w:val="false"/>
                <w:color w:val="000000"/>
                <w:sz w:val="34"/>
              </w:rPr>
              <w:t>, S</w:t>
            </w:r>
            <w:r>
              <w:rPr>
                <w:rFonts w:ascii="Times New Roman;serif" w:hAnsi="Times New Roman;serif"/>
                <w:b w:val="false"/>
                <w:color w:val="000000"/>
                <w:sz w:val="28"/>
              </w:rPr>
              <w:t>LATE</w:t>
            </w:r>
            <w:r>
              <w:rPr>
                <w:rFonts w:ascii="Times New Roman;serif" w:hAnsi="Times New Roman;serif"/>
                <w:b w:val="false"/>
                <w:color w:val="000000"/>
                <w:sz w:val="34"/>
              </w:rPr>
              <w:t>, M</w:t>
            </w:r>
            <w:r>
              <w:rPr>
                <w:rFonts w:ascii="Times New Roman;serif" w:hAnsi="Times New Roman;serif"/>
                <w:b w:val="false"/>
                <w:color w:val="000000"/>
                <w:sz w:val="28"/>
              </w:rPr>
              <w:t>EAGHER</w:t>
            </w:r>
            <w:r>
              <w:rPr>
                <w:color w:val="000000"/>
              </w:rPr>
              <w:t xml:space="preserve"> </w:t>
            </w:r>
            <w:r>
              <w:rPr>
                <w:rFonts w:ascii="Times New Roman;serif" w:hAnsi="Times New Roman;serif"/>
                <w:b w:val="false"/>
                <w:color w:val="000000"/>
                <w:sz w:val="34"/>
              </w:rPr>
              <w:t>&amp; F</w:t>
            </w:r>
            <w:r>
              <w:rPr>
                <w:rFonts w:ascii="Times New Roman;serif" w:hAnsi="Times New Roman;serif"/>
                <w:b w:val="false"/>
                <w:color w:val="000000"/>
                <w:sz w:val="28"/>
              </w:rPr>
              <w:t>LOM</w:t>
            </w:r>
            <w:r>
              <w:rPr>
                <w:color w:val="000000"/>
              </w:rPr>
              <w:t xml:space="preserve"> </w:t>
            </w:r>
            <w:r>
              <w:rPr>
                <w:rFonts w:ascii="Times New Roman;serif" w:hAnsi="Times New Roman;serif"/>
                <w:b w:val="false"/>
                <w:color w:val="000000"/>
                <w:sz w:val="28"/>
              </w:rPr>
              <w:t>LLP</w:t>
            </w:r>
          </w:p>
        </w:tc>
      </w:tr>
      <w:tr>
        <w:trPr/>
        <w:tc>
          <w:tcPr>
            <w:tcW w:w="8258" w:type="dxa"/>
            <w:gridSpan w:val="15"/>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525 UNIVERSITY AVENUE</w:t>
            </w:r>
          </w:p>
        </w:tc>
      </w:tr>
      <w:tr>
        <w:trPr/>
        <w:tc>
          <w:tcPr>
            <w:tcW w:w="8258" w:type="dxa"/>
            <w:gridSpan w:val="15"/>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PALO ALTO, CALIFORNIA 94301</w:t>
            </w:r>
          </w:p>
        </w:tc>
      </w:tr>
      <w:tr>
        <w:trPr/>
        <w:tc>
          <w:tcPr>
            <w:tcW w:w="1449" w:type="dxa"/>
            <w:gridSpan w:val="3"/>
            <w:tcBorders/>
            <w:tcMar>
              <w:top w:w="0" w:type="dxa"/>
              <w:left w:w="0" w:type="dxa"/>
              <w:bottom w:w="0" w:type="dxa"/>
              <w:right w:w="0" w:type="dxa"/>
            </w:tcMar>
            <w:vAlign w:val="center"/>
          </w:tcPr>
          <w:p>
            <w:pPr>
              <w:pStyle w:val="TableContents"/>
              <w:bidi w:val="0"/>
              <w:spacing w:before="240" w:after="283"/>
              <w:jc w:val="center"/>
              <w:rPr/>
            </w:pPr>
            <w:r>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600200" cy="32004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600200" cy="3200400"/>
                          </a:xfrm>
                          <a:prstGeom prst="rect">
                            <a:avLst/>
                          </a:prstGeom>
                        </pic:spPr>
                      </pic:pic>
                    </a:graphicData>
                  </a:graphic>
                </wp:inline>
              </w:drawing>
            </w:r>
          </w:p>
        </w:tc>
      </w:tr>
      <w:tr>
        <w:trPr/>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8"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18"/>
              </w:rPr>
            </w:pPr>
            <w:r>
              <w:rPr>
                <w:rFonts w:ascii="Times New Roman;serif" w:hAnsi="Times New Roman;serif"/>
                <w:b w:val="false"/>
                <w:color w:val="000000"/>
                <w:sz w:val="18"/>
              </w:rPr>
              <w:t>TEL: (650) 470-4500</w:t>
            </w:r>
          </w:p>
        </w:tc>
        <w:tc>
          <w:tcPr>
            <w:tcW w:w="26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8"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18"/>
              </w:rPr>
            </w:pPr>
            <w:r>
              <w:rPr>
                <w:rFonts w:ascii="Times New Roman;serif" w:hAnsi="Times New Roman;serif"/>
                <w:b w:val="false"/>
                <w:color w:val="000000"/>
                <w:sz w:val="18"/>
              </w:rPr>
              <w:t>FAX: (650) 470-4570</w:t>
            </w:r>
          </w:p>
        </w:tc>
        <w:tc>
          <w:tcPr>
            <w:tcW w:w="26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8"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18"/>
              </w:rPr>
            </w:pPr>
            <w:r>
              <w:rPr>
                <w:rFonts w:ascii="Times New Roman;serif" w:hAnsi="Times New Roman;serif"/>
                <w:b w:val="false"/>
                <w:color w:val="000000"/>
                <w:sz w:val="18"/>
              </w:rPr>
              <w:t>www.skadden.com</w:t>
            </w:r>
          </w:p>
        </w:tc>
        <w:tc>
          <w:tcPr>
            <w:tcW w:w="26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February 24, 2026</w:t>
            </w:r>
          </w:p>
        </w:tc>
        <w:tc>
          <w:tcPr>
            <w:tcW w:w="26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Lucid Group,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7373 Gateway Boulevard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Newark, California 94560</w:t>
      </w:r>
    </w:p>
    <w:tbl>
      <w:tblPr>
        <w:tblW w:w="4796"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178"/>
        <w:gridCol w:w="1178"/>
        <w:gridCol w:w="16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Re:</w:t>
            </w:r>
          </w:p>
        </w:tc>
        <w:tc>
          <w:tcPr>
            <w:tcW w:w="40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Lucid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88" w:before="240" w:after="24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Registration Statement on Form S-3ASR</w:t>
            </w:r>
          </w:p>
        </w:tc>
      </w:tr>
    </w:tbl>
    <w:p>
      <w:pPr>
        <w:pStyle w:val="TextBody"/>
        <w:bidi w:val="0"/>
        <w:spacing w:before="0" w:after="0"/>
        <w:ind w:left="0" w:right="0" w:firstLine="720"/>
        <w:jc w:val="both"/>
        <w:rPr/>
      </w:pPr>
      <w:r>
        <w:rPr/>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We have acted as special United States counsel to Lucid Group, Inc., a Delaware corporation (the “Company”), in connection with the resale by the selling stockholders identified in Schedule A hereto (the “Selling Stockholders”) of up to 69,108,837 shares (the “Secondary Shares”) of the Company’s Class A Common Stock, par value $0.0001 per share (“Common Stock”). We have been advised that (i) 13,715,121 shares of the Secondary Shares (the “Uber Secondary Shares”) were issued pursuant to a subscription agreement, dated as of July 16, 2025 (the “Original Uber Subscription Agreement”), between the Company and SMB Holding Corporation (“SMB”), as amended by the First Amendment (as defined below); and (ii) 55,393,716 shares of the Secondary Shares (the “Prepaid Secondary Shares”) are shares that Ayar Third Investment Company (“Ayar”) is entitled to purchase pursuant to (i) a prepaid forward confirmation, dated as of April 2, 2025, between Ayar and the forward counterparty named therein; and (ii) a prepaid forward confirmation, dated as of November 11, 2025, between Ayar and the forward counterparty named therein. </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This opinion letter is being furnished in accordance with the requirements of Item 601(b)(5) of Regulation S-K under the Securities Act of 1933 (the “Securities Act”).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Lucid Group, Inc.</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February 24, 2026</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Page 2</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In rendering the opinions stated herein, we have examined and relied upon the following:</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the registration statement on Form S-3ASR (File No. 333-282677) of the Company relating to Common Stock and other securities of the Company filed on October 16, 2024 with the Securities and Exchange Commission (the “Commission”) under the Securities Act, allowing for delayed offerings pursuant to Rule 415 of the General Rules and Regulations under the Securities Act (the “Rules and Regulations”), including the information deemed to be a part of the registration statement pursuant to Rule 430B of the Rules and Regulations (such registration statement being hereinafter referred to as the “Registration Statement”);</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the prospectus, dated October 16, 2024 (the “Base Prospectus”), which forms a part of and is included in the Registration Statement;</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 the prospectus supplement, dated the date hereof (together with the Base Prospectus, the “Prospectus”), relating to the offering of the Secondary Shares, in the form filed with the Commission pursuant to Rule 424(b) of the Rules and Regulations;</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 an executed copy of the Original Uber Subscription Agreement (as amended by the First Amendment, the “Uber Subscription Agreement”);</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 an executed copy of the First Amendment to Subscription Agreement, dated as of September 2, 2025 (the “First Amendment”), between the Company and SMB;</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(f) an executed copy of a certificate of Brian K. Tomkiel, General Counsel and Corporate Secretary of the Company, dated the date hereof (the “Secretary’s Certificate”); </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(g) a copy of the Company’s Third Amended and Restated Certificate of Incorporation, as in effect on July 3, 2025 and as amended and in effect as of the date hereof, certified by the Secretary of State of the State of Delaware as of the date hereof, and certified pursuant to the Secretary’s Certificate (the “Certificate of Incorporation”);</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(h) a copy of the Company’s Second Amended and Restated Bylaws, as amended and in effect on July 3, 2025 and as of the date hereof, and certified pursuant to the Secretary’s Certificate (the “Bylaws”); and</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 a copy of certain resolutions of the Board of Directors of the Company, adopted on July 3, 2025 (the “Board Resolutions”), certified as current pursuant to the Secretary’s Certificate.</w:t>
      </w:r>
    </w:p>
    <w:p>
      <w:pPr>
        <w:pStyle w:val="TextBody"/>
        <w:bidi w:val="0"/>
        <w:spacing w:before="240" w:after="283"/>
        <w:ind w:left="0" w:right="0" w:firstLine="153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Lucid Group, Inc.</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February 24, 2026</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Page 3</w:t>
      </w:r>
    </w:p>
    <w:p>
      <w:pPr>
        <w:pStyle w:val="TextBody"/>
        <w:bidi w:val="0"/>
        <w:spacing w:lineRule="auto" w:line="288" w:before="240" w:after="283"/>
        <w:ind w:left="0" w:right="0" w:firstLine="1530"/>
        <w:jc w:val="left"/>
        <w:rPr>
          <w:rFonts w:ascii="Times New Roman;serif" w:hAnsi="Times New Roman;serif"/>
          <w:b w:val="false"/>
          <w:color w:val="000000"/>
          <w:sz w:val="24"/>
        </w:rPr>
      </w:pPr>
      <w:r>
        <w:rPr>
          <w:rFonts w:ascii="Times New Roman;serif" w:hAnsi="Times New Roman;serif"/>
          <w:b w:val="false"/>
          <w:color w:val="000000"/>
          <w:sz w:val="24"/>
        </w:rPr>
        <w:t>We have also examined originals or copies, certified or otherwise identified to our satisfaction, of such records of the Company and such agreements, certificates and receipts of public officials, certificates of officers or other representatives of the Company, the Selling Stockholders and others, and such other documents as we have deemed necessary or appropriate as a basis for the opinions stated below.</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With respect to our opinion set forth in paragraph 1 below, we have assumed that (i) the Company received the consideration for the Uber Secondary Shares set forth in the Subscription Agreement and Board Resolutions and (ii) the issuance of the Uber Secondary Shares has been registered in the Company’s share registry. With respect to our opinion set forth in paragraph 2 below, we have assumed that (i) the Company received the consideration for the Prepaid Secondary Shares that are outstanding as of the date hereof set forth in the applicable transaction documents and resolutions adopted by the Board of Directors of the Company, including any duly authorized committee thereof, in connection with issuance of such shares, as applicable, and (ii) the issuance of the Prepaid Secondary Shares that are outstanding as of the date hereof has been registered in the Company’s share registry. With respect to our opinion set forth in paragraph 3 below, we have assumed that (i) the Board of Directors of the Company, including any duly authorized committee thereof, will have taken all necessary corporate action to approve the issuance and sale of the shares of Common Stock that will be delivered to Ayar as the Prepaid Secondary Shares and related matters and appropriate officers of the Company have taken all related action as directed by or under the direction of the Board of Directors of the Company, (ii) the issuance and sale of the shares of Common Stock that will be delivered to Ayar as the Prepaid Secondary Shares will have been duly established in conformity with the Certificate of Incorporation so as not to violate any applicable law, the Certificate of Incorporation or the Bylaws, or result in a default under or breach of any agreement or instrument binding upon the Company or its properties, and so as to comply with any requirement or restriction imposed by any court or governmental body having jurisdiction over the Company or its properties, (iii) the consideration received by the Company for the Prepaid Secondary Shares when such shares will be issued shall not be less than the per share par value of such shares, (iv) the issuance of the Prepaid Secondary Shares will be registered in the Company’s share registry and (v) the Company will continue to have sufficient authorized shares of Common Stock. As to any facts relevant to the opinions stated herein that we did not independently establish or verify, we have relied upon statements and representations of officers and other representatives of the Company and the Selling Stockholders and others and of public officials, including the facts and conclusions set forth in the Certificate of Incorporation and the Secretary’s Certificate and the factual representations and warranties set forth in the Uber Subscription Agreement.</w:t>
      </w:r>
    </w:p>
    <w:p>
      <w:pPr>
        <w:pStyle w:val="TextBody"/>
        <w:bidi w:val="0"/>
        <w:spacing w:lineRule="auto" w:line="28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Lucid Group, Inc.</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February 24, 2026</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Page 4</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We do not express any opinion with respect to the laws of any jurisdiction other than the General Corporation Law of the State of Delaware (the “DGCL”). </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As used herein, “Organizational Documents” means those documents listed in paragraphs (g) and (h) above, </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Based upon the foregoing and subject to the qualifications and assumptions stated herein, we are of the opinion that: </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1. The Uber Secondary Shares have been duly authorized by all requisite corporate action on the part of the Company under the DGCL and have been validly issued and are fully paid and nonassessable. </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2. The Prepaid Secondary Shares that are outstanding as of the date hereof have been duly authorized by all requisite corporate action on the part of the Company under the DGCL and have been validly issued and are fully paid and nonassessable. </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3. The Prepaid Secondary Shares that are not yet outstanding as of the date hereof, when delivered to Ayar, will be duly authorized by all requisite corporate action on the part of the Company under the DGCL and validly issued, fully paid and nonassessable. </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In addition, in rendering the foregoing opinions we have assumed that: </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(a) the Company’s issuance of the Uber Secondary Shares and the Prepaid Secondary Shares that are outstanding as of the date hereof did not (i) except to the extent expressly stated in the opinions contained herein, violate any statute to which the Company or such issuance is subject, or (ii) constitute a violation of, or a breach under, or require the consent or approval of any other person under, any agreement or instrument binding on the Company (except that we do not make this assumption with respect to the Organizational Documents or those agreements or instruments expressed to be governed by the laws of the State of New York which are listed in Part II of the Registration Statement or are incorporated by reference into the Registration Statement, although we have assumed compliance with any covenant, restriction or provision with respect to financial ratios or tests or any aspect of the financial condition or results of operations of the Company contained in such agreements or instruments); and </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(b) the Company’s authorized capital stock is as set forth in the Certificate of Incorporation, and we have relied solely on the certified copy thereof issued by the Secretary of State of the State of Delaware and have not made any other inquiries or investigations. </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This opinion letter shall be interpreted in accordance with customary practice of United States lawyers who regularly give opinions in transactions of this type. </w:t>
      </w:r>
    </w:p>
    <w:p>
      <w:pPr>
        <w:pStyle w:val="TextBody"/>
        <w:bidi w:val="0"/>
        <w:spacing w:before="240" w:after="283"/>
        <w:ind w:left="0" w:right="0" w:firstLine="144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Lucid Group, Inc.</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February 24, 2026</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Page 5</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We hereby consent to the reference to our firm under the heading “Validity Of The Securities” in the Prospectus forming part of the Registration Statement. We also hereby consent to the filing of this opinion letter with the Commission as an exhibit to the Company’s Current Report on Form 8-K being filed on the date hereof and incorporated by reference into the Registration Statement. In giving this consent, we do not thereby admit that we are within the category of persons whose consent is required under Section 7 of the Securities Act or the Rules and Regulations. This opinion letter is expressed as of the date hereof unless otherwise expressly stated, and we disclaim any undertaking to advise you of any subsequent changes in the facts stated or assumed herein or of any subsequent changes in applicable laws.</w:t>
      </w:r>
    </w:p>
    <w:tbl>
      <w:tblPr>
        <w:tblW w:w="5007" w:type="dxa"/>
        <w:jc w:val="left"/>
        <w:tblInd w:w="0" w:type="dxa"/>
        <w:tblLayout w:type="fixed"/>
        <w:tblCellMar>
          <w:top w:w="28" w:type="dxa"/>
          <w:left w:w="28" w:type="dxa"/>
          <w:bottom w:w="28" w:type="dxa"/>
          <w:right w:w="28" w:type="dxa"/>
        </w:tblCellMar>
      </w:tblPr>
      <w:tblGrid>
        <w:gridCol w:w="124"/>
        <w:gridCol w:w="109"/>
        <w:gridCol w:w="109"/>
        <w:gridCol w:w="1366"/>
        <w:gridCol w:w="1366"/>
        <w:gridCol w:w="19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Very truly yours,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 Skadden, Arps, Slate, Meagher &amp; Flom LLP</w:t>
            </w:r>
          </w:p>
        </w:tc>
      </w:tr>
    </w:tbl>
    <w:p>
      <w:pPr>
        <w:pStyle w:val="TextBody"/>
        <w:bidi w:val="0"/>
        <w:spacing w:before="240" w:after="240"/>
        <w:ind w:left="0" w:right="0" w:hanging="2160"/>
        <w:jc w:val="both"/>
        <w:rPr/>
      </w:pPr>
      <w:r>
        <w:rPr/>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BDP</w:t>
      </w:r>
    </w:p>
    <w:p>
      <w:pPr>
        <w:pStyle w:val="TextBody"/>
        <w:bidi w:val="0"/>
        <w:spacing w:before="240" w:after="240"/>
        <w:ind w:left="0" w:right="0" w:firstLine="72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Lucid Group, Inc.</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February 24, 2026</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Page 6</w:t>
      </w:r>
    </w:p>
    <w:p>
      <w:pPr>
        <w:pStyle w:val="TextBody"/>
        <w:bidi w:val="0"/>
        <w:spacing w:before="240" w:after="240"/>
        <w:ind w:left="0" w:right="0" w:firstLine="720"/>
        <w:jc w:val="both"/>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A</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SMB Holding Corporation</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4"/>
        </w:rPr>
      </w:pPr>
      <w:r>
        <w:rPr>
          <w:rFonts w:ascii="Times New Roman;serif" w:hAnsi="Times New Roman;serif"/>
          <w:b w:val="false"/>
          <w:color w:val="000000"/>
          <w:sz w:val="24"/>
        </w:rPr>
        <w:t>Ayar Third Investment Company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106" w:type="dxa"/>
        <w:jc w:val="left"/>
        <w:tblInd w:w="0" w:type="dxa"/>
        <w:tblLayout w:type="fixed"/>
        <w:tblCellMar>
          <w:top w:w="28" w:type="dxa"/>
          <w:left w:w="28" w:type="dxa"/>
          <w:bottom w:w="28" w:type="dxa"/>
          <w:right w:w="28" w:type="dxa"/>
        </w:tblCellMar>
      </w:tblPr>
      <w:tblGrid>
        <w:gridCol w:w="1004"/>
        <w:gridCol w:w="883"/>
        <w:gridCol w:w="884"/>
        <w:gridCol w:w="390"/>
        <w:gridCol w:w="390"/>
        <w:gridCol w:w="555"/>
      </w:tblGrid>
      <w:tr>
        <w:trPr/>
        <w:tc>
          <w:tcPr>
            <w:tcW w:w="100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771" w:type="dxa"/>
            <w:gridSpan w:val="3"/>
            <w:tcBorders/>
            <w:tcMar>
              <w:top w:w="0" w:type="dxa"/>
              <w:left w:w="0" w:type="dxa"/>
              <w:bottom w:w="0" w:type="dxa"/>
              <w:right w:w="0" w:type="dxa"/>
            </w:tcMar>
            <w:vAlign w:val="center"/>
          </w:tcPr>
          <w:p>
            <w:pPr>
              <w:pStyle w:val="TableContents"/>
              <w:bidi w:val="0"/>
              <w:spacing w:before="0" w:after="2"/>
              <w:jc w:val="left"/>
              <w:rPr/>
            </w:pPr>
            <w:r>
              <w:rPr/>
              <w:drawing>
                <wp:inline distT="0" distB="0" distL="0" distR="0">
                  <wp:extent cx="1695450" cy="238125"/>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3"/>
                          <a:stretch>
                            <a:fillRect/>
                          </a:stretch>
                        </pic:blipFill>
                        <pic:spPr bwMode="auto">
                          <a:xfrm>
                            <a:off x="0" y="0"/>
                            <a:ext cx="1695450" cy="238125"/>
                          </a:xfrm>
                          <a:prstGeom prst="rect">
                            <a:avLst/>
                          </a:prstGeom>
                        </pic:spPr>
                      </pic:pic>
                    </a:graphicData>
                  </a:graphic>
                </wp:inline>
              </w:drawing>
            </w:r>
          </w:p>
        </w:tc>
        <w:tc>
          <w:tcPr>
            <w:tcW w:w="1335"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2"/>
              </w:rPr>
            </w:pPr>
            <w:r>
              <w:rPr>
                <w:rFonts w:ascii="Times New Roman;serif" w:hAnsi="Times New Roman;serif"/>
                <w:b/>
                <w:color w:val="000000"/>
                <w:sz w:val="22"/>
              </w:rPr>
              <w:t>Exhibit 99.1</w:t>
            </w:r>
          </w:p>
        </w:tc>
      </w:tr>
    </w:tbl>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Lucid Announces Fourth Quarter and Full Year 2025 Financial Results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Financial Highlights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Delivered 5,345 vehicles in Q4 and 15,841 vehicles in 2025; up 72% compared to Q4 2024 and up 55% compared to full year 2024</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Nearly doubled production year over year and in-line with 2025 annual production guidance of approximately 18,000 vehicles despite supply chain and tariff headwinds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Q4 2025 revenue of $522.7 million, up 123% compared to Q4 2024, and annual revenue of $1,353.8 million, up 68% compared to full year 2024</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GAAP diluted net loss per share of $(3.62) in Q4 2025 and $(12.09) in full year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Ended the quarter with approximately $4.6 billion in total liquidity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2026 production guidance of 25,000-27,000 vehicles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Operational Highlights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Achieved an eighth consecutive quarter of record deliveries and grew full year deliveries more than 50% year over year, with continued U.S. luxury EV share gains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Improved execution across manufacturing and operations by ramping Lucid Gravity and reducing unit costs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Advanced long-term growth platforms in autonomy, robotaxi development, and software while expanding global manufacturing and the Company’s sales and service footprint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Received multiple top-tier awards for product excellence, including Car and Driver 10Best recognition for both Lucid Gravity and Lucid Air</w:t>
      </w:r>
    </w:p>
    <w:p>
      <w:pPr>
        <w:pStyle w:val="TextBody"/>
        <w:bidi w:val="0"/>
        <w:spacing w:lineRule="auto" w:line="268" w:before="240" w:after="283"/>
        <w:jc w:val="left"/>
        <w:rPr>
          <w:rFonts w:ascii="Times New Roman;serif" w:hAnsi="Times New Roman;serif"/>
          <w:b w:val="false"/>
          <w:color w:val="000000"/>
          <w:sz w:val="22"/>
        </w:rPr>
      </w:pPr>
      <w:r>
        <w:rPr>
          <w:rFonts w:ascii="Times New Roman;serif" w:hAnsi="Times New Roman;serif"/>
          <w:b w:val="false"/>
          <w:color w:val="000000"/>
          <w:sz w:val="22"/>
        </w:rPr>
        <w:t>NEWARK, CA — February 24, 2026 — Lucid Group, Inc. (NASDAQ: LCID), maker of the world’s most advanced electric vehicles, today announced financial results for its fourth quarter and full year ended December 31, 2025. The earnings presentation is available on its investor relations website (https://ir.lucidmotors.com).</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 delivered 15,841 vehicles in 2025. Lucid today also announced its 2026 annual production guidance of 25,000 – 27,000 vehicles and will continue to prudently manage and adjust production to meet sales and delivery needs.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Lucid reported fourth quarter revenue of $522.7 million and annual revenue of $1,353.8 million, ending the quarter with approximately $4.6 billion in total liquidity.</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2"/>
        </w:rPr>
        <w:t>2025 was all about execution and strategy adjustment to set Lucid up for long-term success. Against a challenging macro backdrop, we nearly doubled production, gained market share, reduced unit costs, and strengthened our financial position,” said Marc Winterhoff, Interim CEO at Lucid. “We advanced and launched our autonomy strategy, leveraging our industry</w:t>
        <w:noBreakHyphen/>
        <w:t>leading technology and strong partnerships to position Lucid as an early mover in the emerging robotaxi market and to deliver differentiated autonomy capabilities to our customers in a capital</w:t>
        <w:noBreakHyphen/>
        <w:t>efficient way. In 2026, our focus remains on operational and financial discipline, sustainable growth, and continued progress toward profitability, while we look forward to the production of the first of our Midsize vehicles and the deployment of the first Lucid robotaxis into commercial service with our partners.”</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2"/>
        </w:rPr>
        <w:t>Q4 marked a clear step</w:t>
        <w:noBreakHyphen/>
        <w:t>change in production and unit economics. The progress we made is structural, creating a more repeatable and stable operating cadence heading into 2026,” said Taoufiq Boussaid, CFO at Lucid. “Our liquidity position remains strong, providing us with the flexibility to execute near-term objectives while investing in future growth. As we prepare for the next stage of our product and volume expansion, we are making targeted adjustments to our U.S.-based, non-manufacturing workforce to reallocate resources to support the next stage of our growth and margin progression. We remain committed to financial rigor, operational efficiency, and thoughtful capital allocation to drive long-term value creation.”</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0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On January 5, 2026, Lucid announced preliminary production of 18,378 vehicles for full year 2025 and 8,412 vehicles for the fourth quarter of 2025. Following that announcement, management determined that 538 vehicles had not completed certain internal procedures required under its final validation process to be classified as produced. As a result, the Company is revising its reported production totals to 17,840 vehicles for full year 2025, in line with the 2025 annual production guidance of approximately 18,000 vehicles, and 7,874 vehicles for the fourth quarter of 2025. These vehicles are expected to complete the final validation process in 2026. This revision relates to the timing of when vehicles are classified as produced under the Company’s internal criteria and does not affect previously reported financial results.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Lucid will host a conference call for analysts and investors at 2:30 P.M. PT / 5:30 P.M. ET on February 24, 2026. The live webcast of the conference call will be available on the Investor Relations website at ir.lucidmotors.com. Following the completion of the call, a replay will be available on the same website. Lucid uses its ir.lucidmotors.com website as a means of disclosing material non-public information and for complying with its disclosure obligations under Regulation FD.</w:t>
      </w:r>
    </w:p>
    <w:p>
      <w:pPr>
        <w:pStyle w:val="TextBody"/>
        <w:bidi w:val="0"/>
        <w:spacing w:lineRule="auto" w:line="288" w:before="240" w:after="1"/>
        <w:jc w:val="left"/>
        <w:rPr>
          <w:rFonts w:ascii="Times New Roman;serif" w:hAnsi="Times New Roman;serif"/>
          <w:b/>
          <w:color w:val="000000"/>
          <w:sz w:val="22"/>
        </w:rPr>
      </w:pPr>
      <w:r>
        <w:rPr>
          <w:rFonts w:ascii="Times New Roman;serif" w:hAnsi="Times New Roman;serif"/>
          <w:b/>
          <w:color w:val="000000"/>
          <w:sz w:val="22"/>
        </w:rPr>
        <w:t>About Lucid Group</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Lucid (NASDAQ: LCID) is a Silicon Valley-based technology company focused on creating the most advanced EVs in the world. The award-winning Lucid Air and Lucid Gravity deliver best-in-class performance, sophisticated design, expansive interior space and unrivaled energy efficiency. Lucid assembles both vehicles in its state-of-the-art, vertically integrated factories in Arizona and Saudi Arabia. Through its industry-leading technology and innovations, Lucid is advancing the state-of-the-art of EV technology for the benefit of all. </w:t>
      </w:r>
    </w:p>
    <w:p>
      <w:pPr>
        <w:pStyle w:val="TextBody"/>
        <w:bidi w:val="0"/>
        <w:spacing w:lineRule="auto" w:line="288" w:before="240" w:after="1"/>
        <w:jc w:val="left"/>
        <w:rPr>
          <w:rFonts w:ascii="Times New Roman;serif" w:hAnsi="Times New Roman;serif"/>
          <w:b/>
          <w:color w:val="000000"/>
          <w:sz w:val="22"/>
        </w:rPr>
      </w:pPr>
      <w:r>
        <w:rPr>
          <w:rFonts w:ascii="Times New Roman;serif" w:hAnsi="Times New Roman;serif"/>
          <w:b/>
          <w:color w:val="000000"/>
          <w:sz w:val="22"/>
        </w:rPr>
        <w:t>Investor Relations Contact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3051F2"/>
          <w:sz w:val="22"/>
          <w:u w:val="single"/>
        </w:rPr>
      </w:pPr>
      <w:r>
        <w:rPr>
          <w:rFonts w:ascii="Times New Roman;serif" w:hAnsi="Times New Roman;serif"/>
          <w:b w:val="false"/>
          <w:color w:val="3051F2"/>
          <w:sz w:val="22"/>
          <w:u w:val="single"/>
        </w:rPr>
        <w:t>investor@lucidmotors.com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Media Contact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3051F2"/>
          <w:sz w:val="22"/>
          <w:u w:val="single"/>
        </w:rPr>
      </w:pPr>
      <w:r>
        <w:rPr>
          <w:rFonts w:ascii="Times New Roman;serif" w:hAnsi="Times New Roman;serif"/>
          <w:b w:val="false"/>
          <w:color w:val="3051F2"/>
          <w:sz w:val="22"/>
          <w:u w:val="single"/>
        </w:rPr>
        <w:t xml:space="preserve">media@lucidmotors.com </w:t>
      </w:r>
    </w:p>
    <w:p>
      <w:pPr>
        <w:pStyle w:val="TextBody"/>
        <w:bidi w:val="0"/>
        <w:spacing w:lineRule="auto" w:line="288" w:before="240" w:after="1"/>
        <w:jc w:val="left"/>
        <w:rPr>
          <w:rFonts w:ascii="Times New Roman;serif" w:hAnsi="Times New Roman;serif"/>
          <w:b/>
          <w:color w:val="1B1B1B"/>
          <w:sz w:val="22"/>
        </w:rPr>
      </w:pPr>
      <w:r>
        <w:rPr>
          <w:rFonts w:ascii="Times New Roman;serif" w:hAnsi="Times New Roman;serif"/>
          <w:b/>
          <w:color w:val="1B1B1B"/>
          <w:sz w:val="22"/>
        </w:rPr>
        <w:t xml:space="preserve">Trademarks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This communication contains trademarks, service marks, trade names and copyrights of Lucid Group, Inc. and its subsidiaries and other companies, which are the property of their respective owners.</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“scheduled” or other similar expressions that predict or indicate future events or trends or that are not statements of historical matters. These forward-looking statements include, but are not limited to, statements regarding results of operations, financial outlook and condition, guidance, liquidity, capital expenditures, prospects, growth, production volumes, strategies, management, and the markets in which Lucid operates, including expectations of financial and operational metrics, projections of market opportunity, market share and product sales, plans and expectations related to commercial product launches and future programs, initiatives and products, including the Midsize program, plans and expectations on vehicle production and delivery timing and volumes, expectations regarding market opportunities and demand for Lucid’s products, the range, features, specifications, performance, production and delivery of Lucid’s vehicles and potential impact on markets, plans and expectations regarding further monetization opportunities, plans and expectations regarding Lucid’s software, technology features and capabilities, including with respect to battery and powertrain systems, plans and expectations regarding Lucid’s systems approach to the design of the vehicles, estimate of Lucid’s technology lead over competitors, estimate of the length of time Lucid’s existing cash, cash equivalents and investments will be sufficient to fund planned operations, plans and expectations regarding Lucid’s liquidity runway, future capital raises and funding strategy, plans and expectations regarding future manufacturing capabilities and facilities, logistics and supply chain, studio and service center openings, sales channels and strategies, test drive, ability to mitigate </w:t>
      </w:r>
    </w:p>
    <w:p>
      <w:pPr>
        <w:pStyle w:val="TextBody"/>
        <w:bidi w:val="0"/>
        <w:spacing w:before="20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supply chain and logistics risks, plans and expectations regarding expansion and construction of Lucid’s AMP-1 and AMP-2 manufacturing facilities and capabilities, including potential benefits, ability to vertically integrate production processes, future sales channels and strategies, future market launches and international expansion, Lucid’s ability to grow its brand awareness, plans and expectations regarding management transitions, the potential success of Lucid’s distribution strategy and future vehicle programs, potential automotive and strategic partnerships and their anticipated benefits, plans and expectations regarding Lucid’s ADAS/AD roadmap and robotaxi program, expectations on the technology licensing landscape, expectations on the regulatory and political environment, and the promise of Lucid’s technology.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changes in domestic and foreign business, economic, market, financial, political, regulatory and legal conditions, including changes of policies, imposition or proposed imposition of tariffs, export controls, threat of a trade war, the risk of a global economic recession or other downturn, bank closures and liquidity concerns at financial institutions, and global or regional conflicts or other geopolitical events, including recent geopolitical tensions in Venezuela; risks related to changes in overall demand for Lucid’s products and services and cancellation of orders for Lucid’s vehicles; risks related to prices and availability of commodities and components, including rare-earth minerals, semiconductors and their related products, and other materials, Lucid’s supply chain, logistics, inventory management and quality control, and Lucid’s ability to complete the tooling of its manufacturing facilities over time and scale production of Lucid’s vehicles; risks related to the uncertainty of Lucid’s projected financial and operational information; risks related to the timing of expected business milestones and commercial product launches; risks related to the construction and expansion of Lucid’s manufacturing facilities and the increase of Lucid’s production capacity; Lucid’s ability to manage expenses and control costs; risks related to future market adoption of Lucid’s offerings; the effects of competition and the pace and depth of electric vehicle adoption generally on Lucid’s business; changes in regulatory requirements, policies, and governmental incentives; changes in fuel and energy prices; Lucid’s ability to rapidly innovate; Lucid’s ability to enter into or maintain partnerships with original equipment manufacturers, vendors and technology providers, including its ability to realize the anticipated benefits of its transactions with Aston Martin, Uber, Nuro and NVIDIA; risks related to potential vehicle recalls; Lucid’s ability to establish and expand its brand, and capture additional market share, and the risks associated with negative press or reputational harm; Lucid’s ability to effectively manage its growth and recruit and retain key employees, including its executive team; Lucid’s ongoing need to attract, retain, and motivate key employees, including engineering and management employees, as Lucid has undertaken multiple significant management changes in the past, including its CEO; risks related to Lucid’s outstanding redeemable convertible preferred stock; availability, reduction or elimination of, and Lucid’s ability to obtain and effectively utilize, zero emission vehicle credits, tax incentives, and other governmental and regulatory programs and incentives; Lucid’s ability to conduct equity, equity-linked or debt financings in the future; Lucid’s ability to pay interest and principal on its indebtedness; future changes to vehicle specifications which may impact performance, features, pricing and other expectations; the outcome of any potential litigation, government and regulatory proceedings, investigations and inquiries; and those factors discussed under the cautionary language and the Risk Factors in Lucid’s Annual Report on Form 10-K for the year ended December 31, 2025, and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Non-GAAP Financial Measures and Key Business Metrics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Consolidated financial information has been presented in accordance with US GAAP (“GAAP”) as well as on a non-GAAP basis to supplement Lucid’s consolidated financial results. Lucid’s non-GAAP financial measures include Adjusted EBITDA, adjusted net loss attributable to common stockholders (diluted), adjusted net loss per share attributable to common stockholders (diluted), and free cash flow, which are discussed below.</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Adjusted EBITDA is defined as net loss attributable to common stockholders (basic) before (1) interest expense, (2) interest income, (3) provision for (benefit from) income taxes, (4) depreciation and amortization, (5) stock-based compensation, (6) restructuring charges, (7) change in fair value of common stock warrant liability, (8) change in fair value of equity securities of a related party, (9) change in fair value of derivative liabilities associated with redeemable convertible preferred stock (related party), (10) accretion of redeemable convertible preferred stock (related party), and (11) gain on extinguishment of debt. Lucid believes that Adjusted EBITDA provides useful information to Lucid’s management and investors about Lucid’s financial performance.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Adjusted net loss attributable to common stockholders (diluted) is defined as net loss attributable to common stockholders (diluted) excluding (1) stock-based compensation, (2) restructuring charges, (3) change in fair value of common stock warrant liability, (4) change in fair value of equity securities of a related party, (5) change in fair value of derivative liabilities associated with redeemable convertible preferred stock (related party), and (6) accretion of redeemable convertible preferred stock (related party).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Lucid defines and calculates adjusted net loss per share attributable to common stockholders (diluted) as adjusted net loss attributable to common stockholders (diluted) divided by weighted-average shares outstanding attributable to common stockholders (diluted).</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Lucid believes that adjusted net loss attributable to common stockholders (diluted) and adjusted net loss per share attributable to common stockholders (diluted) financial measures provide investors with useful information to evaluate performance of its business excluding items not reflecting ongoing operating activities.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Free cash flow is defined as net cash used in operating activities less capital expenditures. Lucid believes that free cash flow provides useful information to Lucid’s management and investors about the amount of cash generated by the business after necessary capital expenditures.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These non-GAAP financial measures facilitate management’s internal comparisons to Lucid’s historical performance. Management believes that it is useful to supplement its GAAP financial statements with this non-GAAP information because management uses such information internally for its operating, budgeting, and financial planning purposes. Management also believes that presentation of the non-GAAP financial measures provides useful information to Lucid’s investors regarding measures of its financial condition and results of operations that Lucid uses to run the business and therefore allows investors to better understand Lucid’s performance. However, these non-GAAP financial and key performance measures have limitations as analytical tools and you should not consider them in isolation or as substitutes for analysis of the Company’s results as reported under GAAP.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Non-GAAP information is not prepared under a comprehensive set of accounting rules and therefore, should only be read in conjunction with financial information reported under GAAP when understanding Lucid’s operating performance. In addition, other companies, including companies in Lucid’s industry, may calculate non-GAAP financial measures and key performance measures differently or may use other measures to evaluate their performance, all of which could reduce the usefulness of Lucid’s non-GAAP financial measures and key performance measures as tools for comparison. A reconciliation between GAAP and non-GAAP financial information is presented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LUCID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3012"/>
        <w:gridCol w:w="2052"/>
        <w:gridCol w:w="2059"/>
        <w:gridCol w:w="109"/>
        <w:gridCol w:w="109"/>
        <w:gridCol w:w="109"/>
        <w:gridCol w:w="196"/>
        <w:gridCol w:w="886"/>
        <w:gridCol w:w="109"/>
        <w:gridCol w:w="109"/>
        <w:gridCol w:w="109"/>
        <w:gridCol w:w="109"/>
        <w:gridCol w:w="196"/>
        <w:gridCol w:w="886"/>
        <w:gridCol w:w="155"/>
      </w:tblGrid>
      <w:tr>
        <w:trPr/>
        <w:tc>
          <w:tcPr>
            <w:tcW w:w="3012"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1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997,827 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1,606,865 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Short-term investments (including $50,000 and $15,000 associated with a related party as of December 31, 2025 and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631,093 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2,424,103 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Accounts receivable, net (including $120,540 and $57,909 from a related party as of December 31, 2025 and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177,162 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112,025 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1,109,529 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407,774 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59,606 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52,951 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Other current assets (including nil and $34,503 associated with a related party as of December 31, 2025 and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324,434 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270,218 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3,299,651 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4,873,936 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3,978,132 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3,262,612 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241,974 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211,886 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Long-term investments (including $24,259 and $57,831 associated with a related party as of December 31, 2025 and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512,241 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1,050,054 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354,983 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249,443 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8,386,981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9,647,931</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487,521 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133,832 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Finance lease liabilities,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84,222 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6,788 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Current portion of debt (including $467,963 and $126,417 associated with a related party as of December 31, 2025 and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671,746 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126,417 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Other current liabilities (including $81,580 and nil associated with a related party as of December 31, 2025 and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1,392,641 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898,254 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2,636,130 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1,165,291 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Finance 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104,559 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76,096 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Debt,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2,046,576 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2,002,151 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Other long-term liabilities (including $123,198 and $121,136 associated with related parties as of December 31, 2025 and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582,739 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592,314 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Derivative liabilities associated with redeemable convertible preferred stock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639,425 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5,386,204 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4,475,277 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Preferred stock 10,000,000 shares authorized as of December 31, 2025 and 2024, Series A redeemable convertible preferred stock, par value $0.0001; 100,000 shares issued and outstanding as of December 31, 2025 and 2024; liquidation preference of $1,350,441 and $1,138,825 as of December 31, 2025 and 2024, respectively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1,339,641 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730,025 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Preferred stock 10,000,000 shares authorized as of December 31, 2025 and 2024, Series B redeemable convertible preferred stock, par value $0.0001; 75,000 shares issued and outstanding as of December 31, 2025 and 2024; liquidation preference of $949,249 and $800,442 as of December 31, 2025 and 2024, respectively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943,849 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569,817 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2,283,490 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1,299,842 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hanging="360"/>
              <w:jc w:val="left"/>
              <w:rPr/>
            </w:pPr>
            <w:r>
              <w:rPr>
                <w:rFonts w:ascii="Times New Roman;serif" w:hAnsi="Times New Roman;serif"/>
                <w:b w:val="false"/>
                <w:color w:val="000000"/>
                <w:sz w:val="18"/>
              </w:rPr>
              <w:t>Common stock, par value $0.0001; 1,500,000,000 shares authorized as of December 31, 2025 and 2024; 327,451,844 and 303,221,972 shares issued and 327,366,062 and 303,136,190 shares outstanding as of December 31, 2025 and 2024, respectively</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16,337,023 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16,808,291 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Treasury stock, at cost, 85,782 shares at December 31, 2025 and 2024</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(20,716)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(2,099)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(15,610,745)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(12,912,694)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717,287 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3,872,812 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360"/>
              <w:jc w:val="left"/>
              <w:rPr>
                <w:rFonts w:ascii="Times New Roman;serif" w:hAnsi="Times New Roman;serif"/>
                <w:b/>
                <w:color w:val="000000"/>
                <w:sz w:val="18"/>
              </w:rPr>
            </w:pPr>
            <w:r>
              <w:rPr>
                <w:rFonts w:ascii="Times New Roman;serif" w:hAnsi="Times New Roman;serif"/>
                <w:b/>
                <w:color w:val="000000"/>
                <w:sz w:val="18"/>
              </w:rPr>
              <w:t>TOTAL LIABILITIES, REDEEMABLE CONVERTIBLE PREFERRED STOCK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8,386,981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9,647,931</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The number of shares of common stock and treasury stock have been adjusted for the prior period presented to reflect the one-for-ten (1:10) reverse stock split effected on August 29,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LUCID GROUP,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636"/>
        <w:gridCol w:w="1239"/>
        <w:gridCol w:w="1242"/>
        <w:gridCol w:w="196"/>
        <w:gridCol w:w="897"/>
        <w:gridCol w:w="109"/>
        <w:gridCol w:w="196"/>
        <w:gridCol w:w="406"/>
        <w:gridCol w:w="109"/>
        <w:gridCol w:w="196"/>
        <w:gridCol w:w="762"/>
        <w:gridCol w:w="109"/>
        <w:gridCol w:w="109"/>
        <w:gridCol w:w="109"/>
        <w:gridCol w:w="109"/>
        <w:gridCol w:w="196"/>
        <w:gridCol w:w="897"/>
        <w:gridCol w:w="109"/>
        <w:gridCol w:w="109"/>
        <w:gridCol w:w="109"/>
        <w:gridCol w:w="109"/>
        <w:gridCol w:w="196"/>
        <w:gridCol w:w="897"/>
        <w:gridCol w:w="159"/>
      </w:tblGrid>
      <w:tr>
        <w:trPr/>
        <w:tc>
          <w:tcPr>
            <w:tcW w:w="163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Twelve Months Ended</w:t>
            </w:r>
          </w:p>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4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18"/>
              </w:rPr>
            </w:pPr>
            <w:r>
              <w:rPr>
                <w:rFonts w:ascii="Times New Roman;serif" w:hAnsi="Times New Roman;serif"/>
                <w:b w:val="false"/>
                <w:color w:val="000000"/>
                <w:sz w:val="18"/>
              </w:rPr>
              <w:t>Revenue (including $74,440 and $40,780 from a related party for the three months ended December 31, 2025 and 2024, and $144,034 and $174,204 for the years ended December 31, 2025 and 2024, respectively)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522,730 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234,473 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1,353,790 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807,832 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944,636 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443,248 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2,610,176 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1,730,943 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361,007 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280,285 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1,211,397 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1,176,453 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281,841 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243,890 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1,033,970 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900,952 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20,304 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cost and expenses</w:t>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1,587,484 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967,423 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4,855,543 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3,828,652 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(1,064,754)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(732,950)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(3,501,753)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(3,020,820)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Other income (expense), net</w:t>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Change in fair value of common stock warrant liability</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34,150 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Change in fair value of equity securities of a related party</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(43,057)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Change in fair value of derivative liabilities associated with redeemable convertible preferred stock (related party)</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266,425 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623,225 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155,350 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Gain on extinguishment of debt</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121,765 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57,825 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156,443 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213,026 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18"/>
              </w:rPr>
            </w:pPr>
            <w:r>
              <w:rPr>
                <w:rFonts w:ascii="Times New Roman;serif" w:hAnsi="Times New Roman;serif"/>
                <w:b w:val="false"/>
                <w:color w:val="000000"/>
                <w:sz w:val="18"/>
              </w:rPr>
              <w:t>Interest expense (including $9,378 and $2,390 to related parties for the three months ended December 31, 2025 and 2024, and $24,250 and $6,980 for the years ended December 31, 2025 and 2024, respectively)</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(33,898)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(95,101)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(32,923)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(18,469)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other income, net</w:t>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252,496 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336,321 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801,369 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308,077 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Loss before provision for (benefit from) income taxes</w:t>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(812,258)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(396,629)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(2,700,384)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(2,712,743)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Provision for (benefit from) income taxes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1,199 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Net loss</w:t>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(814,020)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(397,218)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(2,698,051)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(2,713,942)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Accretion of redeemable convertible preferred stock (related party)</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(362,779)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(239,686)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(983,648)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(347,610)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Net loss attributable to common stockholders, basic</w:t>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(1,176,799)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(636,904)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(3,681,699)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(3,061,552)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Interest expense on 2026 Notes</w:t>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14,309 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Gain on extinguishment of debt</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(121,765)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Net loss attributable to common stockholders, diluted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(1,176,799)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(636,904)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(3,789,155)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(3,061,552)</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Weighted-average shares outstanding attributable to common stockholders</w:t>
            </w:r>
            <w:r>
              <w:rPr>
                <w:rFonts w:ascii="Times New Roman;serif" w:hAnsi="Times New Roman;serif"/>
                <w:b w:val="false"/>
                <w:color w:val="000000"/>
                <w:sz w:val="12"/>
              </w:rPr>
              <w:t>(1)</w:t>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325,040,126</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284,083,802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311,680,046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244,517,654</w:t>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325,040,126</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284,083,802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313,400,136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244,517,654</w:t>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Net loss per share attributable to common stockholders</w:t>
            </w:r>
            <w:r>
              <w:rPr>
                <w:rFonts w:ascii="Times New Roman;serif" w:hAnsi="Times New Roman;serif"/>
                <w:b w:val="false"/>
                <w:color w:val="000000"/>
                <w:sz w:val="12"/>
              </w:rPr>
              <w:t>(1)</w:t>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(12.52)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(12.52)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Other comprehensive income (loss)</w:t>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unrealized gains (losses) on investments, net of tax</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(8,891)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other comprehensive income (loss)</w:t>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(15,013)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(6,949)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Comprehensive loss</w:t>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(815,441)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(412,231)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(2,684,260)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(2,720,891)</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Accretion of redeemable convertible preferred stock (related party)</w:t>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(362,779)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(239,686)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(983,648)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(347,610)</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Comprehensive loss attributable to common stockholders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(1,178,220)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(651,917)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(3,667,908)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(3,068,501)</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The weighted-average shares outstanding attributable to common stockholders and net loss per share attributable to common stockholders have been adjusted for the prior periods presented to reflect the one-for-ten (1:10) reverse stock split effected on August 29,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LUCID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pPr>
      <w:r>
        <w:rPr>
          <w:rFonts w:ascii="Times New Roman;serif" w:hAnsi="Times New Roman;serif"/>
          <w:b/>
          <w:color w:val="000000"/>
          <w:sz w:val="20"/>
        </w:rPr>
        <w:t>(in thousands</w:t>
      </w:r>
      <w:r>
        <w:rPr>
          <w:rFonts w:ascii="Times New Roman;serif" w:hAnsi="Times New Roman;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1786"/>
        <w:gridCol w:w="1315"/>
        <w:gridCol w:w="1319"/>
        <w:gridCol w:w="196"/>
        <w:gridCol w:w="871"/>
        <w:gridCol w:w="109"/>
        <w:gridCol w:w="109"/>
        <w:gridCol w:w="109"/>
        <w:gridCol w:w="109"/>
        <w:gridCol w:w="196"/>
        <w:gridCol w:w="871"/>
        <w:gridCol w:w="109"/>
        <w:gridCol w:w="109"/>
        <w:gridCol w:w="109"/>
        <w:gridCol w:w="109"/>
        <w:gridCol w:w="196"/>
        <w:gridCol w:w="897"/>
        <w:gridCol w:w="109"/>
        <w:gridCol w:w="109"/>
        <w:gridCol w:w="109"/>
        <w:gridCol w:w="109"/>
        <w:gridCol w:w="196"/>
        <w:gridCol w:w="897"/>
        <w:gridCol w:w="157"/>
      </w:tblGrid>
      <w:tr>
        <w:trPr/>
        <w:tc>
          <w:tcPr>
            <w:tcW w:w="178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Twelve Months Ended</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(814,020)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(397,218)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(2,698,051)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(2,713,942)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used in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122,106 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90,843 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451,243 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295,337 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Amortization of insurance premium</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35,467 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33,330 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Non-cash operating lease cost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14,841 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47,527 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30,765 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72,386 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77,069 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271,275 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285,872 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Inventory and firm purchase commitments write-downs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280,608 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174,100 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799,078 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590,198 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Change in fair value of common stock warrant liability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(13,305)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(19,514)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(34,150)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Change in fair value of equity securities of a related party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15,785 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43,057 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Change in fair value of derivative liabilities associated with redeemable convertible preferred stock (related party)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(266,425)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(292,600)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(623,225)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(155,350)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accretion of investment discounts/premiums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(17,159)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(23,631)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(76,739)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Gain on extinguishment of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(121,765)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Other non-cash items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20,026 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5,983 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16"/>
              </w:rPr>
            </w:pPr>
            <w:r>
              <w:rPr>
                <w:rFonts w:ascii="Times New Roman;serif" w:hAnsi="Times New Roman;serif"/>
                <w:b w:val="false"/>
                <w:color w:val="000000"/>
                <w:sz w:val="16"/>
              </w:rPr>
              <w:t>Accounts receivable (including $(36,924) and $12,937 from a related party for the three months ended December 31, 2025 and 2024, and $(62,631) and $(22,383) for the years ended December 31, 2025 and 2024,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(39,167)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(14,678)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(65,690)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(61,279)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Inventory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(416,471)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(112,850)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(1,449,071)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(334,242)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Prepaid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(41,972)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(16,675)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(22,480)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(161,493)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(155,266)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(203,869)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74,128 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318,456 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34,756 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16"/>
              </w:rPr>
            </w:pPr>
            <w:r>
              <w:rPr>
                <w:rFonts w:ascii="Times New Roman;serif" w:hAnsi="Times New Roman;serif"/>
                <w:b w:val="false"/>
                <w:color w:val="000000"/>
                <w:sz w:val="16"/>
              </w:rPr>
              <w:t>Other liabilities (including nil and $700 associated with a related party for the three months ended December 31, 2025 and 2024, and $2,100 and $4,900 for the years ended December 31, 2025 and 2024,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70,611 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118,886 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307,416 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257,274 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(916,408)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(533,147)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(2,931,912)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(2,019,674)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16"/>
              </w:rPr>
            </w:pPr>
            <w:r>
              <w:rPr>
                <w:rFonts w:ascii="Times New Roman;serif" w:hAnsi="Times New Roman;serif"/>
                <w:b w:val="false"/>
                <w:color w:val="000000"/>
                <w:sz w:val="16"/>
              </w:rPr>
              <w:t>Purchases of property, plant and equipment (including $(100,653) and $(108,004) from a related party for the three months ended December 31, 2025 and 2024, and $(225,864) and $(164,683) for the years ended December 31, 2025 and 2024,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(325,436)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(291,635)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(868,158)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(883,841)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16"/>
              </w:rPr>
            </w:pPr>
            <w:r>
              <w:rPr>
                <w:rFonts w:ascii="Times New Roman;serif" w:hAnsi="Times New Roman;serif"/>
                <w:b w:val="false"/>
                <w:color w:val="000000"/>
                <w:sz w:val="16"/>
              </w:rPr>
              <w:t>Purchases of investments (including nil and $(20,000) from a related party for the three months ended December 31, 2025 and 2024, and $(30,000) and $(35,000) for the years ended December 31, 2025 and 2024,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(2,248,670)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(309,557)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(4,622,890)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16"/>
              </w:rPr>
            </w:pPr>
            <w:r>
              <w:rPr>
                <w:rFonts w:ascii="Times New Roman;serif" w:hAnsi="Times New Roman;serif"/>
                <w:b w:val="false"/>
                <w:color w:val="000000"/>
                <w:sz w:val="16"/>
              </w:rPr>
              <w:t>Proceeds from maturities of investments (including nil from a related party for the three months ended December 31, 2025 and 2024, and $15,000 and nil for the years ended December 31, 2025 and 2024,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240,637 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860,684 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2,654,090 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4,112,084 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Proceeds from sale of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95,193 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100,193 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Other investing activities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cash (used in) provided by investing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(84,713)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(1,584,428)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1,478,429 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(1,294,454)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Proceeds from issuance of Series A redeemable convertible preferred stock to a related party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1,000,000 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Payments of issuance costs for Series A redeemable convertible preferred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(2,351)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Proceeds from issuance of Series B redeemable convertible preferred stock to a related party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750,000 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Payments of issuance costs for Series B redeemable convertible preferred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(641)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under 2025 Subscription Agreement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Payments of issuance costs for the 2025 Subscription Agreement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Proceeds from issuance of 2031 Notes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Payments of transaction costs for the issuance of 2031 Notes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Proceeds from issuance of 2030 Notes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Payments of transaction costs for the issuance of 2030 Notes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(18,090)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Purchase of capped call options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(118,250)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Repurchases of 2026 Notes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(748,176)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(1,679,609)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under 2024 Underwriting Agreement, net of issuance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718,357 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718,357 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under 2024 Subscription Agreement to a related party, net of issuance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1,025,660 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1,025,660 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Proceeds from borrowings from a related party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154,619 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79,844 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341,240 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79,844 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Repayment of borrowings to a related party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(25,856)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4,883 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Proceeds from employee stock purchase plan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22,808 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19,208 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Tax withholding payments for net settlement of employee awards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(12,911)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(10,021)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Payments for finance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(3,166)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16"/>
              </w:rPr>
            </w:pPr>
            <w:r>
              <w:rPr>
                <w:rFonts w:ascii="Times New Roman;serif" w:hAnsi="Times New Roman;serif"/>
                <w:b w:val="false"/>
                <w:color w:val="000000"/>
                <w:sz w:val="16"/>
              </w:rPr>
              <w:t>Payments for credit facility issuance costs (including $(9,216) and nil to a related party for the three months ended December 31, 2025 and 2024, and $(9,723) and $(5,625) for the years ended December 31, 2025 and 2024,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(6,244)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369,616 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1,830,964 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887,344 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3,549,673 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cash equivalents, and restricted cash</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(631,505)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(286,611)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(566,139)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235,545 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Beginning cash, cash equivalents, and 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1,672,418 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1,893,663 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1,607,052 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1,371,507 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Ending cash, cash equivalents, and restricted cash</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1,040,913 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1,607,052 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1,040,913 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1,607,052 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LUCID GROUP,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p>
      <w:pPr>
        <w:pStyle w:val="TextBody"/>
        <w:bidi w:val="0"/>
        <w:spacing w:lineRule="auto" w:line="288" w:before="200" w:after="283"/>
        <w:jc w:val="left"/>
        <w:rPr>
          <w:rFonts w:ascii="Times New Roman;serif" w:hAnsi="Times New Roman;serif"/>
          <w:b/>
          <w:color w:val="000000"/>
          <w:sz w:val="18"/>
          <w:u w:val="single"/>
        </w:rPr>
      </w:pPr>
      <w:r>
        <w:rPr>
          <w:rFonts w:ascii="Times New Roman;serif" w:hAnsi="Times New Roman;serif"/>
          <w:b/>
          <w:color w:val="000000"/>
          <w:sz w:val="18"/>
          <w:u w:val="single"/>
        </w:rPr>
        <w:t>Adjusted EBITDA</w:t>
      </w:r>
    </w:p>
    <w:tbl>
      <w:tblPr>
        <w:tblW w:w="10205" w:type="dxa"/>
        <w:jc w:val="left"/>
        <w:tblInd w:w="0" w:type="dxa"/>
        <w:tblLayout w:type="fixed"/>
        <w:tblCellMar>
          <w:top w:w="28" w:type="dxa"/>
          <w:left w:w="28" w:type="dxa"/>
          <w:bottom w:w="28" w:type="dxa"/>
          <w:right w:w="28" w:type="dxa"/>
        </w:tblCellMar>
      </w:tblPr>
      <w:tblGrid>
        <w:gridCol w:w="1522"/>
        <w:gridCol w:w="1240"/>
        <w:gridCol w:w="1243"/>
        <w:gridCol w:w="211"/>
        <w:gridCol w:w="1010"/>
        <w:gridCol w:w="109"/>
        <w:gridCol w:w="109"/>
        <w:gridCol w:w="109"/>
        <w:gridCol w:w="109"/>
        <w:gridCol w:w="211"/>
        <w:gridCol w:w="860"/>
        <w:gridCol w:w="109"/>
        <w:gridCol w:w="109"/>
        <w:gridCol w:w="109"/>
        <w:gridCol w:w="109"/>
        <w:gridCol w:w="211"/>
        <w:gridCol w:w="1010"/>
        <w:gridCol w:w="109"/>
        <w:gridCol w:w="109"/>
        <w:gridCol w:w="109"/>
        <w:gridCol w:w="109"/>
        <w:gridCol w:w="211"/>
        <w:gridCol w:w="1010"/>
        <w:gridCol w:w="158"/>
      </w:tblGrid>
      <w:tr>
        <w:trPr/>
        <w:tc>
          <w:tcPr>
            <w:tcW w:w="1522"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Twelve Months Ended</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19"/>
              </w:rPr>
            </w:pPr>
            <w:r>
              <w:rPr>
                <w:rFonts w:ascii="Times New Roman;serif" w:hAnsi="Times New Roman;serif"/>
                <w:b/>
                <w:color w:val="000000"/>
                <w:sz w:val="19"/>
              </w:rPr>
              <w:t>Net loss attributable to common stockholders, basic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(1,176,799)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(636,904)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(3,681,699)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(3,061,552)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9"/>
              </w:rPr>
            </w:pPr>
            <w:r>
              <w:rPr>
                <w:rFonts w:ascii="Times New Roman;serif" w:hAnsi="Times New Roman;serif"/>
                <w:b w:val="false"/>
                <w:color w:val="000000"/>
                <w:sz w:val="19"/>
              </w:rPr>
              <w:t>Interest expense</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33,898 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10,271 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95,101 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32,923 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9"/>
              </w:rPr>
            </w:pPr>
            <w:r>
              <w:rPr>
                <w:rFonts w:ascii="Times New Roman;serif" w:hAnsi="Times New Roman;serif"/>
                <w:b w:val="false"/>
                <w:color w:val="000000"/>
                <w:sz w:val="19"/>
              </w:rPr>
              <w:t>Interest income</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(25,273)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(57,825)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(156,443)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(213,026)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9"/>
              </w:rPr>
            </w:pPr>
            <w:r>
              <w:rPr>
                <w:rFonts w:ascii="Times New Roman;serif" w:hAnsi="Times New Roman;serif"/>
                <w:b w:val="false"/>
                <w:color w:val="000000"/>
                <w:sz w:val="19"/>
              </w:rPr>
              <w:t>Provision for (benefit from) income taxes</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(2,333)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1,199 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122,106 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90,843 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451,243 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295,337 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9"/>
              </w:rPr>
            </w:pPr>
            <w:r>
              <w:rPr>
                <w:rFonts w:ascii="Times New Roman;serif" w:hAnsi="Times New Roman;serif"/>
                <w:b w:val="false"/>
                <w:color w:val="000000"/>
                <w:sz w:val="19"/>
              </w:rPr>
              <w:t>Stock-based compensation</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72,386 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77,069 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271,275 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287,352 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9"/>
              </w:rPr>
            </w:pPr>
            <w:r>
              <w:rPr>
                <w:rFonts w:ascii="Times New Roman;serif" w:hAnsi="Times New Roman;serif"/>
                <w:b w:val="false"/>
                <w:color w:val="000000"/>
                <w:sz w:val="19"/>
              </w:rPr>
              <w:t>Restructuring charges</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20,304 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9"/>
              </w:rPr>
            </w:pPr>
            <w:r>
              <w:rPr>
                <w:rFonts w:ascii="Times New Roman;serif" w:hAnsi="Times New Roman;serif"/>
                <w:b w:val="false"/>
                <w:color w:val="000000"/>
                <w:sz w:val="19"/>
              </w:rPr>
              <w:t>Change in fair value of common stock warrant liability</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(13,305)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(19,514)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(34,150)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9"/>
              </w:rPr>
            </w:pPr>
            <w:r>
              <w:rPr>
                <w:rFonts w:ascii="Times New Roman;serif" w:hAnsi="Times New Roman;serif"/>
                <w:b w:val="false"/>
                <w:color w:val="000000"/>
                <w:sz w:val="19"/>
              </w:rPr>
              <w:t>Change in fair value of equity securities of a related party</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7,196 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4,898 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15,785 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43,057 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9"/>
              </w:rPr>
            </w:pPr>
            <w:r>
              <w:rPr>
                <w:rFonts w:ascii="Times New Roman;serif" w:hAnsi="Times New Roman;serif"/>
                <w:b w:val="false"/>
                <w:color w:val="000000"/>
                <w:sz w:val="19"/>
              </w:rPr>
              <w:t>Change in fair value of derivative liabilities associated with redeemable convertible preferred stock (related party)</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(266,425)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(292,600)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(623,225)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(155,350)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9"/>
              </w:rPr>
            </w:pPr>
            <w:r>
              <w:rPr>
                <w:rFonts w:ascii="Times New Roman;serif" w:hAnsi="Times New Roman;serif"/>
                <w:b w:val="false"/>
                <w:color w:val="000000"/>
                <w:sz w:val="19"/>
              </w:rPr>
              <w:t>Accretion of redeemable convertible preferred stock (related party)</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362,779 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239,686 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983,648 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347,610 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9"/>
              </w:rPr>
            </w:pPr>
            <w:r>
              <w:rPr>
                <w:rFonts w:ascii="Times New Roman;serif" w:hAnsi="Times New Roman;serif"/>
                <w:b w:val="false"/>
                <w:color w:val="000000"/>
                <w:sz w:val="19"/>
              </w:rPr>
              <w:t>Gain on extinguishment of debt</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(5,405)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(121,765)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Adjusted EBITDA (non-GAAP)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(874,662)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(577,278)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(2,787,927)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(2,436,296)</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18"/>
          <w:u w:val="single"/>
        </w:rPr>
      </w:pPr>
      <w:r>
        <w:rPr>
          <w:rFonts w:ascii="Times New Roman;serif" w:hAnsi="Times New Roman;serif"/>
          <w:b/>
          <w:color w:val="000000"/>
          <w:sz w:val="18"/>
          <w:u w:val="single"/>
        </w:rPr>
        <w:t>Adjusted Net Loss Attributable to Common Stockholders</w:t>
      </w:r>
    </w:p>
    <w:tbl>
      <w:tblPr>
        <w:tblW w:w="10205" w:type="dxa"/>
        <w:jc w:val="left"/>
        <w:tblInd w:w="0" w:type="dxa"/>
        <w:tblLayout w:type="fixed"/>
        <w:tblCellMar>
          <w:top w:w="28" w:type="dxa"/>
          <w:left w:w="28" w:type="dxa"/>
          <w:bottom w:w="28" w:type="dxa"/>
          <w:right w:w="28" w:type="dxa"/>
        </w:tblCellMar>
      </w:tblPr>
      <w:tblGrid>
        <w:gridCol w:w="1463"/>
        <w:gridCol w:w="1268"/>
        <w:gridCol w:w="1271"/>
        <w:gridCol w:w="211"/>
        <w:gridCol w:w="1011"/>
        <w:gridCol w:w="109"/>
        <w:gridCol w:w="109"/>
        <w:gridCol w:w="109"/>
        <w:gridCol w:w="109"/>
        <w:gridCol w:w="211"/>
        <w:gridCol w:w="861"/>
        <w:gridCol w:w="109"/>
        <w:gridCol w:w="109"/>
        <w:gridCol w:w="109"/>
        <w:gridCol w:w="109"/>
        <w:gridCol w:w="211"/>
        <w:gridCol w:w="1011"/>
        <w:gridCol w:w="109"/>
        <w:gridCol w:w="109"/>
        <w:gridCol w:w="109"/>
        <w:gridCol w:w="109"/>
        <w:gridCol w:w="211"/>
        <w:gridCol w:w="1011"/>
        <w:gridCol w:w="157"/>
      </w:tblGrid>
      <w:tr>
        <w:trPr/>
        <w:tc>
          <w:tcPr>
            <w:tcW w:w="1463"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Twelve Months Ended</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9"/>
              </w:rPr>
            </w:pPr>
            <w:r>
              <w:rPr>
                <w:rFonts w:ascii="Times New Roman;serif" w:hAnsi="Times New Roman;serif"/>
                <w:b/>
                <w:color w:val="000000"/>
                <w:sz w:val="19"/>
              </w:rPr>
              <w:t>Net loss attributable to common stockholders, diluted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(1,176,799)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(636,904)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(3,789,155)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(3,061,552)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9"/>
              </w:rPr>
            </w:pPr>
            <w:r>
              <w:rPr>
                <w:rFonts w:ascii="Times New Roman;serif" w:hAnsi="Times New Roman;serif"/>
                <w:b w:val="false"/>
                <w:color w:val="000000"/>
                <w:sz w:val="19"/>
              </w:rPr>
              <w:t>Stock-based compensation</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72,386 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77,069 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271,275 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287,352 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9"/>
              </w:rPr>
            </w:pPr>
            <w:r>
              <w:rPr>
                <w:rFonts w:ascii="Times New Roman;serif" w:hAnsi="Times New Roman;serif"/>
                <w:b w:val="false"/>
                <w:color w:val="000000"/>
                <w:sz w:val="19"/>
              </w:rPr>
              <w:t>Restructuring charges</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20,304 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9"/>
              </w:rPr>
            </w:pPr>
            <w:r>
              <w:rPr>
                <w:rFonts w:ascii="Times New Roman;serif" w:hAnsi="Times New Roman;serif"/>
                <w:b w:val="false"/>
                <w:color w:val="000000"/>
                <w:sz w:val="19"/>
              </w:rPr>
              <w:t>Change in fair value of common stock warrant liability</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(13,305)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(19,514)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(34,150)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9"/>
              </w:rPr>
            </w:pPr>
            <w:r>
              <w:rPr>
                <w:rFonts w:ascii="Times New Roman;serif" w:hAnsi="Times New Roman;serif"/>
                <w:b w:val="false"/>
                <w:color w:val="000000"/>
                <w:sz w:val="19"/>
              </w:rPr>
              <w:t>Change in fair value of equity securities of a related party</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7,196 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4,898 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15,785 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43,057 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9"/>
              </w:rPr>
            </w:pPr>
            <w:r>
              <w:rPr>
                <w:rFonts w:ascii="Times New Roman;serif" w:hAnsi="Times New Roman;serif"/>
                <w:b w:val="false"/>
                <w:color w:val="000000"/>
                <w:sz w:val="19"/>
              </w:rPr>
              <w:t>Change in fair value of derivative liabilities associated with redeemable convertible preferred stock (related party)</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(266,425)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(292,600)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(623,225)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(155,350)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9"/>
              </w:rPr>
            </w:pPr>
            <w:r>
              <w:rPr>
                <w:rFonts w:ascii="Times New Roman;serif" w:hAnsi="Times New Roman;serif"/>
                <w:b w:val="false"/>
                <w:color w:val="000000"/>
                <w:sz w:val="19"/>
              </w:rPr>
              <w:t>Accretion of redeemable convertible preferred stock (related party)</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362,779 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239,686 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983,648 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347,610 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19"/>
              </w:rPr>
            </w:pPr>
            <w:r>
              <w:rPr>
                <w:rFonts w:ascii="Times New Roman;serif" w:hAnsi="Times New Roman;serif"/>
                <w:b/>
                <w:color w:val="000000"/>
                <w:sz w:val="19"/>
              </w:rPr>
              <w:t>Adjusted net loss attributable to common stockholders, diluted (non-GAAP)</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(1,001,750)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(621,156)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(3,161,186)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(2,552,729)</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color w:val="000000"/>
          <w:sz w:val="18"/>
          <w:u w:val="single"/>
        </w:rPr>
        <w:t>Adjusted Net Loss Per Share Attributable to Common Stockholders</w:t>
      </w:r>
      <w:r>
        <w:rPr>
          <w:rFonts w:ascii="Times New Roman;serif" w:hAnsi="Times New Roman;serif"/>
          <w:b/>
          <w:color w:val="000000"/>
          <w:sz w:val="12"/>
          <w:u w:val="single"/>
        </w:rPr>
        <w:t>(</w:t>
      </w:r>
      <w:r>
        <w:rPr>
          <w:rFonts w:ascii="Times New Roman;serif" w:hAnsi="Times New Roman;serif"/>
          <w:b/>
          <w:color w:val="000000"/>
          <w:sz w:val="12"/>
        </w:rPr>
        <w:t>1)</w:t>
      </w:r>
    </w:p>
    <w:tbl>
      <w:tblPr>
        <w:tblW w:w="10205" w:type="dxa"/>
        <w:jc w:val="left"/>
        <w:tblInd w:w="0" w:type="dxa"/>
        <w:tblLayout w:type="fixed"/>
        <w:tblCellMar>
          <w:top w:w="28" w:type="dxa"/>
          <w:left w:w="28" w:type="dxa"/>
          <w:bottom w:w="28" w:type="dxa"/>
          <w:right w:w="28" w:type="dxa"/>
        </w:tblCellMar>
      </w:tblPr>
      <w:tblGrid>
        <w:gridCol w:w="1629"/>
        <w:gridCol w:w="1153"/>
        <w:gridCol w:w="1156"/>
        <w:gridCol w:w="343"/>
        <w:gridCol w:w="858"/>
        <w:gridCol w:w="109"/>
        <w:gridCol w:w="109"/>
        <w:gridCol w:w="109"/>
        <w:gridCol w:w="109"/>
        <w:gridCol w:w="343"/>
        <w:gridCol w:w="858"/>
        <w:gridCol w:w="109"/>
        <w:gridCol w:w="109"/>
        <w:gridCol w:w="109"/>
        <w:gridCol w:w="109"/>
        <w:gridCol w:w="300"/>
        <w:gridCol w:w="901"/>
        <w:gridCol w:w="109"/>
        <w:gridCol w:w="109"/>
        <w:gridCol w:w="109"/>
        <w:gridCol w:w="109"/>
        <w:gridCol w:w="300"/>
        <w:gridCol w:w="901"/>
        <w:gridCol w:w="155"/>
      </w:tblGrid>
      <w:tr>
        <w:trPr/>
        <w:tc>
          <w:tcPr>
            <w:tcW w:w="162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Twelve Months Ended</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9"/>
              </w:rPr>
            </w:pPr>
            <w:r>
              <w:rPr>
                <w:rFonts w:ascii="Times New Roman;serif" w:hAnsi="Times New Roman;serif"/>
                <w:b/>
                <w:color w:val="000000"/>
                <w:sz w:val="19"/>
              </w:rPr>
              <w:t>Net loss per share attributable to common stockholders, diluted (GAAP)</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(3.62)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(2.24)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(12.09)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(12.52)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9"/>
              </w:rPr>
            </w:pPr>
            <w:r>
              <w:rPr>
                <w:rFonts w:ascii="Times New Roman;serif" w:hAnsi="Times New Roman;serif"/>
                <w:b w:val="false"/>
                <w:color w:val="000000"/>
                <w:sz w:val="19"/>
              </w:rPr>
              <w:t>Stock-based compensation</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9"/>
              </w:rPr>
            </w:pPr>
            <w:r>
              <w:rPr>
                <w:rFonts w:ascii="Times New Roman;serif" w:hAnsi="Times New Roman;serif"/>
                <w:b w:val="false"/>
                <w:color w:val="000000"/>
                <w:sz w:val="19"/>
              </w:rPr>
              <w:t>Restructuring charges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0.08 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9"/>
              </w:rPr>
            </w:pPr>
            <w:r>
              <w:rPr>
                <w:rFonts w:ascii="Times New Roman;serif" w:hAnsi="Times New Roman;serif"/>
                <w:b w:val="false"/>
                <w:color w:val="000000"/>
                <w:sz w:val="19"/>
              </w:rPr>
              <w:t>Change in fair value of common stock warrant liability</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(0.14)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9"/>
              </w:rPr>
            </w:pPr>
            <w:r>
              <w:rPr>
                <w:rFonts w:ascii="Times New Roman;serif" w:hAnsi="Times New Roman;serif"/>
                <w:b w:val="false"/>
                <w:color w:val="000000"/>
                <w:sz w:val="19"/>
              </w:rPr>
              <w:t>Change in fair value of equity securities of a related party</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0.18 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9"/>
              </w:rPr>
            </w:pPr>
            <w:r>
              <w:rPr>
                <w:rFonts w:ascii="Times New Roman;serif" w:hAnsi="Times New Roman;serif"/>
                <w:b w:val="false"/>
                <w:color w:val="000000"/>
                <w:sz w:val="19"/>
              </w:rPr>
              <w:t>Change in fair value of derivative liabilities associated with redeemable convertible preferred stock (related party)</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(0.64)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9"/>
              </w:rPr>
            </w:pPr>
            <w:r>
              <w:rPr>
                <w:rFonts w:ascii="Times New Roman;serif" w:hAnsi="Times New Roman;serif"/>
                <w:b w:val="false"/>
                <w:color w:val="000000"/>
                <w:sz w:val="19"/>
              </w:rPr>
              <w:t>Accretion of redeemable convertible preferred stock (related party)</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19"/>
              </w:rPr>
            </w:pPr>
            <w:r>
              <w:rPr>
                <w:rFonts w:ascii="Times New Roman;serif" w:hAnsi="Times New Roman;serif"/>
                <w:b/>
                <w:color w:val="000000"/>
                <w:sz w:val="19"/>
              </w:rPr>
              <w:t>Adjusted net loss per share attributable to common stockholders, diluted (non-GAAP)</w:t>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w:t>
            </w:r>
          </w:p>
        </w:tc>
        <w:tc>
          <w:tcPr>
            <w:tcW w:w="8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(3.08)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w:t>
            </w:r>
          </w:p>
        </w:tc>
        <w:tc>
          <w:tcPr>
            <w:tcW w:w="8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(2.19)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(10.09)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(10.44)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19"/>
              </w:rPr>
            </w:pPr>
            <w:r>
              <w:rPr>
                <w:rFonts w:ascii="Times New Roman;serif" w:hAnsi="Times New Roman;serif"/>
                <w:b/>
                <w:color w:val="000000"/>
                <w:sz w:val="19"/>
              </w:rPr>
              <w:t>Weighted-average shares outstanding attributable to common stockholders, diluted</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325,040,126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284,083,802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313,400,136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244,517,654</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weighted-average shares outstanding attributable to common stockholders, net loss per share attributable to common stockholders and adjusted net loss per share attributable to common stockholders have been adjusted for the prior periods presented to reflect the one-for-ten (1:10) reverse stock split effected on August 29, 2025.</w:t>
      </w:r>
    </w:p>
    <w:p>
      <w:pPr>
        <w:pStyle w:val="TextBody"/>
        <w:bidi w:val="0"/>
        <w:spacing w:before="20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 xml:space="preserve">LUCID GROUP, INC. </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RECONCILIATION OF GAAP TO NON-GAAP FINANCIAL MEASURES - continued</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(Unaudited)</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(in thousands)</w:t>
      </w:r>
    </w:p>
    <w:p>
      <w:pPr>
        <w:pStyle w:val="TextBody"/>
        <w:bidi w:val="0"/>
        <w:spacing w:before="0" w:after="0"/>
        <w:jc w:val="center"/>
        <w:rPr/>
      </w:pPr>
      <w:r>
        <w:rPr/>
      </w:r>
    </w:p>
    <w:p>
      <w:pPr>
        <w:pStyle w:val="TextBody"/>
        <w:bidi w:val="0"/>
        <w:spacing w:lineRule="auto" w:line="28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Free Cash Flow</w:t>
      </w:r>
    </w:p>
    <w:tbl>
      <w:tblPr>
        <w:tblW w:w="10200" w:type="dxa"/>
        <w:jc w:val="left"/>
        <w:tblInd w:w="0" w:type="dxa"/>
        <w:tblLayout w:type="fixed"/>
        <w:tblCellMar>
          <w:top w:w="28" w:type="dxa"/>
          <w:left w:w="28" w:type="dxa"/>
          <w:bottom w:w="28" w:type="dxa"/>
          <w:right w:w="28" w:type="dxa"/>
        </w:tblCellMar>
      </w:tblPr>
      <w:tblGrid>
        <w:gridCol w:w="1388"/>
        <w:gridCol w:w="1222"/>
        <w:gridCol w:w="1230"/>
        <w:gridCol w:w="211"/>
        <w:gridCol w:w="1051"/>
        <w:gridCol w:w="109"/>
        <w:gridCol w:w="109"/>
        <w:gridCol w:w="109"/>
        <w:gridCol w:w="109"/>
        <w:gridCol w:w="211"/>
        <w:gridCol w:w="901"/>
        <w:gridCol w:w="109"/>
        <w:gridCol w:w="109"/>
        <w:gridCol w:w="109"/>
        <w:gridCol w:w="109"/>
        <w:gridCol w:w="211"/>
        <w:gridCol w:w="1051"/>
        <w:gridCol w:w="109"/>
        <w:gridCol w:w="109"/>
        <w:gridCol w:w="109"/>
        <w:gridCol w:w="109"/>
        <w:gridCol w:w="211"/>
        <w:gridCol w:w="1051"/>
        <w:gridCol w:w="154"/>
      </w:tblGrid>
      <w:tr>
        <w:trPr/>
        <w:tc>
          <w:tcPr>
            <w:tcW w:w="138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Twelve Months Ended</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19"/>
              </w:rPr>
            </w:pPr>
            <w:r>
              <w:rPr>
                <w:rFonts w:ascii="Times New Roman;serif" w:hAnsi="Times New Roman;serif"/>
                <w:b/>
                <w:color w:val="000000"/>
                <w:sz w:val="19"/>
              </w:rPr>
              <w:t>Net cash used in operating activities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(916,408)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(533,147)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(2,931,912)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(2,019,674)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9"/>
              </w:rPr>
            </w:pPr>
            <w:r>
              <w:rPr>
                <w:rFonts w:ascii="Times New Roman;serif" w:hAnsi="Times New Roman;serif"/>
                <w:b w:val="false"/>
                <w:color w:val="000000"/>
                <w:sz w:val="19"/>
              </w:rPr>
              <w:t>Capital expenditures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(325,436)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(291,635)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(868,158)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(883,841)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Free cash flow (non-GAAP)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(1,241,844)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(824,782)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(3,800,070)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(2,903,515)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before="20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99.2</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200" w:after="200"/>
        <w:jc w:val="center"/>
        <w:rPr>
          <w:rFonts w:ascii="Times New Roman;serif" w:hAnsi="Times New Roman;serif"/>
          <w:b/>
          <w:color w:val="000000"/>
          <w:sz w:val="20"/>
        </w:rPr>
      </w:pPr>
      <w:r>
        <w:rPr>
          <w:rFonts w:ascii="Times New Roman;serif" w:hAnsi="Times New Roman;serif"/>
          <w:b/>
          <w:color w:val="000000"/>
          <w:sz w:val="20"/>
        </w:rPr>
        <w:t>Lucid Files Resale Prospectus Supplement</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NEWARK, Calif., February 24, 2026 -- Lucid Group, Inc. (Nasdaq: LCID), maker of the world’s most advanced electric vehicles, today announced that it has filed a prospectus supplement with the Securities and Exchange Commission to register for resale up to 69,108,837 shares of its Class A Common Stock.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 new shares will be issued or sold by Lucid in connection with this resale prospectus supplement. The shares were registered solely to fulfill Lucid’s contractual obligations to (i) SMB Holding Corporation, a subsidiary of Uber Technologies, Inc., with respect to shares issued to SMB in a private placement, and (ii) Ayar Third Investment Company, an affiliate of the Public Investment Fund, with respect to shares that Ayar is entitled to purchase from a certain forward counterparty pursuant to the prepaid forward transactions Ayar entered into in connection with Lucid’s convertible senior notes offerings in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Registration of these shares does not mean that the holders will offer or sell any of their shares. In fact, SMB cannot sell its shares until March 2027, and the shares under the prepaid forward transactions are expected to be delivered to Ayar in April 2030 and November 2031, respectively, subject to possible early settlement in certain circumstances.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press release does not constitute an offer to sell or the solicitation of an offer to buy shares of Lucid’s common stock, nor shall there be any sale of these shares in any jurisdiction in which such offer, solicitation or sale would be unlawful prior to registration or qualification under the securities laws of any such jurisdiction.</w:t>
      </w:r>
    </w:p>
    <w:p>
      <w:pPr>
        <w:pStyle w:val="TextBody"/>
        <w:bidi w:val="0"/>
        <w:spacing w:lineRule="auto" w:line="240" w:before="200" w:after="283"/>
        <w:jc w:val="both"/>
        <w:rPr>
          <w:rFonts w:ascii="Times New Roman;serif" w:hAnsi="Times New Roman;serif"/>
          <w:b/>
          <w:color w:val="000000"/>
          <w:sz w:val="20"/>
        </w:rPr>
      </w:pPr>
      <w:r>
        <w:rPr>
          <w:rFonts w:ascii="Times New Roman;serif" w:hAnsi="Times New Roman;serif"/>
          <w:b/>
          <w:color w:val="000000"/>
          <w:sz w:val="20"/>
        </w:rPr>
        <w:t>About Lucid Group</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Lucid (NASDAQ: LCID) is a Silicon Valley-based technology company focused on creating the most advanced EVs in the world. The award-winning Lucid Air and Lucid Gravity deliver best-in-class performance, sophisticated design, expansive interior space and unrivaled energy efficiency. Lucid assembles both vehicles in its state-of-the-art, vertically integrated factories in Arizona and Saudi Arabia. Through its industry-leading technology and innovations, Lucid is advancing the state-of-the-art of EV technology for the benefit of all.</w:t>
      </w:r>
    </w:p>
    <w:p>
      <w:pPr>
        <w:pStyle w:val="TextBody"/>
        <w:bidi w:val="0"/>
        <w:spacing w:lineRule="auto" w:line="240" w:before="200" w:after="283"/>
        <w:jc w:val="both"/>
        <w:rPr>
          <w:rFonts w:ascii="Times New Roman;serif" w:hAnsi="Times New Roman;serif"/>
          <w:b/>
          <w:color w:val="000000"/>
          <w:sz w:val="20"/>
        </w:rPr>
      </w:pPr>
      <w:r>
        <w:rPr>
          <w:rFonts w:ascii="Times New Roman;serif" w:hAnsi="Times New Roman;serif"/>
          <w:b/>
          <w:color w:val="000000"/>
          <w:sz w:val="20"/>
        </w:rPr>
        <w:t>Investor Relations Contact</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investor@lucidmotors.com</w:t>
      </w:r>
    </w:p>
    <w:p>
      <w:pPr>
        <w:pStyle w:val="TextBody"/>
        <w:bidi w:val="0"/>
        <w:spacing w:lineRule="auto" w:line="240" w:before="200" w:after="283"/>
        <w:jc w:val="both"/>
        <w:rPr>
          <w:rFonts w:ascii="Times New Roman;serif" w:hAnsi="Times New Roman;serif"/>
          <w:b/>
          <w:color w:val="000000"/>
          <w:sz w:val="20"/>
        </w:rPr>
      </w:pPr>
      <w:r>
        <w:rPr>
          <w:rFonts w:ascii="Times New Roman;serif" w:hAnsi="Times New Roman;serif"/>
          <w:b/>
          <w:color w:val="000000"/>
          <w:sz w:val="20"/>
        </w:rPr>
        <w:t>Media Contact</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media@lucidmotors.com</w:t>
      </w:r>
    </w:p>
    <w:p>
      <w:pPr>
        <w:pStyle w:val="TextBody"/>
        <w:bidi w:val="0"/>
        <w:spacing w:lineRule="auto" w:line="240" w:before="200" w:after="283"/>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the timing of the sale of shares of Lucid’s common stock. Actual events and circumstances may differ from these forward-looking statements. These forward-looking statements are subject to a number of risks and uncertainties. Among those risks and uncertainties are market conditions and risks relating to Lucid’s business, including those factors discussed under the cautionary language and the Risk Factors in Lucid’s Annual Report on Form 10-K for the year ended December 31, 2025, and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Lucid cannot provide any assurances regarding its ability to effectively apply the net proceeds as described above.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Accordingly, undue reliance should not be placed upon the forward-looking statements.</w:t>
      </w:r>
    </w:p>
    <w:p>
      <w:pPr>
        <w:pStyle w:val="TextBody"/>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8631</Words>
  <Characters>50562</Characters>
  <CharactersWithSpaces>58591</CharactersWithSpaces>
  <Paragraphs>1042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