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PUBLIC INVESTMENT FUND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Lucid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KING ABDULLAH FINANCIAL DISTRICT</w:t>
            </w: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10/30/2024</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(KAFD)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6"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AL AQIQ DISTRICT</w:t>
            </w: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260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2960" w:type="dxa"/>
            <w:vAlign w:val="bottom"/>
            <w:tcBorders>
              <w:bottom w:val="single" w:sz="8" w:color="2C2C2C"/>
            </w:tcBorders>
            <w:gridSpan w:val="6"/>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gridSpan w:val="9"/>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4"/>
          </w:tcPr>
          <w:p>
            <w:pPr>
              <w:ind w:left="420"/>
              <w:spacing w:after="0" w:line="113"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RIYADH</w:t>
            </w: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T0</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13519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gridSpan w:val="2"/>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314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7"/>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220"/>
              <w:spacing w:after="0"/>
              <w:rPr>
                <w:sz w:val="20"/>
                <w:szCs w:val="20"/>
                <w:color w:val="auto"/>
              </w:rPr>
            </w:pPr>
            <w:r>
              <w:rPr>
                <w:rFonts w:ascii="Arial" w:cs="Arial" w:eastAsia="Arial" w:hAnsi="Arial"/>
                <w:sz w:val="12"/>
                <w:szCs w:val="12"/>
                <w:b w:val="1"/>
                <w:bCs w:val="1"/>
                <w:color w:val="auto"/>
                <w:w w:val="99"/>
              </w:rPr>
              <w:t>4. Securities Acquired (A) or Disposed Of</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5"/>
                <w:szCs w:val="15"/>
                <w:color w:val="auto"/>
              </w:rPr>
            </w:pP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  (D) (Instr. 3, 4 and 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8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Ayar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10/30/2024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374,717,927</w:t>
            </w:r>
            <w:r>
              <w:rPr>
                <w:rFonts w:ascii="Times New Roman" w:cs="Times New Roman" w:eastAsia="Times New Roman" w:hAnsi="Times New Roman"/>
                <w:sz w:val="22"/>
                <w:szCs w:val="22"/>
                <w:color w:val="008000"/>
                <w:vertAlign w:val="superscript"/>
              </w:rPr>
              <w:t>(1)(2)(3)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2.591</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2,205,602,291</w:t>
            </w:r>
          </w:p>
        </w:tc>
        <w:tc>
          <w:tcPr>
            <w:tcW w:w="260" w:type="dxa"/>
            <w:vAlign w:val="bottom"/>
          </w:tcPr>
          <w:p>
            <w:pPr>
              <w:spacing w:after="0"/>
              <w:rPr>
                <w:sz w:val="18"/>
                <w:szCs w:val="18"/>
                <w:color w:val="auto"/>
              </w:rPr>
            </w:pPr>
          </w:p>
        </w:tc>
        <w:tc>
          <w:tcPr>
            <w:tcW w:w="540" w:type="dxa"/>
            <w:vAlign w:val="bottom"/>
            <w:vMerge w:val="restart"/>
          </w:tcPr>
          <w:p>
            <w:pPr>
              <w:jc w:val="center"/>
              <w:ind w:right="25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Third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Ayar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10/31/2024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21,470,459</w:t>
            </w:r>
            <w:r>
              <w:rPr>
                <w:rFonts w:ascii="Times New Roman" w:cs="Times New Roman" w:eastAsia="Times New Roman" w:hAnsi="Times New Roman"/>
                <w:sz w:val="22"/>
                <w:szCs w:val="22"/>
                <w:color w:val="008000"/>
                <w:vertAlign w:val="superscript"/>
              </w:rPr>
              <w:t>(1)(2)(3)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2.591</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2,227,072,750</w:t>
            </w:r>
          </w:p>
        </w:tc>
        <w:tc>
          <w:tcPr>
            <w:tcW w:w="260" w:type="dxa"/>
            <w:vAlign w:val="bottom"/>
          </w:tcPr>
          <w:p>
            <w:pPr>
              <w:spacing w:after="0"/>
              <w:rPr>
                <w:sz w:val="18"/>
                <w:szCs w:val="18"/>
                <w:color w:val="auto"/>
              </w:rPr>
            </w:pPr>
          </w:p>
        </w:tc>
        <w:tc>
          <w:tcPr>
            <w:tcW w:w="540" w:type="dxa"/>
            <w:vAlign w:val="bottom"/>
            <w:vMerge w:val="restart"/>
          </w:tcPr>
          <w:p>
            <w:pPr>
              <w:jc w:val="center"/>
              <w:ind w:right="25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Third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gridSpan w:val="3"/>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8,041,393</w:t>
            </w:r>
          </w:p>
        </w:tc>
        <w:tc>
          <w:tcPr>
            <w:tcW w:w="260" w:type="dxa"/>
            <w:vAlign w:val="bottom"/>
          </w:tcPr>
          <w:p>
            <w:pPr>
              <w:spacing w:after="0"/>
              <w:rPr>
                <w:sz w:val="23"/>
                <w:szCs w:val="23"/>
                <w:color w:val="auto"/>
              </w:rPr>
            </w:pPr>
          </w:p>
        </w:tc>
        <w:tc>
          <w:tcPr>
            <w:tcW w:w="540" w:type="dxa"/>
            <w:vAlign w:val="bottom"/>
          </w:tcPr>
          <w:p>
            <w:pPr>
              <w:jc w:val="center"/>
              <w:ind w:right="238"/>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31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4"/>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240" w:type="dxa"/>
            <w:vAlign w:val="bottom"/>
            <w:gridSpan w:val="9"/>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2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PUBLIC INVESTMENT FUND</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KING ABDULLAH FINANCIAL DISTRICT (KAFD)</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 AQIQ DISTRICT</w:t>
            </w: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RIYADH</w:t>
            </w:r>
          </w:p>
        </w:tc>
        <w:tc>
          <w:tcPr>
            <w:tcW w:w="7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T0</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13519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Ayar Third Investment Co</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P.O. BOX 6847</w:t>
            </w: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RIYADH</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T0</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11452</w:t>
            </w:r>
          </w:p>
        </w:tc>
      </w:tr>
      <w:tr>
        <w:trPr>
          <w:trHeight w:val="155"/>
        </w:trPr>
        <w:tc>
          <w:tcPr>
            <w:tcW w:w="4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16, 2024, Lucid Group, Inc. (the "Issuer") announced it had priced an underwritten public offering of 262,446,931 shares of its Class A common stock for aggregate gross proceeds to the Issuer of approximately $680 million (the "Public Offering"). On October 17, 2024, the underwriter in the Public Offering exercised its overallotment option (the "Option") to purchase an additional 15,037,594 shares of common stock in the Public Offering.</w:t>
      </w:r>
    </w:p>
    <w:p>
      <w:pPr>
        <w:spacing w:after="0" w:line="20"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30, 2024, Ayar Third Investment Company ("Ayar") purchased from the Issuer 374,717,927 shares of Issuer Class A common stock in a private placement for an aggregate purchase price of approximately $971 million in a private placement pursuant to a subscription agreement entered into concurrently with the Public Offering. On October 31, 2024, Ayar purchased from the Issuer an additional 21,470,459 shares of Common Stock for aggregate purchase price of approximately $56 million in a private placement in a private placement pursuant to the Subscription Agreement as a result of the underwriter's exercise of the Option.</w:t>
      </w:r>
    </w:p>
    <w:p>
      <w:pPr>
        <w:spacing w:after="0" w:line="24"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464,225,459 shares of Class A Common Stock issuable upon conversion of shares of Series A Convertible Preferred Stock and Series B Convertible Preferred Stock held by Ayar as of the date hereof.</w:t>
      </w:r>
    </w:p>
    <w:p>
      <w:pPr>
        <w:spacing w:after="0" w:line="7" w:lineRule="exact"/>
        <w:rPr>
          <w:rFonts w:ascii="Times New Roman" w:cs="Times New Roman" w:eastAsia="Times New Roman" w:hAnsi="Times New Roman"/>
          <w:sz w:val="13"/>
          <w:szCs w:val="13"/>
          <w:color w:val="008000"/>
        </w:rPr>
      </w:pPr>
    </w:p>
    <w:p>
      <w:pPr>
        <w:ind w:right="4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Ayar is a wholly-owned subsidiary of Public Investment Fund of Saudi Arabia ("PIF"), and as such PIF may be deemed to beneficially own the shares held by Ayar. In addition, each of Turqi A. Alnowaiser and Yasir Alsalman, co-managers of Ayar, may be deemed to beneficially own the shares owned by Ayar by virtue of shared power to vote the shares. Neither Mr. Alnowaiser nor Mr. Alsalman has any, and each and disclaims, any pecuniary interest in the shares.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PIF may be deemed a director by deputization, as Mr. Alnowaiser, an employee of PIF, serves as a representative of Ayar on the Board of Directors of the Issuer.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Public Investment Fund,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0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Yasir O. AlRumayyan,</w:t>
      </w:r>
      <w:r>
        <w:rPr>
          <w:sz w:val="20"/>
          <w:szCs w:val="20"/>
          <w:color w:val="auto"/>
        </w:rPr>
        <w:tab/>
      </w:r>
      <w:r>
        <w:rPr>
          <w:rFonts w:ascii="Times New Roman" w:cs="Times New Roman" w:eastAsia="Times New Roman" w:hAnsi="Times New Roman"/>
          <w:sz w:val="17"/>
          <w:szCs w:val="17"/>
          <w:color w:val="0000FF"/>
        </w:rPr>
        <w:t>11/01/2024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1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Company, /s/ Turqi A.</w:t>
      </w:r>
      <w:r>
        <w:rPr>
          <w:sz w:val="20"/>
          <w:szCs w:val="20"/>
          <w:color w:val="auto"/>
        </w:rPr>
        <w:tab/>
      </w:r>
      <w:r>
        <w:rPr>
          <w:rFonts w:ascii="Times New Roman" w:cs="Times New Roman" w:eastAsia="Times New Roman" w:hAnsi="Times New Roman"/>
          <w:sz w:val="17"/>
          <w:szCs w:val="17"/>
          <w:color w:val="0000FF"/>
        </w:rPr>
        <w:t>11/01/2024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Alnowaiser,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3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3" Type="http://schemas.openxmlformats.org/officeDocument/2006/relationships/hyperlink" Target="http://www.sec.gov/cgi-bin/browse-edgar?action=getcompany&amp;CIK=0001767640" TargetMode="External"/><Relationship Id="rId14" Type="http://schemas.openxmlformats.org/officeDocument/2006/relationships/hyperlink" Target="http://www.sec.gov/cgi-bin/browse-edgar?action=getcompany&amp;CIK=0001811210" TargetMode="External"/><Relationship Id="rId17"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2024-11-04T05:08:38Z</dcterms:created>
  <dcterms:modified xsi:type="dcterms:W3CDTF">2024-11-04T05:08:38Z</dcterms:modified>
</cp:coreProperties>
</file>