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11, 2025</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or Amendment of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7.00% Convertible Senior Notes due 2031</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17, 2025, Lucid Group, Inc. (“</w:t>
      </w:r>
      <w:r>
        <w:rPr>
          <w:rFonts w:ascii="Times New Roman" w:cs="Times New Roman" w:eastAsia="Times New Roman" w:hAnsi="Times New Roman"/>
          <w:sz w:val="18"/>
          <w:szCs w:val="18"/>
          <w:b w:val="1"/>
          <w:bCs w:val="1"/>
          <w:i w:val="1"/>
          <w:iCs w:val="1"/>
          <w:color w:val="auto"/>
        </w:rPr>
        <w:t>Lucid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completed its previously disclosed Rule 144A private offering of $875,000,000 aggregate principal amount of its 7.00% Convertible Senior Notes due 2031 (the “</w:t>
      </w:r>
      <w:r>
        <w:rPr>
          <w:rFonts w:ascii="Times New Roman" w:cs="Times New Roman" w:eastAsia="Times New Roman" w:hAnsi="Times New Roman"/>
          <w:sz w:val="18"/>
          <w:szCs w:val="18"/>
          <w:b w:val="1"/>
          <w:bCs w:val="1"/>
          <w:i w:val="1"/>
          <w:iCs w:val="1"/>
          <w:color w:val="auto"/>
        </w:rPr>
        <w:t>Base Notes</w:t>
      </w:r>
      <w:r>
        <w:rPr>
          <w:rFonts w:ascii="Times New Roman" w:cs="Times New Roman" w:eastAsia="Times New Roman" w:hAnsi="Times New Roman"/>
          <w:sz w:val="18"/>
          <w:szCs w:val="18"/>
          <w:color w:val="auto"/>
        </w:rPr>
        <w:t>”) at an issue price of 100%. Lucid granted the initial purchasers an option to purchase, for settlement within a 13-day period beginning on, and including, the date Lucid first issued the Base Notes, up to an additional $100,000,000 aggregate principal amount of notes, on the same terms and conditions (the “</w:t>
      </w:r>
      <w:r>
        <w:rPr>
          <w:rFonts w:ascii="Times New Roman" w:cs="Times New Roman" w:eastAsia="Times New Roman" w:hAnsi="Times New Roman"/>
          <w:sz w:val="18"/>
          <w:szCs w:val="18"/>
          <w:b w:val="1"/>
          <w:bCs w:val="1"/>
          <w:i w:val="1"/>
          <w:iCs w:val="1"/>
          <w:color w:val="auto"/>
        </w:rPr>
        <w:t>Additional Notes</w:t>
      </w:r>
      <w:r>
        <w:rPr>
          <w:rFonts w:ascii="Times New Roman" w:cs="Times New Roman" w:eastAsia="Times New Roman" w:hAnsi="Times New Roman"/>
          <w:sz w:val="18"/>
          <w:szCs w:val="18"/>
          <w:color w:val="auto"/>
        </w:rPr>
        <w:t>” and, together with the Base Notes,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On November 12, 2025, the initial purchasers elected to exercise the option to purchase the Additional Notes in full, and a total of $975,000,000 aggregate principal amount of notes were issued on November 17, 2025. The notes were offered only to persons reasonably believed to be qualified institutional buyers (as defined in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pursuant to Rule 144A under the Securities Act.</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net proceeds from the offering were approximately $962.4 million, after deducting the initial purchasers’ discounts and commissions and estimated offering expenses. Lucid used the net proceeds from the notes offering to fund repurchases of approximately $755.7 million in aggregate principal amount of its 1.25% Convertible Senior Notes due 2026 (the “</w:t>
      </w:r>
      <w:r>
        <w:rPr>
          <w:rFonts w:ascii="Times New Roman" w:cs="Times New Roman" w:eastAsia="Times New Roman" w:hAnsi="Times New Roman"/>
          <w:sz w:val="18"/>
          <w:szCs w:val="18"/>
          <w:b w:val="1"/>
          <w:bCs w:val="1"/>
          <w:i w:val="1"/>
          <w:iCs w:val="1"/>
          <w:color w:val="auto"/>
        </w:rPr>
        <w:t>2026 notes</w:t>
      </w:r>
      <w:r>
        <w:rPr>
          <w:rFonts w:ascii="Times New Roman" w:cs="Times New Roman" w:eastAsia="Times New Roman" w:hAnsi="Times New Roman"/>
          <w:sz w:val="18"/>
          <w:szCs w:val="18"/>
          <w:color w:val="auto"/>
        </w:rPr>
        <w:t>”) for approximately $752.2 million. Lucid intends to use the remaining net proceeds for general corporate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Indenture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Lucid issued the notes under an indenture, dated as of November 17, 2025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between Lucid and U.S. Bank Trust Company, National Association,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The Indenture (which includes the Form of 7.00% Convertible Senior Notes due 2031 filed as Exhibit 4.2 hereto) is filed as Exhibit 4.1 hereto and is incorporated herein by reference.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bear interest at a rate of 7.00% per annum from and including November 17, 2025, payable semi-annually in arrears on May 1 and November 1 of each year, beginning on May 1, 2026. The notes will mature on November 1, 2031, unless earlier repurchased or redeemed by Lucid or converted in accordance with their terms prior to such date.</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notes will be convertible at an initial conversion rate of 48.0475 shares of Lucid’s Class A common stock, par value $0.0001 per share (“</w:t>
      </w:r>
      <w:r>
        <w:rPr>
          <w:rFonts w:ascii="Times New Roman" w:cs="Times New Roman" w:eastAsia="Times New Roman" w:hAnsi="Times New Roman"/>
          <w:sz w:val="18"/>
          <w:szCs w:val="18"/>
          <w:b w:val="1"/>
          <w:bCs w:val="1"/>
          <w:i w:val="1"/>
          <w:iCs w:val="1"/>
          <w:color w:val="auto"/>
        </w:rPr>
        <w:t>Lucid’s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per $1,000 principal amount of notes, which represents an initial conversion price of approximately $20.81 per share of Lucid’s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which conversion may be settled in cash, shares of Lucid’s common stock or a combination thereof, at Lucid’s election. The conversion rate will be subject to adjustment upon the occurrence of certain specified events, but will not be adjusted for any accrued and unpaid interest. In addition, if a Make-Whole Fundamental Change (as defined in Section 1.01 of the Indenture) occurs, Lucid will, in certain circumstances, increase the conversion rate for any notes converted in connection with such Make-Whole Fundamental Change.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are convertible at the option of the holders (in whole or in part) at any time prior to the close of business on the business day immediately preceding August 1, 2031 only under the following circumstances: (1) during any calendar quarter (and only during such calendar quarter) commencing after the calendar quarter ending on March 31, 2026, if the last reported sale price per share of Lucid’s common stock exceeds 130% of the conversion price for each of at least 20 trading days during the 30 consecutive trading days ending on, and including, the last trading day of the immediately preceding calendar quarter;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Lucid’s common stock on such trading day and the conversion rate on such trading day;</w:t>
      </w:r>
    </w:p>
    <w:p>
      <w:pPr>
        <w:spacing w:after="0" w:line="3" w:lineRule="exact"/>
        <w:rPr>
          <w:sz w:val="20"/>
          <w:szCs w:val="20"/>
          <w:color w:val="auto"/>
        </w:rPr>
      </w:pPr>
    </w:p>
    <w:p>
      <w:pPr>
        <w:jc w:val="both"/>
        <w:ind w:firstLine="8"/>
        <w:spacing w:after="0" w:line="253" w:lineRule="auto"/>
        <w:tabs>
          <w:tab w:leader="none" w:pos="2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corporate events or distributions on Lucid’s common stock as set forth in the Indenture; and (4) if Lucid calls such notes for redemption. From, and including, August 1, 2031 until the close of business on the second scheduled trading day immediately before the maturity date, holders may convert their notes at any time, regardless of the foregoing circumstances. Upon conversion, Lucid will pay or deliver, as the case may be, cash, shares of Lucid’s common stock or a combination of cash and shares of Lucid’s common stock, at Lucid’s election, in amounts determined in the manner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The notes are not redeemable prior to November 6, 2028. Lucid may redeem for cash all or some portion of the notes (subject to a limitation on partial redemption), at Lucid’s option, on or after November 6, 2028 and on or before the 31st scheduled trading day immediately preceding the maturity date, if certain liquidity conditions are satisfied and the last reported sale price of Lucid’s common stock has been at least 130% of the conversion price then in effect for at least 20 trading days (whether or not consecutive) (including the trading day immediately preceding the date on which Lucid provides notice of redemption) during any 30 consecutive trading day period ending on, and including, the trading day immediately preceding the date on which Lucid provides a notice of redemption, at a redemption price equal to 100% of the principal amount of the notes to be redeemed, plus accrued and unpaid interest to, but excluding, the redemption date. No sinking fund is provided for the notes.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Noteholders may require Lucid to repurchase their notes on November 1, 2029 at a cash repurchase price equal to the principal amount of the notes to be repurchased. In addition, if Lucid undergoes a Fundamental Change (as defined in Section 1.01 of the Indenture), except as described in the Indenture, holders may require Lucid to repurchase for cash all or part of their notes in authorized denominations at a purchase price equal to 100% of the principal amount of the notes to be repurchased, plus accrued and unpaid interest to, but excluding, the Fundamental Change repurchase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will be senior unsecured obligations of Lucid and will rank senior in right of payment to any of Lucid’s indebtedness that is expressly subordinated in right of payment to the notes; equal in right of payment to any of Lucid’s unsecured indebtedness that is not so subordinated; effectively subordinated to any of Lucid’s secured indebtedness to the extent of the value of the assets securing such indebtedness; and structurally subordinated to all indebtedness and other liabilities (including trade payables) of Lucid’s subsidiaries.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terms and covenants, including that upon certain events of default, including cross-acceleration to certain other indebtedness of the Company and certain of its subsidiaries, either the Trustee or the holders of not less than 25% in aggregate principal amount of the notes then outstanding may declare the unpaid principal of the notes and accrued and unpaid interest, if any, thereon immediately due and payable. In the case of certain events of bankruptcy, insolvency or reorganization relating to the Company, the principal amount of the notes together with accrued and unpaid interest, if any, thereon will automatically become and be immediately due and payable.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not be listed on any securities exchange.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descriptions of the Indenture and the notes contained herein are qualified in their entirety by reference to the text of the Indenture and the Form of certificate representing the 7.00% Convertible Senior Notes due 2031, which are attached as Exhibits 4.1 and 4.2, respectively, to this Current Report on Form 8-K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Investor Rights Agreement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prepaid forward transaction (as defined below), Lucid entered into an amendment (the “</w:t>
      </w:r>
      <w:r>
        <w:rPr>
          <w:rFonts w:ascii="Times New Roman" w:cs="Times New Roman" w:eastAsia="Times New Roman" w:hAnsi="Times New Roman"/>
          <w:sz w:val="18"/>
          <w:szCs w:val="18"/>
          <w:b w:val="1"/>
          <w:bCs w:val="1"/>
          <w:i w:val="1"/>
          <w:iCs w:val="1"/>
          <w:color w:val="auto"/>
        </w:rPr>
        <w:t>Sixth IRA Amendment</w:t>
      </w:r>
      <w:r>
        <w:rPr>
          <w:rFonts w:ascii="Times New Roman" w:cs="Times New Roman" w:eastAsia="Times New Roman" w:hAnsi="Times New Roman"/>
          <w:sz w:val="18"/>
          <w:szCs w:val="18"/>
          <w:color w:val="auto"/>
        </w:rPr>
        <w:t>”) to the Investor Rights Agreement, dated as of February 22, 2021, by and among the Company, Ayar, and the other parties thereto, as amended from time to time. Pursuant to the Sixth IRA Amendment, Ayar will be entitled to certain registration rights, including demand, piggy-back and shelf registration rights, with respect to</w:t>
      </w:r>
    </w:p>
    <w:p>
      <w:pPr>
        <w:jc w:val="both"/>
        <w:ind w:firstLine="8"/>
        <w:spacing w:after="0" w:line="255" w:lineRule="auto"/>
        <w:tabs>
          <w:tab w:leader="none" w:pos="2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Lucid’s common stock to be delivered to Ayar pursuant to the prepaid forward transaction Ayar entered into in connection with the Company’s private offering of its 5.00% Convertible Senior Notes due 2030 in April 2025 and (ii) the shares of Lucid’s common stock to be delivered to Ayar pursuant to the prepaid forward transaction described under the caption “Ayar Prepaid Forward Transaction” in Item 8.01 below.</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description of the Sixth IRA Amendment does not purport to be complete and is qualified in its entirety by reference to the full text of the Sixth IRA Amendment included as Exhibit 10.1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Off-Balance Sheet Arrangement.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Item 1.01 above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disclosure set forth in Item 1.01 above is incorporated by reference into this Item 3.02. The notes were issued to the initial purchasers in reliance upon Section 4(a)(2) of the Securities Act, in transactions not involving any public offering. The notes were initially resold by the initial purchasers to persons whom the initial purchasers reasonably believe are “qualified institutional buyers,” as defined in, and in accordance with, Rule 144A under the Securities Act. Any shares of Lucid’s common stock that may be issued upon conversion of the notes will be issued in reliance upon Section 3(a)(9) of the Securities Act as involving an exchange by the Company exclusively with its security holders. Initially, a maximum of 57,386,647 shares of Lucid’s common stock may be issued upon conversion of the notes, based on the initial maximum conversion rate of 58.8581 shares of Lucid’s common stock per $1,000 principal amount of notes, which is subject to customary anti-dilution adjustment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12, 2025, the Company issued a press release relating to the pricing of its offering of the notes to qualified institutional buyers pursuant to Rule 144A under the Securities Act. A copy of the press release is attached as Exhibit 99.1 to this Current Report on Form 8-K and is incorporated by reference into this Item 8.01.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2026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11, 2025, contemporaneously with the pricing of the notes, Lucid entered into privately negotiated transactions with certain holders of the 2026 notes to repurchase approximately $755.7 million aggregate principal amount of the 2026 notes on terms that were negotiated with each holder (each, a “</w:t>
      </w:r>
      <w:r>
        <w:rPr>
          <w:rFonts w:ascii="Times New Roman" w:cs="Times New Roman" w:eastAsia="Times New Roman" w:hAnsi="Times New Roman"/>
          <w:sz w:val="18"/>
          <w:szCs w:val="18"/>
          <w:b w:val="1"/>
          <w:bCs w:val="1"/>
          <w:i w:val="1"/>
          <w:iCs w:val="1"/>
          <w:color w:val="auto"/>
        </w:rPr>
        <w:t>note repurchase</w:t>
      </w:r>
      <w:r>
        <w:rPr>
          <w:rFonts w:ascii="Times New Roman" w:cs="Times New Roman" w:eastAsia="Times New Roman" w:hAnsi="Times New Roman"/>
          <w:sz w:val="18"/>
          <w:szCs w:val="18"/>
          <w:color w:val="auto"/>
        </w:rPr>
        <w:t>”), using approximately $752.2 million of the net proceeds of the offering of the notes. The terms of each note repurchase were individually negotiated with each holder of 2026 notes and depended on several factors, including the market price of Lucid’s common stock and the trading price of the 2026 notes at the time of each such note repurchase.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Lucid expects that holders of the 2026 notes that sell their 2026 notes to Lucid in any note repurchase transaction may enter into or unwind various derivatives with respect to Lucid’s common stock and/or purchase or sell shares of Lucid’s common stock in the market to hedge their exposure in connection with these transactions. In particular, Lucid expects that many holders of the 2026 notes employ a convertible arbitrage strategy with respect to the 2026 notes and have a hedge position with respect to Lucid’s common stock that they would close, through purchases of Lucid’s common stock and/or the entry into or unwind of economically equivalent derivatives transactions with respect to Lucid’s common stock, in connection with Lucid’s repurchase of their 2026 notes for cash. This activity could increase (or reduce the size of any decrease in) the market price of Lucid’s common stock or the notes at that time and could result in a higher effective conversion price for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Ayar Prepaid Forward Transaction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notes, Ayar Third Investment Company (“</w:t>
      </w:r>
      <w:r>
        <w:rPr>
          <w:rFonts w:ascii="Times New Roman" w:cs="Times New Roman" w:eastAsia="Times New Roman" w:hAnsi="Times New Roman"/>
          <w:sz w:val="18"/>
          <w:szCs w:val="18"/>
          <w:b w:val="1"/>
          <w:bCs w:val="1"/>
          <w:i w:val="1"/>
          <w:iCs w:val="1"/>
          <w:color w:val="auto"/>
        </w:rPr>
        <w:t>Ayar</w:t>
      </w:r>
      <w:r>
        <w:rPr>
          <w:rFonts w:ascii="Times New Roman" w:cs="Times New Roman" w:eastAsia="Times New Roman" w:hAnsi="Times New Roman"/>
          <w:sz w:val="18"/>
          <w:szCs w:val="18"/>
          <w:color w:val="auto"/>
        </w:rPr>
        <w:t>”), a wholly-owned subsidiary of the Public Investment Fund, the sovereign wealth fund of the Kingdom of Saudi Arabia, entered into a privately negotiated prepaid forward transaction (the “</w:t>
      </w:r>
      <w:r>
        <w:rPr>
          <w:rFonts w:ascii="Times New Roman" w:cs="Times New Roman" w:eastAsia="Times New Roman" w:hAnsi="Times New Roman"/>
          <w:sz w:val="18"/>
          <w:szCs w:val="18"/>
          <w:b w:val="1"/>
          <w:bCs w:val="1"/>
          <w:i w:val="1"/>
          <w:iCs w:val="1"/>
          <w:color w:val="auto"/>
        </w:rPr>
        <w:t>prepaid forward transaction</w:t>
      </w:r>
      <w:r>
        <w:rPr>
          <w:rFonts w:ascii="Times New Roman" w:cs="Times New Roman" w:eastAsia="Times New Roman" w:hAnsi="Times New Roman"/>
          <w:sz w:val="18"/>
          <w:szCs w:val="18"/>
          <w:color w:val="auto"/>
        </w:rPr>
        <w:t>”) with a forward counterparty that is an affiliate of one of the initial purchasers of the notes (the “</w:t>
      </w:r>
      <w:r>
        <w:rPr>
          <w:rFonts w:ascii="Times New Roman" w:cs="Times New Roman" w:eastAsia="Times New Roman" w:hAnsi="Times New Roman"/>
          <w:sz w:val="18"/>
          <w:szCs w:val="18"/>
          <w:b w:val="1"/>
          <w:bCs w:val="1"/>
          <w:i w:val="1"/>
          <w:iCs w:val="1"/>
          <w:color w:val="auto"/>
        </w:rPr>
        <w:t>forward counterparty</w:t>
      </w:r>
      <w:r>
        <w:rPr>
          <w:rFonts w:ascii="Times New Roman" w:cs="Times New Roman" w:eastAsia="Times New Roman" w:hAnsi="Times New Roman"/>
          <w:sz w:val="18"/>
          <w:szCs w:val="18"/>
          <w:color w:val="auto"/>
        </w:rPr>
        <w:t>”), pursuant to which Ayar will purchase approximately $636.7 million of Lucid’s common stock (based on the last reported sale price on The Nasdaq Global Select Market of $16.99 per share of Lucid’s common stock on November 11, 2025) with delivery expected to occur on or about the maturity date for the notes, subject to the ability of the forward counterparty to elect to settle all or a portion of the prepaid forward transaction early. Under the terms of the prepaid forward transaction, subject to the conditions set forth in the agreement governing the prepaid forward transaction, Ayar will have to the option to elect to physically settle or cash settle the prepaid forward transaction. Subject to the conditions set forth in the agreement governing the prepaid forward transaction, the prepaid forward transaction will be settled physically, subject to Ayar’s option to elect cash settlement of the prepaid forward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t>The prepaid forward transaction is generally intended to facilitate privately negotiated derivative transactions, including swaps, between the forward counterparty or its affiliates and investors in the notes relating to Lucid’s common stock by which investors in the notes will hedge their investments in the notes. As a result, the prepaid forward transaction is expected to allow the investors to establish hedge positions that generally correspond to (but may be greater than) commercially reasonable initial hedges of their investment in the notes. In the event of such greater initial hedges, investors may offset such greater portion by purchasing shares of Lucid’s common stock on or shortly after the pricing date of the notes. In connection with establishing their initial hedge of the prepaid forward transaction, the forward counterparty or its affiliates may enter into one or more derivative transactions with respect to Lucid’s common stock with the investors of the notes concurrently with or after the pricing of the notes. None of Lucid, Ayar or the forward counterparty will control how investors of the notes may use such derivative transactions. Any such trades by the forward counterparty or its affiliates would be on a principal basis and without any agreement, arrangement or understanding between, or with, Ayar or Lucid on how those parties would hedge their own positions.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Ayar’s entry into the prepaid forward transaction with the forward counterparty and the entry by the forward counterparty into derivative transactions in respect of Lucid’s common stock with the investors of the notes, particularly if investors purchase shares of Lucid’s common stock on or shortly after the pricing date as described above, could have the effect of increasing (or reducing the size of any decrease in) the market price of Lucid’s common stock concurrently with, or shortly after, the pricing of the notes and effectively raising the initial conversion price of the notes.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such investors may enter into other transactions relating to Lucid’s common stock or the notes in connection with or in addition to such derivative transactions, including the purchase or sale of shares of Lucid’s common stock. As a result, the existence of the prepaid forward transaction, such derivative transactions and any related market activity could cause more purchases or sales of shares of Lucid’s common stock over the term of the prepaid forward transaction than there otherwise would have been had Ayar not entered into the prepaid forward transaction. Such purchases or sales could potentially increase (or reduce the size of any decrease in) or decrease (or reduce the size of any increase in) the market price of Lucid’s common stock and/or the price of the notes.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 counterparty or its affiliates may also modify their hedge positions by entering into or unwinding one or more derivative transactions with respect to Lucid’s common stock and/or purchasing or selling shares of Lucid’s common stock or other securities of Lucid in secondary market transactions at any time following the pricing of the notes and prior to the maturity of the notes. These activities could also cause or avoid an increase or a decrease in the market price of Lucid’s common stock or the notes, which could affect the ability of noteholders to convert the notes and, to the extent the activity occurs following conversion or during any observation period related to a conversion of notes, it could affect the amount and value of the consideration that noteholders will receive upon conversion of the notes.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Lucid is not a party to the prepaid forward transaction. In connection with Ayar agreeing to enter into and fund the prepaid forward transaction, Lucid has agreed to pay a periodic cash fee to Ayar, which shall initially accrue at a rate of 0.5% per annum on the amount of prepaid forward transaction and be recalculated to reflect any early settlement of the prepaid forward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the press release constitutes an offer to sell, or the solicitation of an offer to buy, the notes or the shares of Lucid’s common stock, if any, issuable upon conversion of the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0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0E32E1"/>
              </w:rPr>
              <w:t>Indenture, dated as of November 17, 2025, between Lucid Group, Inc. and U.S. Bank Trust Company, National Association, as trustee.</w:t>
            </w:r>
          </w:p>
        </w:tc>
        <w:tc>
          <w:tcPr>
            <w:tcW w:w="0" w:type="dxa"/>
            <w:vAlign w:val="bottom"/>
          </w:tcPr>
          <w:p>
            <w:pPr>
              <w:spacing w:after="0"/>
              <w:rPr>
                <w:sz w:val="1"/>
                <w:szCs w:val="1"/>
                <w:color w:val="auto"/>
              </w:rPr>
            </w:pPr>
          </w:p>
        </w:tc>
      </w:tr>
      <w:tr>
        <w:trPr>
          <w:trHeight w:val="26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9720" w:type="dxa"/>
            <w:vAlign w:val="bottom"/>
            <w:tcBorders>
              <w:top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rPr>
              <w:t>Form of certificate representing the 7.00% Convertible Senior Notes due 2031 (included as Exhibit A to Exhibit 4.1).</w:t>
            </w:r>
          </w:p>
        </w:tc>
        <w:tc>
          <w:tcPr>
            <w:tcW w:w="2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shd w:val="clear" w:color="auto" w:fill="0E32E1"/>
          </w:tcPr>
          <w:p>
            <w:pPr>
              <w:spacing w:after="0" w:line="20" w:lineRule="exact"/>
              <w:rPr>
                <w:sz w:val="1"/>
                <w:szCs w:val="1"/>
                <w:color w:val="auto"/>
              </w:rPr>
            </w:pPr>
          </w:p>
        </w:tc>
        <w:tc>
          <w:tcPr>
            <w:tcW w:w="2240" w:type="dxa"/>
            <w:vAlign w:val="bottom"/>
            <w:shd w:val="clear" w:color="auto" w:fill="0E32E1"/>
          </w:tcPr>
          <w:p>
            <w:pPr>
              <w:spacing w:after="0" w:line="20" w:lineRule="exact"/>
              <w:rPr>
                <w:sz w:val="1"/>
                <w:szCs w:val="1"/>
                <w:color w:val="auto"/>
              </w:rPr>
            </w:pPr>
          </w:p>
        </w:tc>
        <w:tc>
          <w:tcPr>
            <w:tcW w:w="5460" w:type="dxa"/>
            <w:vAlign w:val="bottom"/>
            <w:shd w:val="clear" w:color="auto" w:fill="0E32E1"/>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74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9"/>
              </w:rPr>
              <w:t>Amendment No. 6 to the Investor Rights Agreement, dated November 11, 2025, between Lucid Group, Inc. and Ayar Third Investment</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74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96"/>
              </w:rPr>
              <w:t>Company.</w:t>
            </w:r>
          </w:p>
        </w:tc>
        <w:tc>
          <w:tcPr>
            <w:tcW w:w="92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0E32E1"/>
              </w:rPr>
              <w:t>Press Release, dated November 12, 2025.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980" w:type="dxa"/>
            <w:vAlign w:val="bottom"/>
            <w:gridSpan w:val="2"/>
            <w:shd w:val="clear" w:color="auto" w:fill="0E32E1"/>
          </w:tcPr>
          <w:p>
            <w:pPr>
              <w:spacing w:after="0" w:line="20" w:lineRule="exact"/>
              <w:rPr>
                <w:sz w:val="1"/>
                <w:szCs w:val="1"/>
                <w:color w:val="auto"/>
              </w:rPr>
            </w:pPr>
          </w:p>
        </w:tc>
        <w:tc>
          <w:tcPr>
            <w:tcW w:w="7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60"/>
        </w:trPr>
        <w:tc>
          <w:tcPr>
            <w:tcW w:w="1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17, 2025</w:t>
      </w:r>
    </w:p>
    <w:p>
      <w:pPr>
        <w:spacing w:after="0" w:line="3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37"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37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70" w:lineRule="exact"/>
        <w:rPr>
          <w:sz w:val="20"/>
          <w:szCs w:val="20"/>
          <w:color w:val="auto"/>
        </w:rPr>
      </w:pPr>
    </w:p>
    <w:p>
      <w:pPr>
        <w:ind w:left="584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Taoufiq Boussaid</w:t>
      </w:r>
    </w:p>
    <w:p>
      <w:pPr>
        <w:spacing w:after="0" w:line="77" w:lineRule="exact"/>
        <w:rPr>
          <w:sz w:val="20"/>
          <w:szCs w:val="20"/>
          <w:color w:val="auto"/>
        </w:rPr>
      </w:pPr>
    </w:p>
    <w:p>
      <w:pPr>
        <w:ind w:left="584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1194435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1211580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1022985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1040130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4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26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188595</wp:posOffset>
            </wp:positionV>
            <wp:extent cx="2108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Dated as of November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205740</wp:posOffset>
            </wp:positionV>
            <wp:extent cx="2108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7.00% Convertible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531495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342900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084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r>
      <w:tr>
        <w:trPr>
          <w:trHeight w:val="229"/>
        </w:trPr>
        <w:tc>
          <w:tcPr>
            <w:tcW w:w="108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72"/>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Article 1 Definitions; Rules of Construction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 Definitions.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1.02. Other Definitions.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1.03. Rules of Construction.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Article 2 The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2.01. Form, Dating and Denominations.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2.02. Execution, Authentication and Delivery.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2.03. Initial Notes and Additional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2.04. Method of Payment.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2.05. Accrual of Interest; Defaulted Amounts; When Payment Date is Not a Business Day.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2.06. Registrar, Paying Agent and Conversion Agent.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2.07. Paying Agent and Conversion Agent to Hold Property in Trust.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2.08. Holder Lists.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2.09. Legends.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2.10. Transfers and Exchanges; Certain Transfer Restrictions.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2.11. Exchange and Cancellation of Notes to Be Converted, Redeemed or Repurchased.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2.12. Replacement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2.13. Registered Holders; Certain Rights with Respect to Global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2.14. Cancellation.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2.15. Notes Held by the Company or its Affiliates.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2.16. Temporary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2.17. Outstanding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2.18. Repurchases by the Company.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2.19. CUSIP and ISIN Numbers.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Article 3 Covenants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3.01. Payment on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3.02. Exchange Act Reports.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3.03. Rule 144A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3.04. Additional Interest.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3.05. Compliance and Default Certificates.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3.06. Stay, Extension and Usury Laws.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Article 4 Repurchase and Redemption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4.01. No Sinking Fund.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4.02. Right of Holders to Require the Company to Repurchase Notes upon a Fundamental Change.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4.03. Right of the Company to Redeem the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0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4.04. Repurchase of Notes by the Company at Option of Holders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 -</w:t>
      </w:r>
    </w:p>
    <w:p>
      <w:pPr>
        <w:sectPr>
          <w:pgSz w:w="11900" w:h="16838" w:orient="portrait"/>
          <w:cols w:equalWidth="0" w:num="1">
            <w:col w:w="11200"/>
          </w:cols>
          <w:pgMar w:left="340" w:top="1413" w:right="359" w:bottom="1440" w:gutter="0" w:footer="0" w:header="0"/>
        </w:sectPr>
      </w:pPr>
    </w:p>
    <w:bookmarkStart w:id="8" w:name="page9"/>
    <w:bookmarkEnd w:id="8"/>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Article 5 Conversion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5.01. Right to Convert.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5.02. Conversion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5.03. Settlement upon Conversion.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5.04. Reserve and Status of Common Stock Issued upon Conversion.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5.05. Adjustments to the Conversion Rate.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5.06. Voluntary Adjustments.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5.07. Adjustments to the Conversion Rate in Connection with a Make-Whole Fundamental Change.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5.08. Exchange in Lieu of Conversion.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5.09. Effect of Common Stock Change Event.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Article 6 Successors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6.01. When the Company May Merge, Etc.</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6.02. Successor Entity Substituted.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6.03. Exclusion for Asset Transfers with Wholly Owned Subsidiaries.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Article 7 Defaults and Remedies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7.02. Acceleration.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7.03. Sole Remedy for a Failure to Report.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7.04. Other Remedies.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7.05. Waiver of Past Defaults.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7.06. Control by Majority.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7.07. Limitation on Suits.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180"/>
        </w:trPr>
        <w:tc>
          <w:tcPr>
            <w:tcW w:w="1018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Section 7.08. Absolute Right of Holders to Institute Suit for the Enforcement of the Right to Receive Payment and Conversion</w:t>
            </w:r>
          </w:p>
        </w:tc>
        <w:tc>
          <w:tcPr>
            <w:tcW w:w="1020" w:type="dxa"/>
            <w:vAlign w:val="bottom"/>
          </w:tcPr>
          <w:p>
            <w:pPr>
              <w:spacing w:after="0"/>
              <w:rPr>
                <w:sz w:val="15"/>
                <w:szCs w:val="15"/>
                <w:color w:val="auto"/>
              </w:rPr>
            </w:pPr>
          </w:p>
        </w:tc>
      </w:tr>
      <w:tr>
        <w:trPr>
          <w:trHeight w:val="238"/>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Consideration.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7.09. Collection Suit by Trustee.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7.10. Trustee May File Proofs of Claim.</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7.11. Priorities.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7.12. Undertaking for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Article 8 Amendments, Supplements and Waivers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8.01. Without the Consent of 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8.02. With the Consent of 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8.03. Notice of Amendments, Supplements and Waivers.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8.04. Revocation, Effect and Solicitation of Consents; Special Record Dates; Etc.</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8.05. Notations and Exchanges.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8.06. Trustee to Execute Supplemental Indentures.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Article 9 Satisfaction and Discharge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9.01. Termination of Company’s Obligations.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9.02. Repayment to Company.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10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9.03. Reinstatement.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ii -</w:t>
      </w:r>
    </w:p>
    <w:p>
      <w:pPr>
        <w:sectPr>
          <w:pgSz w:w="11900" w:h="16838" w:orient="portrait"/>
          <w:cols w:equalWidth="0" w:num="1">
            <w:col w:w="11200"/>
          </w:cols>
          <w:pgMar w:left="340" w:top="1440" w:right="359" w:bottom="1440" w:gutter="0" w:footer="0" w:header="0"/>
        </w:sectPr>
      </w:pPr>
    </w:p>
    <w:bookmarkStart w:id="9" w:name="page10"/>
    <w:bookmarkEnd w:id="9"/>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Trustee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10.01. Duties of the Trustee.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10.02. Rights of the Trustee.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10.03. Individual Rights of the Trustee.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10.04. Trustee’s Disclaimer.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10.05. Notice of Defaults.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10.06. Compensation and Indemnity.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10.07. Replacement of the Trustee.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10.08. Successor Trustee by Merger,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10.09. Eligibility; Disqualification.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Miscellaneous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11.01. 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11.02. Delivery of Officer’s Certificate and Opinion of Counsel as to Conditions Precedent.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11.03. Statements Required in Officer’s Certificate and Opinion of Counsel.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11.04. Rules by the Trustee, the Registrar, the Paying Agent and the Conversion Agent.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11.05. No Personal Liability of Directors, Officers, Employees and Stockholders.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11.06. Governing Law; Waiver of Jury Trial.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11.07. Submission to Jurisdiction.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11.08. No Adverse Interpretation of Other Agreements.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11.09. Successors.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11.10. Force Majeure.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11.11. U.S.A. PATRIOT Act.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11.12. Calculations.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11.13. Severability.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11.14. Counterparts.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11.15. Table of Contents, Headings,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9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11.16. Withholding Taxes.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52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208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45"/>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Form of Note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30"/>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B-1: Form of Restricted Note Legend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30"/>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B-2: Form of Global Note Legend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B2-1</w:t>
            </w:r>
          </w:p>
        </w:tc>
      </w:tr>
      <w:tr>
        <w:trPr>
          <w:trHeight w:val="23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B-3: Form of Non-Affiliate Legend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iii -</w:t>
      </w:r>
    </w:p>
    <w:p>
      <w:pPr>
        <w:sectPr>
          <w:pgSz w:w="11900" w:h="16838" w:orient="portrait"/>
          <w:cols w:equalWidth="0" w:num="1">
            <w:col w:w="11200"/>
          </w:cols>
          <w:pgMar w:left="340" w:top="1440" w:right="359" w:bottom="1440" w:gutter="0" w:footer="0" w:header="0"/>
        </w:sectPr>
      </w:pPr>
    </w:p>
    <w:bookmarkStart w:id="10" w:name="page11"/>
    <w:bookmarkEnd w:id="1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November 17, 2025, between Lucid Group, Inc., a Delaware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U.S.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party to this Indenture (as defined below) agrees as follows for the benefit of the other party and for the equal and ratable benefit of the Holders (as defined below) of the Company’s 7.00%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Article 1</w:t>
      </w:r>
      <w:r>
        <w:rPr>
          <w:sz w:val="20"/>
          <w:szCs w:val="20"/>
          <w:color w:val="auto"/>
        </w:rPr>
        <w:tab/>
      </w:r>
      <w:r>
        <w:rPr>
          <w:rFonts w:ascii="Times New Roman" w:cs="Times New Roman" w:eastAsia="Times New Roman" w:hAnsi="Times New Roman"/>
          <w:sz w:val="17"/>
          <w:szCs w:val="17"/>
          <w:b w:val="1"/>
          <w:bCs w:val="1"/>
          <w:color w:val="auto"/>
        </w:rPr>
        <w:t>DEFINITIONS; RULES OF CONSTRUCTION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xml:space="preserve">” means any interest that accrues on any Note pursuant to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set forth in Rule 144 as in effect on the Issue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Denomination</w:t>
      </w:r>
      <w:r>
        <w:rPr>
          <w:rFonts w:ascii="Times New Roman" w:cs="Times New Roman" w:eastAsia="Times New Roman" w:hAnsi="Times New Roman"/>
          <w:sz w:val="18"/>
          <w:szCs w:val="18"/>
          <w:color w:val="auto"/>
        </w:rPr>
        <w:t>” means, with respect to a Note, a principal amount thereof equal to $1,000 or any integral multiple of $1,000 in excess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xml:space="preserve">” means the Person who is required to obtain bids for the Trading Price in accordance with </w:t>
      </w:r>
      <w:r>
        <w:rPr>
          <w:rFonts w:ascii="Times New Roman" w:cs="Times New Roman" w:eastAsia="Times New Roman" w:hAnsi="Times New Roman"/>
          <w:sz w:val="18"/>
          <w:szCs w:val="18"/>
          <w:b w:val="1"/>
          <w:bCs w:val="1"/>
          <w:color w:val="auto"/>
        </w:rPr>
        <w:t>Section 5.01(C)(i)(2)</w:t>
      </w:r>
      <w:r>
        <w:rPr>
          <w:rFonts w:ascii="Times New Roman" w:cs="Times New Roman" w:eastAsia="Times New Roman" w:hAnsi="Times New Roman"/>
          <w:sz w:val="18"/>
          <w:szCs w:val="18"/>
          <w:color w:val="auto"/>
        </w:rPr>
        <w:t xml:space="preserve"> and the definition of “Trading Price.” The initial Bid Solicitation Agent on the Issue Date will be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appoint any other Person (including any of the Company’s Subsidiaries) to be the Bid Solicitation Agent at any time after the Issue Date without prior notice to the Holders.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on behalf of such board.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any day on which the Federal Reserve Bank of New York is authorized or required by law or executive order to close or be closed.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means the Class A common stock, $0.0001 par value per share, of the Company, subject to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the Person named as such in the first paragraph of this Indenture and, subject to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240"/>
          </w:cols>
          <w:pgMar w:left="320" w:top="1413"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on behalf of the Company by one (1) of its Officers and delivered to the Trustee.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means, with respect to a Note, the first Business Day on which the requirements set forth in </w:t>
      </w:r>
      <w:r>
        <w:rPr>
          <w:rFonts w:ascii="Times New Roman" w:cs="Times New Roman" w:eastAsia="Times New Roman" w:hAnsi="Times New Roman"/>
          <w:sz w:val="18"/>
          <w:szCs w:val="18"/>
          <w:b w:val="1"/>
          <w:bCs w:val="1"/>
          <w:color w:val="auto"/>
        </w:rPr>
        <w:t>Section 5.02(A)</w:t>
      </w:r>
      <w:r>
        <w:rPr>
          <w:rFonts w:ascii="Times New Roman" w:cs="Times New Roman" w:eastAsia="Times New Roman" w:hAnsi="Times New Roman"/>
          <w:sz w:val="18"/>
          <w:szCs w:val="18"/>
          <w:color w:val="auto"/>
        </w:rPr>
        <w:t xml:space="preserve"> to convert such Note are satisfied, subject to </w:t>
      </w:r>
      <w:r>
        <w:rPr>
          <w:rFonts w:ascii="Times New Roman" w:cs="Times New Roman" w:eastAsia="Times New Roman" w:hAnsi="Times New Roman"/>
          <w:sz w:val="18"/>
          <w:szCs w:val="18"/>
          <w:b w:val="1"/>
          <w:bCs w:val="1"/>
          <w:color w:val="auto"/>
        </w:rPr>
        <w:t>Section 5.03(C)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an amount equal to (A) one thousand dollars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Conversion Rate in effect at such time.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xml:space="preserve">” initially means 48.0475 shares of Common Stock per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Conversion Rate is subject to adjustment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whenever this Indenture refers to the Conversion Rate as of a particular date without setting forth a particular time on such date, such reference will be deemed to be to the Conversion Rate immediately after the Close of Business on such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w:t>
      </w:r>
      <w:r>
        <w:rPr>
          <w:rFonts w:ascii="Times New Roman" w:cs="Times New Roman" w:eastAsia="Times New Roman" w:hAnsi="Times New Roman"/>
          <w:sz w:val="18"/>
          <w:szCs w:val="18"/>
          <w:color w:val="auto"/>
        </w:rPr>
        <w:t>” means any share of Common Stock issued or issuable upon conversion of any Note.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Cash Amount</w:t>
      </w:r>
      <w:r>
        <w:rPr>
          <w:rFonts w:ascii="Times New Roman" w:cs="Times New Roman" w:eastAsia="Times New Roman" w:hAnsi="Times New Roman"/>
          <w:sz w:val="18"/>
          <w:szCs w:val="18"/>
          <w:color w:val="auto"/>
        </w:rPr>
        <w:t>” means, with respect to any VWAP Trading Day, the lesser of (A) the applicable Daily Maximum Cash Amount; and (B) the Daily Conversion Value for such VWAP Trading Day.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with respect to any VWAP Trading Day, one-thirtieth (1/30th) of the product of (A) the Conversion Rate on such VWAP Trading Day; and (B) the Daily VWAP per share of Common Stock on such VWAP Trading Day.</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Maximum Cash Amount</w:t>
      </w:r>
      <w:r>
        <w:rPr>
          <w:rFonts w:ascii="Times New Roman" w:cs="Times New Roman" w:eastAsia="Times New Roman" w:hAnsi="Times New Roman"/>
          <w:sz w:val="18"/>
          <w:szCs w:val="18"/>
          <w:color w:val="auto"/>
        </w:rPr>
        <w:t>” means, with respect to the conversion of any Note, the quotient obtained by dividing (A) the Specified Dollar Amount applicable to such conversion by (B) thirty (30).</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Share Amount</w:t>
      </w:r>
      <w:r>
        <w:rPr>
          <w:rFonts w:ascii="Times New Roman" w:cs="Times New Roman" w:eastAsia="Times New Roman" w:hAnsi="Times New Roman"/>
          <w:sz w:val="18"/>
          <w:szCs w:val="18"/>
          <w:color w:val="auto"/>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VWAP Trading Day, the per share volume-weighted average price of the Common Stock as displayed under the heading “Bloomberg VWAP” on Bloomberg page “LCID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240"/>
          </w:cols>
          <w:pgMar w:left="320" w:top="1413"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passage of time or both, would be) an Event of Default.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Settlement Method</w:t>
      </w:r>
      <w:r>
        <w:rPr>
          <w:rFonts w:ascii="Times New Roman" w:cs="Times New Roman" w:eastAsia="Times New Roman" w:hAnsi="Times New Roman"/>
          <w:sz w:val="18"/>
          <w:szCs w:val="18"/>
          <w:color w:val="auto"/>
        </w:rPr>
        <w:t xml:space="preserve">” means Physical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the Company may, from time to time, change the Default Settlement Method by (x) sending notice of the new Default Settlement Method to the Holders, the Trustee and the Conversion Agent and (y) by disclosing the new Default Settlement Method on its website or in a Current Report on Form 8-K (or any successor form) that is filed with, or furnished to, the SEC; and (B) the Default Settlement Method will be subject to </w:t>
      </w:r>
      <w:r>
        <w:rPr>
          <w:rFonts w:ascii="Times New Roman" w:cs="Times New Roman" w:eastAsia="Times New Roman" w:hAnsi="Times New Roman"/>
          <w:sz w:val="18"/>
          <w:szCs w:val="18"/>
          <w:b w:val="1"/>
          <w:bCs w:val="1"/>
          <w:color w:val="auto"/>
        </w:rPr>
        <w:t>Section 5.03(A)(ii)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The Depository Trust Company or its successor.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Participant</w:t>
      </w:r>
      <w:r>
        <w:rPr>
          <w:rFonts w:ascii="Times New Roman" w:cs="Times New Roman" w:eastAsia="Times New Roman" w:hAnsi="Times New Roman"/>
          <w:sz w:val="18"/>
          <w:szCs w:val="18"/>
          <w:color w:val="auto"/>
        </w:rPr>
        <w:t>” means any member of, or participant in, the Depositary.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Procedures</w:t>
      </w:r>
      <w:r>
        <w:rPr>
          <w:rFonts w:ascii="Times New Roman" w:cs="Times New Roman" w:eastAsia="Times New Roman" w:hAnsi="Times New Roman"/>
          <w:sz w:val="18"/>
          <w:szCs w:val="18"/>
          <w:color w:val="auto"/>
        </w:rPr>
        <w:t>” means, with respect to any conversion, transfer, exchange or transaction involving a Global Note or any beneficial interest therein, the rules and procedures of the Depositary applicable to such conversion, transfer, exchange or transaction.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xml:space="preserve">” means any Fundamental Change with respect to which, in accordance with </w:t>
      </w:r>
      <w:r>
        <w:rPr>
          <w:rFonts w:ascii="Times New Roman" w:cs="Times New Roman" w:eastAsia="Times New Roman" w:hAnsi="Times New Roman"/>
          <w:sz w:val="18"/>
          <w:szCs w:val="18"/>
          <w:b w:val="1"/>
          <w:bCs w:val="1"/>
          <w:color w:val="auto"/>
        </w:rPr>
        <w:t>Section 4.02(I)</w:t>
      </w:r>
      <w:r>
        <w:rPr>
          <w:rFonts w:ascii="Times New Roman" w:cs="Times New Roman" w:eastAsia="Times New Roman" w:hAnsi="Times New Roman"/>
          <w:sz w:val="18"/>
          <w:szCs w:val="18"/>
          <w:color w:val="auto"/>
        </w:rPr>
        <w:t>, the Company does not offer to repurchase any Notes.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means, with respect to any natural person, the spouse, domestic partner, parents, grandparents, lineal descendants, siblings and lineal descendants of siblings of such natural person. For purposes of this definition, lineal descendants include adopted persons, but only if such adopted persons were adopted while a minor.</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Freely Tradable</w:t>
      </w:r>
      <w:r>
        <w:rPr>
          <w:rFonts w:ascii="Times New Roman" w:cs="Times New Roman" w:eastAsia="Times New Roman" w:hAnsi="Times New Roman"/>
          <w:sz w:val="18"/>
          <w:szCs w:val="18"/>
          <w:color w:val="auto"/>
        </w:rPr>
        <w:t>” means, with respect to any security of the Company, that such security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any such requirement as to the availability of current public information will be disregarded if the same is satisfied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240"/>
          </w:cols>
          <w:pgMar w:left="320" w:top="1413"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means any of the following events:</w:t>
      </w:r>
    </w:p>
    <w:p>
      <w:pPr>
        <w:spacing w:after="0" w:line="229" w:lineRule="exact"/>
        <w:rPr>
          <w:sz w:val="20"/>
          <w:szCs w:val="20"/>
          <w:color w:val="auto"/>
        </w:rPr>
      </w:pPr>
    </w:p>
    <w:p>
      <w:pPr>
        <w:jc w:val="both"/>
        <w:ind w:firstLine="656"/>
        <w:spacing w:after="0" w:line="261" w:lineRule="auto"/>
        <w:tabs>
          <w:tab w:leader="none" w:pos="112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(within the meaning of Section 13(d)(3) of the Exchange Act), other than the (w) Company, (x) its Wholly Owned Subsidiaries, (y) their respective employee benefit plans or (z) any Permitted Party or any “person” or “group” consisting solely of Permitted Parties, files any report with the SEC indicating that such person or group has become the direct or indirect “beneficial owner” (as defined below) of shares of the Common Stock representing more than fifty percent (50%) of the voting power of all of the Company’s then-outstanding Common Stock;</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08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w:t>
      </w:r>
    </w:p>
    <w:p>
      <w:pPr>
        <w:jc w:val="both"/>
        <w:ind w:firstLine="8"/>
        <w:spacing w:after="0" w:line="251" w:lineRule="auto"/>
        <w:tabs>
          <w:tab w:leader="none" w:pos="2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 any plan or proposal for the liquidation or dissolution of the Company;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3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ceases to be listed on any of The New York Stock Exchange, The Nasdaq Global Select Market, The Nasdaq Global Market or The Nasdaq Capital Market (or any of their respective successors);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event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will not constitute a Fundamental Change if at least ninety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(90%) of the consideration received or to be received by the holders of Common Stock (excluding cash payments for fractional shares or pursuant to dissenters rights), in connection with such transaction or event, consists of shares of common stock listed on any of The New York Stock Exchange, The Nasdaq Global Select Market, The Nasdaq Global Market or The Nasdaq Capital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transaction in which the Common Stock is replaced by the securities of another entity occurs, following completion of any related Make-Whole Fundamental Change Conversion Period (or, in the case of a transaction that would have been a Fundamental Change or a Make-Whole Fundamental Change but for the proviso to the immediately preceding paragraph, following the effective date of such transaction), references to the Company for purposes of this definition shall instead be references to such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240"/>
          </w:cols>
          <w:pgMar w:left="320" w:top="1413" w:right="339" w:bottom="1440" w:gutter="0" w:footer="0" w:header="0"/>
        </w:sectPr>
      </w:pPr>
    </w:p>
    <w:bookmarkStart w:id="14" w:name="page15"/>
    <w:bookmarkEnd w:id="14"/>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the purposes of this definition, (x) any transaction or event described in both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b w:val="1"/>
          <w:bCs w:val="1"/>
          <w:color w:val="auto"/>
        </w:rPr>
        <w:t>clause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above (without regard to the proviso in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will be deemed to occur solely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(subject to such proviso); and (y) whether a Person is a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whether shares are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and percentage beneficial ownership, will be determined in accordance with Rule 13d-3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means the date fixed for the repurchase of any Notes by the Company pursuant to a Repurchase Upon Fundamental Change.</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xml:space="preserve">” means a notice (including a notice substantially in the form of the “Fundamental Change Repurchase Notice”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containing the information, or otherwise complying with the requirements, set forth in </w:t>
      </w:r>
      <w:r>
        <w:rPr>
          <w:rFonts w:ascii="Times New Roman" w:cs="Times New Roman" w:eastAsia="Times New Roman" w:hAnsi="Times New Roman"/>
          <w:sz w:val="18"/>
          <w:szCs w:val="18"/>
          <w:b w:val="1"/>
          <w:bCs w:val="1"/>
          <w:color w:val="auto"/>
        </w:rPr>
        <w:t>Section 4.02(F)(i)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4.02(F)(ii)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means the cash price payable by the Company to repurchase any Note upon its Repurchase Upon Fundamental Change, calculated pursuant to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Global Note</w:t>
      </w:r>
      <w:r>
        <w:rPr>
          <w:rFonts w:ascii="Times New Roman" w:cs="Times New Roman" w:eastAsia="Times New Roman" w:hAnsi="Times New Roman"/>
          <w:sz w:val="17"/>
          <w:szCs w:val="17"/>
          <w:color w:val="auto"/>
        </w:rPr>
        <w:t xml:space="preserve">” means a Note that is represented by a certificate substantially in the form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registered in the name of the Depositary or its nominee, duly executed by the Company and authenticated by the Trustee, and deposited with the Trustee, as custodian for the Depositary.</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person in whose name a Note is registered on the Registrar’s books.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means the Initial Purchasers set forth in Schedule A to the Purchase Agreement.</w:t>
      </w:r>
    </w:p>
    <w:p>
      <w:pPr>
        <w:spacing w:after="0" w:line="225"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Interest Payment Date</w:t>
      </w:r>
      <w:r>
        <w:rPr>
          <w:rFonts w:ascii="Times New Roman" w:cs="Times New Roman" w:eastAsia="Times New Roman" w:hAnsi="Times New Roman"/>
          <w:sz w:val="17"/>
          <w:szCs w:val="17"/>
          <w:color w:val="auto"/>
        </w:rPr>
        <w:t>” means, with respect to a Note, each May 1 and November 1 of each year, commencing on May 1, 2026 (or commencing on such other date specified in the certificate representing such Note). For the avoidance of doubt, the Maturity Date is an Interest Payment Date.</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November 17, 2025.</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Original Issue Date</w:t>
      </w:r>
      <w:r>
        <w:rPr>
          <w:rFonts w:ascii="Times New Roman" w:cs="Times New Roman" w:eastAsia="Times New Roman" w:hAnsi="Times New Roman"/>
          <w:sz w:val="18"/>
          <w:szCs w:val="18"/>
          <w:color w:val="auto"/>
        </w:rPr>
        <w:t xml:space="preserve">” means (A) with respect to any Notes issued pursuant to the Purchase Agreement (including any Notes issued pursuant to the exercise of the Shoe Option by the Initial Purchasers), and any Notes issued in exchange therefor or in substitution thereof, the later of (i) the Issue Date and (ii) the last date any Notes are originally issued pursuant to the exercise of the Shoe Option; and (B) with respect to any Notes issued pursuant to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 and any Notes issued in exchange therefor or in substitution thereof, either (i) the later of (x) the date such Notes are originally issued and</w:t>
      </w:r>
    </w:p>
    <w:p>
      <w:pPr>
        <w:spacing w:after="0" w:line="3" w:lineRule="exact"/>
        <w:rPr>
          <w:sz w:val="20"/>
          <w:szCs w:val="20"/>
          <w:color w:val="auto"/>
        </w:rPr>
      </w:pPr>
    </w:p>
    <w:p>
      <w:pPr>
        <w:jc w:val="both"/>
        <w:ind w:firstLine="8"/>
        <w:spacing w:after="0" w:line="255" w:lineRule="auto"/>
        <w:tabs>
          <w:tab w:leader="none" w:pos="2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240"/>
          </w:cols>
          <w:pgMar w:left="320" w:top="1413" w:right="3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Initial Purchasers. Neither the Trustee nor the Conversion Agent will have any duty to determine the Last Reported Sale Price.</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Liquidity Conditions</w:t>
      </w:r>
      <w:r>
        <w:rPr>
          <w:rFonts w:ascii="Times New Roman" w:cs="Times New Roman" w:eastAsia="Times New Roman" w:hAnsi="Times New Roman"/>
          <w:sz w:val="18"/>
          <w:szCs w:val="18"/>
          <w:color w:val="auto"/>
        </w:rPr>
        <w:t xml:space="preserve">” with respect to the Redemption of any Notes will be satisfied if each of the following has been satisfied as of the Redemption Notice Date for such Redemption and is reasonably expected to continue to be satisfied through at least the thirtieth (30th) calendar day after the Redemption Date for such Redemption: (A) the Company has satisfied the reporting conditions set forth in Rule 144(c) and Rule 144(i)(2) under the Securities Act; and (B) the shares of Common Stock, if any, issued or issuable upon conversion of the Notes are Freely Tradable;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Liquidity Conditions will also be deemed to be satisfied with respect to such Redemption if, in accordance with </w:t>
      </w:r>
      <w:r>
        <w:rPr>
          <w:rFonts w:ascii="Times New Roman" w:cs="Times New Roman" w:eastAsia="Times New Roman" w:hAnsi="Times New Roman"/>
          <w:sz w:val="18"/>
          <w:szCs w:val="18"/>
          <w:b w:val="1"/>
          <w:bCs w:val="1"/>
          <w:color w:val="auto"/>
        </w:rPr>
        <w:t>Section 5.03(A)(i)(3)</w:t>
      </w:r>
      <w:r>
        <w:rPr>
          <w:rFonts w:ascii="Times New Roman" w:cs="Times New Roman" w:eastAsia="Times New Roman" w:hAnsi="Times New Roman"/>
          <w:sz w:val="18"/>
          <w:szCs w:val="18"/>
          <w:color w:val="auto"/>
        </w:rPr>
        <w:t>, the Company has elected to settle all conversions of Notes with a Conversion Date that occurs during the related Redemption Conversion Period by Cash Settlement.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xml:space="preserve">” means (A) a Fundamental Change (determined after giving effect to the proviso immediately after </w:t>
      </w:r>
      <w:r>
        <w:rPr>
          <w:rFonts w:ascii="Times New Roman" w:cs="Times New Roman" w:eastAsia="Times New Roman" w:hAnsi="Times New Roman"/>
          <w:sz w:val="18"/>
          <w:szCs w:val="18"/>
          <w:b w:val="1"/>
          <w:bCs w:val="1"/>
          <w:color w:val="auto"/>
        </w:rPr>
        <w:t>clause</w:t>
      </w:r>
    </w:p>
    <w:p>
      <w:pPr>
        <w:spacing w:after="0" w:line="31" w:lineRule="exact"/>
        <w:rPr>
          <w:sz w:val="20"/>
          <w:szCs w:val="20"/>
          <w:color w:val="auto"/>
        </w:rPr>
      </w:pPr>
    </w:p>
    <w:p>
      <w:pPr>
        <w:jc w:val="both"/>
        <w:ind w:firstLine="8"/>
        <w:spacing w:after="0" w:line="253" w:lineRule="auto"/>
        <w:tabs>
          <w:tab w:leader="none" w:pos="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of the definition thereof, but without regard to the proviso to </w:t>
      </w:r>
      <w:r>
        <w:rPr>
          <w:rFonts w:ascii="Times New Roman" w:cs="Times New Roman" w:eastAsia="Times New Roman" w:hAnsi="Times New Roman"/>
          <w:sz w:val="18"/>
          <w:szCs w:val="18"/>
          <w:b w:val="1"/>
          <w:bCs w:val="1"/>
          <w:color w:val="auto"/>
        </w:rPr>
        <w:t>clause (B)(ii)</w:t>
      </w:r>
      <w:r>
        <w:rPr>
          <w:rFonts w:ascii="Times New Roman" w:cs="Times New Roman" w:eastAsia="Times New Roman" w:hAnsi="Times New Roman"/>
          <w:sz w:val="18"/>
          <w:szCs w:val="18"/>
          <w:color w:val="auto"/>
        </w:rPr>
        <w:t xml:space="preserve"> of such definition); or (B) the sending of a Redemption Notice pursuant to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subject to</w:t>
      </w:r>
      <w:r>
        <w:rPr>
          <w:rFonts w:ascii="Times New Roman" w:cs="Times New Roman" w:eastAsia="Times New Roman" w:hAnsi="Times New Roman"/>
          <w:sz w:val="18"/>
          <w:szCs w:val="18"/>
          <w:b w:val="1"/>
          <w:bCs w:val="1"/>
          <w:color w:val="auto"/>
        </w:rPr>
        <w:t xml:space="preserve"> Section 4.03(J)</w:t>
      </w:r>
      <w:r>
        <w:rPr>
          <w:rFonts w:ascii="Times New Roman" w:cs="Times New Roman" w:eastAsia="Times New Roman" w:hAnsi="Times New Roman"/>
          <w:sz w:val="18"/>
          <w:szCs w:val="18"/>
          <w:color w:val="auto"/>
        </w:rPr>
        <w:t>, the sending of a Redemption Notice will constitute a Make-Whole Fundamental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Change only with respect to the Notes called (or deemed called pursuant to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 for Redemption pursuant to such Redemption Notice and not with respect to any other Notes.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Conversion Period</w:t>
      </w:r>
      <w:r>
        <w:rPr>
          <w:rFonts w:ascii="Times New Roman" w:cs="Times New Roman" w:eastAsia="Times New Roman" w:hAnsi="Times New Roman"/>
          <w:sz w:val="18"/>
          <w:szCs w:val="18"/>
          <w:color w:val="auto"/>
        </w:rPr>
        <w:t>” has the following meaning:</w:t>
      </w:r>
    </w:p>
    <w:p>
      <w:pPr>
        <w:spacing w:after="0" w:line="229" w:lineRule="exact"/>
        <w:rPr>
          <w:sz w:val="20"/>
          <w:szCs w:val="20"/>
          <w:color w:val="auto"/>
        </w:rPr>
      </w:pPr>
    </w:p>
    <w:p>
      <w:pPr>
        <w:jc w:val="both"/>
        <w:ind w:firstLine="656"/>
        <w:spacing w:after="0" w:line="261" w:lineRule="auto"/>
        <w:tabs>
          <w:tab w:leader="none" w:pos="11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Make-Whole Fundamental Change pursuant to clause (A) of the definition thereof, the period from, and including, the Make-Whole Fundamental Change Effective Date of such Make-Whole Fundamental Change to, and including, the thirty-fifth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17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Make-Whole Fundamental Change pursuant to clause (B) of the definition thereof, the related Redemption Conversion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Conversion Date for the conversion of a Note that is called (or deemed,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 to be called)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Redemption occurs during the Make-Whole Fundamental Change Conversion Period for both a Make-Whole Fundamental Change occurring pursuant to </w:t>
      </w:r>
      <w:r>
        <w:rPr>
          <w:rFonts w:ascii="Times New Roman" w:cs="Times New Roman" w:eastAsia="Times New Roman" w:hAnsi="Times New Roman"/>
          <w:sz w:val="18"/>
          <w:szCs w:val="18"/>
          <w:b w:val="1"/>
          <w:bCs w:val="1"/>
          <w:color w:val="auto"/>
        </w:rPr>
        <w:t xml:space="preserve">clause (A) </w:t>
      </w:r>
      <w:r>
        <w:rPr>
          <w:rFonts w:ascii="Times New Roman" w:cs="Times New Roman" w:eastAsia="Times New Roman" w:hAnsi="Times New Roman"/>
          <w:sz w:val="18"/>
          <w:szCs w:val="18"/>
          <w:color w:val="auto"/>
        </w:rPr>
        <w:t>of the definition of “Make-Whole Fundamental Change” and a Make-Whole Fundamental Change resulting from such Redemption pursuant to</w:t>
      </w:r>
      <w:r>
        <w:rPr>
          <w:rFonts w:ascii="Times New Roman" w:cs="Times New Roman" w:eastAsia="Times New Roman" w:hAnsi="Times New Roman"/>
          <w:sz w:val="18"/>
          <w:szCs w:val="18"/>
          <w:b w:val="1"/>
          <w:bCs w:val="1"/>
          <w:color w:val="auto"/>
        </w:rPr>
        <w:t xml:space="preserve"> clause (B) </w:t>
      </w:r>
      <w:r>
        <w:rPr>
          <w:rFonts w:ascii="Times New Roman" w:cs="Times New Roman" w:eastAsia="Times New Roman" w:hAnsi="Times New Roman"/>
          <w:sz w:val="18"/>
          <w:szCs w:val="18"/>
          <w:color w:val="auto"/>
        </w:rPr>
        <w:t>of such definition, then, notwithstanding anything to the contrary in</w:t>
      </w:r>
      <w:r>
        <w:rPr>
          <w:rFonts w:ascii="Times New Roman" w:cs="Times New Roman" w:eastAsia="Times New Roman" w:hAnsi="Times New Roman"/>
          <w:sz w:val="18"/>
          <w:szCs w:val="18"/>
          <w:b w:val="1"/>
          <w:bCs w:val="1"/>
          <w:color w:val="auto"/>
        </w:rPr>
        <w:t xml:space="preserve"> Section 5.07</w:t>
      </w:r>
      <w:r>
        <w:rPr>
          <w:rFonts w:ascii="Times New Roman" w:cs="Times New Roman" w:eastAsia="Times New Roman" w:hAnsi="Times New Roman"/>
          <w:sz w:val="18"/>
          <w:szCs w:val="18"/>
          <w:color w:val="auto"/>
        </w:rPr>
        <w:t>, solely for purposes of such conversion, (x) such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240"/>
          </w:cols>
          <w:pgMar w:left="320" w:top="1413" w:right="339" w:bottom="1440" w:gutter="0" w:footer="0" w:header="0"/>
        </w:sectPr>
      </w:pPr>
    </w:p>
    <w:bookmarkStart w:id="16" w:name="page17"/>
    <w:bookmarkEnd w:id="1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Effective Date</w:t>
      </w:r>
      <w:r>
        <w:rPr>
          <w:rFonts w:ascii="Times New Roman" w:cs="Times New Roman" w:eastAsia="Times New Roman" w:hAnsi="Times New Roman"/>
          <w:sz w:val="18"/>
          <w:szCs w:val="18"/>
          <w:color w:val="auto"/>
        </w:rPr>
        <w:t xml:space="preserve">” means (A) with respect to a Make-Whole Fundamental Change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the date on which such Make-Whole Fundamental Change occurs or becomes effective; and (B) with respect to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the applicable Redemption Notice Date.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November 1, 2031.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Non-Affiliate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Agent</w:t>
      </w:r>
      <w:r>
        <w:rPr>
          <w:rFonts w:ascii="Times New Roman" w:cs="Times New Roman" w:eastAsia="Times New Roman" w:hAnsi="Times New Roman"/>
          <w:sz w:val="18"/>
          <w:szCs w:val="18"/>
          <w:color w:val="auto"/>
        </w:rPr>
        <w:t>” means any Registrar, Paying Agent or Conversion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means the 7.00% Convertible Senior Notes due 2031 issued by the Company pursuant to this Indenture.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xml:space="preserve">” means, with respect to any Note to be converted, (A)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below, if the Conversion Date for such Note occurs before August 1, 2031, the thirty (30) consecutive VWAP Trading Days beginning on, and including, the second (2nd) VWAP Trading Day immediately after such Conversion Date; (B) if such Conversion Date occurs during a Redemption Conversion Period, the thirty (30) consecutive VWAP Trading Days beginning on, and including, the thirty-first (31st) Scheduled Trading Day immediately before the related Redemption Date; and (C)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if such Conversion Date occurs on or after August 1, 2031, the thirty (30) consecutive VWAP Trading Days beginning on, and including, the thirty-first (31st) Scheduled Trading Day immediately before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240"/>
          </w:cols>
          <w:pgMar w:left="320" w:top="1413" w:right="339" w:bottom="1440" w:gutter="0" w:footer="0" w:header="0"/>
        </w:sectPr>
      </w:pPr>
    </w:p>
    <w:bookmarkStart w:id="17" w:name="page18"/>
    <w:bookmarkEnd w:id="1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Chairman of the Board of Directors, the Chief Executive Officer, the President, the Chief Operating Officer, the Chief Financial Officer, the Treasurer, any Assistant Treasurer, the Controller, the Secretary or any Vice-President of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xml:space="preserve">” means a certificate that is signed on behalf of the Company by one (1) of its Officers and that meets the requirements of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xml:space="preserve">” means an opinion, from legal counsel (including an employee of, or counsel to, the Company or any of its Subsidiaries) reasonably acceptable to the Trustee, that meets the requirements of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subject to customary qualifications and exclusions.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Repurchase Notice</w:t>
      </w:r>
      <w:r>
        <w:rPr>
          <w:rFonts w:ascii="Times New Roman" w:cs="Times New Roman" w:eastAsia="Times New Roman" w:hAnsi="Times New Roman"/>
          <w:sz w:val="18"/>
          <w:szCs w:val="18"/>
          <w:color w:val="auto"/>
        </w:rPr>
        <w:t xml:space="preserve">” means a notice (including a notice substantially in the form of the “Optional Repurchase Notice”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containing the information, or otherwise complying with the requirements, set forth in</w:t>
      </w:r>
      <w:r>
        <w:rPr>
          <w:rFonts w:ascii="Times New Roman" w:cs="Times New Roman" w:eastAsia="Times New Roman" w:hAnsi="Times New Roman"/>
          <w:sz w:val="18"/>
          <w:szCs w:val="18"/>
          <w:b w:val="1"/>
          <w:bCs w:val="1"/>
          <w:color w:val="auto"/>
        </w:rPr>
        <w:t xml:space="preserve"> Section 4.04(E)(i)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Section 4.04(E)(ii)</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Party</w:t>
      </w:r>
      <w:r>
        <w:rPr>
          <w:rFonts w:ascii="Times New Roman" w:cs="Times New Roman" w:eastAsia="Times New Roman" w:hAnsi="Times New Roman"/>
          <w:sz w:val="18"/>
          <w:szCs w:val="18"/>
          <w:color w:val="auto"/>
        </w:rPr>
        <w:t>” means Ayar Third Investment Company, the Public Investment Fund or any of their respective Affiliates. If any such Permitted Party is a natural person, “Permitted Party” shall include: (i) a Permitted Trust of such person that is solely for the benefit of (1) such person; (2) one or more Family Members of such person; or (3) any other Permitted Party that is an Affiliate of such person; or (ii) any general partnership, limited partnership, limited liability company, corporation or other entity exclusively owned by (1) such person; (2) one or more Family Members of such person; or (3) any other Permitted Party that is an Affiliate of such person.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Trust</w:t>
      </w:r>
      <w:r>
        <w:rPr>
          <w:rFonts w:ascii="Times New Roman" w:cs="Times New Roman" w:eastAsia="Times New Roman" w:hAnsi="Times New Roman"/>
          <w:sz w:val="18"/>
          <w:szCs w:val="18"/>
          <w:color w:val="auto"/>
        </w:rPr>
        <w:t>” of a person means a bona fide trust where each trustee is (i) such person; (ii) a Family Member of such person; or (iii) a professional in the business of providing trustee services, including private professional fiduciaries, trust companies and bank trust departments, acting in such capacity.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w:t>
      </w:r>
      <w:r>
        <w:rPr>
          <w:rFonts w:ascii="Times New Roman" w:cs="Times New Roman" w:eastAsia="Times New Roman" w:hAnsi="Times New Roman"/>
          <w:sz w:val="18"/>
          <w:szCs w:val="18"/>
          <w:color w:val="auto"/>
        </w:rPr>
        <w:t xml:space="preserve">” means a Note (other than a Global Note) that is represented by a certificate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registered in the name of the Holder of such Note and duly executed by the Company and authenticated by the Trustee.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that certain Purchase Agreement, dated November 11, 2025, between the Company and Citigroup Global Markets Inc., Goldman Sachs &amp; Co. LLC and BofA Securities, Inc., as representatives of the several Initial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240"/>
          </w:cols>
          <w:pgMar w:left="320" w:top="1413"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Conversion Period</w:t>
      </w:r>
      <w:r>
        <w:rPr>
          <w:rFonts w:ascii="Times New Roman" w:cs="Times New Roman" w:eastAsia="Times New Roman" w:hAnsi="Times New Roman"/>
          <w:sz w:val="18"/>
          <w:szCs w:val="18"/>
          <w:color w:val="auto"/>
        </w:rPr>
        <w:t>” means, with respect to any Redemption, the period from, and including, the related Redemption Notice Date until the Close of Business on the second (2nd) Scheduled Trading Day immediately before the related Redemption Date (or, if the Company fails to pay the Redemption Price due on such Redemption Date in full, until such time as the Company pays such Redemption Price in full).</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means the date fixed, pursuant to </w:t>
      </w:r>
      <w:r>
        <w:rPr>
          <w:rFonts w:ascii="Times New Roman" w:cs="Times New Roman" w:eastAsia="Times New Roman" w:hAnsi="Times New Roman"/>
          <w:sz w:val="18"/>
          <w:szCs w:val="18"/>
          <w:b w:val="1"/>
          <w:bCs w:val="1"/>
          <w:color w:val="auto"/>
        </w:rPr>
        <w:t>Section 4.03(E)</w:t>
      </w:r>
      <w:r>
        <w:rPr>
          <w:rFonts w:ascii="Times New Roman" w:cs="Times New Roman" w:eastAsia="Times New Roman" w:hAnsi="Times New Roman"/>
          <w:sz w:val="18"/>
          <w:szCs w:val="18"/>
          <w:color w:val="auto"/>
        </w:rPr>
        <w:t>, for the settlement of the repurchase of any Notes by the Company pursuant to a Redemption.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 Date</w:t>
      </w:r>
      <w:r>
        <w:rPr>
          <w:rFonts w:ascii="Times New Roman" w:cs="Times New Roman" w:eastAsia="Times New Roman" w:hAnsi="Times New Roman"/>
          <w:sz w:val="18"/>
          <w:szCs w:val="18"/>
          <w:color w:val="auto"/>
        </w:rPr>
        <w:t xml:space="preserve">” means, with respect to a Redemption, the date on which the Company sends the Redemption Notice for such Redemption pursuant to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the cash price payable by the Company to redeem any Note upon its Redemption, calculated pursuant to </w:t>
      </w:r>
      <w:r>
        <w:rPr>
          <w:rFonts w:ascii="Times New Roman" w:cs="Times New Roman" w:eastAsia="Times New Roman" w:hAnsi="Times New Roman"/>
          <w:sz w:val="18"/>
          <w:szCs w:val="18"/>
          <w:b w:val="1"/>
          <w:bCs w:val="1"/>
          <w:color w:val="auto"/>
        </w:rPr>
        <w:t>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4.03(F)</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has the following meaning with respect to an Interest Payment Date: (A) if such Interest Payment Date occurs on May 1, the immediately preceding April 15; and (B) if such Interest Payment Date occurs on November 1, the immediately preceding October 15.</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Repurchase Upon Fundamental Change</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(A) any officer within the corporate trust department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in each case, who will have direct responsibility for the administration of this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Note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Legend</w:t>
      </w:r>
      <w:r>
        <w:rPr>
          <w:rFonts w:ascii="Times New Roman" w:cs="Times New Roman" w:eastAsia="Times New Roman" w:hAnsi="Times New Roman"/>
          <w:sz w:val="18"/>
          <w:szCs w:val="18"/>
          <w:color w:val="auto"/>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12b-25</w:t>
      </w:r>
      <w:r>
        <w:rPr>
          <w:rFonts w:ascii="Times New Roman" w:cs="Times New Roman" w:eastAsia="Times New Roman" w:hAnsi="Times New Roman"/>
          <w:sz w:val="18"/>
          <w:szCs w:val="18"/>
          <w:color w:val="auto"/>
        </w:rPr>
        <w:t>” means Rule 12b-25 under the Exchange Act (or any successor rule thereto), as the same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under the Securities Act (or any successor rule thereto), as the same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240"/>
          </w:cols>
          <w:pgMar w:left="320" w:top="1413"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under the Securities Act (or any successor rule thereto), as the same may be amended from time to time.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any Note or Conversion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Cash Settlement, Physical Settlement or Combination Settlement.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Shoe Option</w:t>
      </w:r>
      <w:r>
        <w:rPr>
          <w:rFonts w:ascii="Times New Roman" w:cs="Times New Roman" w:eastAsia="Times New Roman" w:hAnsi="Times New Roman"/>
          <w:sz w:val="18"/>
          <w:szCs w:val="18"/>
          <w:color w:val="auto"/>
        </w:rPr>
        <w:t>” means the Initial Purchasers’ option to purchase up to one hundred million dollars ($100,000,000) aggregate principal amount of additional Notes as provided for in the Purchase Agreement, which option was exercised in full by the Initial Purchasers for settlement on the date hereof.</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xml:space="preserve">” means, with respect to any Person, any Subsidiary of such Person that constitutes a “significant subsidiary” (as defined in Rule 1-02(w) of Regulation S-X under the Exchange Act)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a Subsidiary that meets the criteria of clause (1)(iii) of the definition thereof, but not clause (1)(i) or (1)(ii) thereof, such Subsidiary will not be deemed to be a Significant Subsidiary of such Person unless the Subsidiary’s income or loss from continuing operations before income taxes (after intercompany eliminations) for the most recently completed fiscal year prior to the date of such determination exceeds fifty million dollars ($50,000,000) (with such amount calculated pursuant to such rule). For purposes of this definition, Rule 1-02(w) of Regulation S-X refers to such rule as in effect on the Issue Date.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w:t>
      </w:r>
      <w:r>
        <w:rPr>
          <w:rFonts w:ascii="Times New Roman" w:cs="Times New Roman" w:eastAsia="Times New Roman" w:hAnsi="Times New Roman"/>
          <w:sz w:val="18"/>
          <w:szCs w:val="18"/>
          <w:color w:val="auto"/>
        </w:rPr>
        <w:t xml:space="preserve">” means any interest that accrues on any Note pursuant to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means, with respect to the conversion of a Note to which Combination Settlement applies, the maximum cash amount per $1,000 principal amount of such Note deliverable upon such conversion (excluding cash in lieu of any fractional share of Common Stock).</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 w:cs="Times New Roman" w:eastAsia="Times New Roman" w:hAnsi="Times New Roman"/>
          <w:sz w:val="18"/>
          <w:szCs w:val="18"/>
          <w:b w:val="1"/>
          <w:bCs w:val="1"/>
          <w:color w:val="auto"/>
        </w:rPr>
        <w:t xml:space="preserve">clause (B) </w:t>
      </w:r>
      <w:r>
        <w:rPr>
          <w:rFonts w:ascii="Times New Roman" w:cs="Times New Roman" w:eastAsia="Times New Roman" w:hAnsi="Times New Roman"/>
          <w:sz w:val="18"/>
          <w:szCs w:val="18"/>
          <w:color w:val="auto"/>
        </w:rPr>
        <w:t>of the definition of “Fundamental Change,” then the Stock Price is the amount of cash paid per share of Common Stock in such Make-Whole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240"/>
          </w:cols>
          <w:pgMar w:left="320" w:top="1413" w:right="339" w:bottom="1440" w:gutter="0" w:footer="0" w:header="0"/>
        </w:sectPr>
      </w:pPr>
    </w:p>
    <w:bookmarkStart w:id="20" w:name="page21"/>
    <w:bookmarkEnd w:id="2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xml:space="preserve">” of the Notes on any Trading Day means the average of the secondary market bid quotations, expressed as a cash amount per $1,000 principal amount of Notes, obtained by the Bid Solicitation Agent for two million dollars ($2,000,000)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two million dollars ($2,000,000)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240"/>
          </w:cols>
          <w:pgMar w:left="320" w:top="1413"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Transfer-Restricted Security</w:t>
      </w:r>
      <w:r>
        <w:rPr>
          <w:rFonts w:ascii="Times New Roman" w:cs="Times New Roman" w:eastAsia="Times New Roman" w:hAnsi="Times New Roman"/>
          <w:sz w:val="18"/>
          <w:szCs w:val="18"/>
          <w:color w:val="auto"/>
        </w:rPr>
        <w:t xml:space="preserve">” means any Security that constitutes a “restricted security” (as defined in Rule 144);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will cease to be a Transfer-Restricted Security upon the earliest to occur of the following events:</w:t>
      </w:r>
    </w:p>
    <w:p>
      <w:pPr>
        <w:spacing w:after="0" w:line="207" w:lineRule="exact"/>
        <w:rPr>
          <w:sz w:val="20"/>
          <w:szCs w:val="20"/>
          <w:color w:val="auto"/>
        </w:rPr>
      </w:pPr>
    </w:p>
    <w:p>
      <w:pPr>
        <w:jc w:val="both"/>
        <w:ind w:firstLine="656"/>
        <w:spacing w:after="0" w:line="266" w:lineRule="auto"/>
        <w:tabs>
          <w:tab w:leader="none" w:pos="11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sold or otherwise transferred to a Person (other than the Company or an Affiliate of the Company or a Person that was an Affiliate of the Company in the three months immediately preceding) pursuant to a registration statement that was effective under the Securities Act at the time of such sale or transfer;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sold or otherwise transferred to a Person (other than the Company or an Affiliate of the Company or a Person that was an Affiliate of the Company in the three months immediately preceding)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is under no obligation to determine whether any Security is a Transfer-Restricted Security and may conclusively rely on an Officer’s Certificate with respect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U.S. Trust Indenture Act of 1939,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such in the first paragraph of this Indenture until a successor replaces it in accordance with the provisions of this Indenture and, thereafter, means such successor.</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Market Disruption Event</w:t>
      </w:r>
      <w:r>
        <w:rPr>
          <w:rFonts w:ascii="Times New Roman" w:cs="Times New Roman" w:eastAsia="Times New Roman" w:hAnsi="Times New Roman"/>
          <w:sz w:val="18"/>
          <w:szCs w:val="18"/>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240"/>
          </w:cols>
          <w:pgMar w:left="320" w:top="141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1.02. Other Definitions.</w:t>
            </w:r>
          </w:p>
        </w:tc>
        <w:tc>
          <w:tcPr>
            <w:tcW w:w="1860" w:type="dxa"/>
            <w:vAlign w:val="bottom"/>
          </w:tcPr>
          <w:p>
            <w:pPr>
              <w:spacing w:after="0"/>
              <w:rPr>
                <w:sz w:val="20"/>
                <w:szCs w:val="20"/>
                <w:color w:val="auto"/>
              </w:rPr>
            </w:pPr>
          </w:p>
        </w:tc>
      </w:tr>
      <w:tr>
        <w:trPr>
          <w:trHeight w:val="486"/>
        </w:trPr>
        <w:tc>
          <w:tcPr>
            <w:tcW w:w="9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Term</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Defined in Section</w:t>
            </w:r>
          </w:p>
        </w:tc>
      </w:tr>
      <w:tr>
        <w:trPr>
          <w:trHeight w:val="27"/>
        </w:trPr>
        <w:tc>
          <w:tcPr>
            <w:tcW w:w="9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4"/>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Shares”</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5.07(A)</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Combination Event”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6.01(A)</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Settlement”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5.03(A)</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“Combination Settlement”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5.03(A)</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Change Event”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“Company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4.04(D)</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“Conversion Agent”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“Conversion Consideration”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5.03(B)</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“Default Interest”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2.05(B)</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“Defaulted Amount”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2.05(B)</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“Event of Default”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7.01(A)</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“Expiration Time”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“Fundamental Change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4.02(E)</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“Fundamental Change Repurchase Right”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4.02(A)</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“Initial Notes”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2.03(A)</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5.01(C)(i)(2)</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“Optional Repurchase”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4.04(A)</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“Optional Repurchase Date”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4.04(A)</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“Optional Repurchase Price”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4.04(C)</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“Optional Repurchase Right”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4.04(A)</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“Partial Redemption Limitation”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4.03(C)</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“Paying Agent”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“Physical Settlement”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5.03(A)</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“Redemption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4.03(G)</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“Reference Property”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“Reference Property Unit”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“Register”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2.06(B)</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“Registrar”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“Reporting Event of Default”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7.03(A)</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“Specified Courts”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“Spin-Off”</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5.05(A)(iii)(2)</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“Spin-Off Valuation Period”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5.05(A)(iii)(2)</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“Stated Interest”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2.05(A)</w:t>
            </w:r>
          </w:p>
        </w:tc>
      </w:tr>
      <w:tr>
        <w:trPr>
          <w:trHeight w:val="229"/>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“Successor Entity”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6.01(A)</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“Successor Person”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“Tender/Exchange Offer Valuation Period”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38"/>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“Trading Price Condition”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5.01(C)(i)(2)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240"/>
          </w:cols>
          <w:pgMar w:left="320" w:top="1413" w:right="339" w:bottom="1440" w:gutter="0" w:footer="0" w:header="0"/>
        </w:sectPr>
      </w:pPr>
    </w:p>
    <w:bookmarkStart w:id="23" w:name="page24"/>
    <w:bookmarkEnd w:id="23"/>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1.03. Rules of Construction.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Indenture:</w:t>
      </w:r>
    </w:p>
    <w:p>
      <w:pPr>
        <w:spacing w:after="0" w:line="225"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expresses a command;</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a set of numerical values refers to the arithmetic average of such numerical values;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17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unless the context requires otherwise;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and not to any particular Article, Section or other subdivision of this Indenture, unless the context requires otherwise;</w:t>
      </w:r>
    </w:p>
    <w:p>
      <w:pPr>
        <w:spacing w:after="0" w:line="16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currency mean the lawful currency of the United States of America, unless the context requires otherwise;</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schedules and other attachments to this Indenture are deemed to form part of this Indenture; and</w:t>
      </w:r>
    </w:p>
    <w:p>
      <w:pPr>
        <w:spacing w:after="0" w:line="221" w:lineRule="exact"/>
        <w:rPr>
          <w:rFonts w:ascii="Times New Roman" w:cs="Times New Roman" w:eastAsia="Times New Roman" w:hAnsi="Times New Roman"/>
          <w:sz w:val="18"/>
          <w:szCs w:val="18"/>
          <w:color w:val="auto"/>
        </w:rPr>
      </w:pPr>
    </w:p>
    <w:p>
      <w:pPr>
        <w:ind w:right="20" w:firstLine="656"/>
        <w:spacing w:after="0" w:line="286" w:lineRule="auto"/>
        <w:tabs>
          <w:tab w:leader="none" w:pos="10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when used with respect to a Note, includes any Additional Interest, Default Interest and Special Interest, unless the context requires otherwise.</w:t>
      </w:r>
    </w:p>
    <w:p>
      <w:pPr>
        <w:spacing w:after="0" w:line="168"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Article 2</w:t>
        <w:tab/>
        <w:t>THE NOTES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2.01. Form, Dating and Denominations.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 Notes and the Trustee’s certificate of authentication will be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Notes will bear the legends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and may bear notations, legends or endorsements required by law, stock exchange rule or usage or the Depositary. Each Note will be dated as of the date of its authentication.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240"/>
          </w:cols>
          <w:pgMar w:left="320" w:top="1440"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The Notes will be issuable only in registered form without interest coupons and only in Authorized Denominations.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certificate representing a Note will bear a unique registration number that is not affixed to any other certificate representing another outstanding Note.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any provision of any Note conflicts with the provisions of this Indenture, the provisions of this Indenture will control for purposes of this Indenture and such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2.02. Execution, Authentication and Delivery.</w:t>
      </w:r>
    </w:p>
    <w:p>
      <w:pPr>
        <w:spacing w:after="0" w:line="227" w:lineRule="exact"/>
        <w:rPr>
          <w:sz w:val="20"/>
          <w:szCs w:val="20"/>
          <w:color w:val="auto"/>
        </w:rPr>
      </w:pPr>
    </w:p>
    <w:p>
      <w:pPr>
        <w:jc w:val="both"/>
        <w:ind w:firstLine="656"/>
        <w:spacing w:after="0" w:line="267" w:lineRule="auto"/>
        <w:tabs>
          <w:tab w:leader="none" w:pos="10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Execution by the Company</w:t>
      </w:r>
      <w:r>
        <w:rPr>
          <w:rFonts w:ascii="Times New Roman" w:cs="Times New Roman" w:eastAsia="Times New Roman" w:hAnsi="Times New Roman"/>
          <w:sz w:val="18"/>
          <w:szCs w:val="18"/>
          <w:color w:val="auto"/>
        </w:rPr>
        <w:t>. At least one (1) duly authorized Officer will sign the Notes on behalf of the Company by manual, facsimile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electronic signature. A Note’s validity will not be affected by the failure of any Officer whose signature is on any Note to hold, at the time such Note is authenticated, the same or any other office at the Company.</w:t>
      </w:r>
    </w:p>
    <w:p>
      <w:pPr>
        <w:spacing w:after="0" w:line="17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 by the Trustee and Delivery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7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80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cs="Times New Roman" w:eastAsia="Times New Roman" w:hAnsi="Times New Roman"/>
          <w:sz w:val="18"/>
          <w:szCs w:val="18"/>
          <w:b w:val="1"/>
          <w:bCs w:val="1"/>
          <w:color w:val="auto"/>
        </w:rPr>
        <w:t>Section 2.02(A)</w:t>
      </w:r>
      <w:r>
        <w:rPr>
          <w:rFonts w:ascii="Times New Roman" w:cs="Times New Roman" w:eastAsia="Times New Roman" w:hAnsi="Times New Roman"/>
          <w:sz w:val="18"/>
          <w:szCs w:val="18"/>
          <w:color w:val="auto"/>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Initial Notes and Additional Notes.</w:t>
      </w:r>
    </w:p>
    <w:p>
      <w:pPr>
        <w:spacing w:after="0" w:line="227" w:lineRule="exact"/>
        <w:rPr>
          <w:sz w:val="20"/>
          <w:szCs w:val="20"/>
          <w:color w:val="auto"/>
        </w:rPr>
      </w:pPr>
    </w:p>
    <w:p>
      <w:pPr>
        <w:jc w:val="both"/>
        <w:ind w:firstLine="656"/>
        <w:spacing w:after="0" w:line="267" w:lineRule="auto"/>
        <w:tabs>
          <w:tab w:leader="none" w:pos="10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Notes</w:t>
      </w:r>
      <w:r>
        <w:rPr>
          <w:rFonts w:ascii="Times New Roman" w:cs="Times New Roman" w:eastAsia="Times New Roman" w:hAnsi="Times New Roman"/>
          <w:sz w:val="18"/>
          <w:szCs w:val="18"/>
          <w:color w:val="auto"/>
        </w:rPr>
        <w:t>. On the Issue Date, there will be originally issued nine hundred seventy five million dollars ($975,000,000)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of Notes, subject to the provisions of this Indenture (including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Notes issued pursuant to this </w:t>
      </w:r>
      <w:r>
        <w:rPr>
          <w:rFonts w:ascii="Times New Roman" w:cs="Times New Roman" w:eastAsia="Times New Roman" w:hAnsi="Times New Roman"/>
          <w:sz w:val="18"/>
          <w:szCs w:val="18"/>
          <w:b w:val="1"/>
          <w:bCs w:val="1"/>
          <w:color w:val="auto"/>
        </w:rPr>
        <w:t>Section 2.03(A)</w:t>
      </w:r>
      <w:r>
        <w:rPr>
          <w:rFonts w:ascii="Times New Roman" w:cs="Times New Roman" w:eastAsia="Times New Roman" w:hAnsi="Times New Roman"/>
          <w:sz w:val="18"/>
          <w:szCs w:val="18"/>
          <w:color w:val="auto"/>
        </w:rPr>
        <w:t>, and any Notes issued in exchange therefor or in substitution thereof, are referred to in this Indenture as the “</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6"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1240"/>
          </w:cols>
          <w:pgMar w:left="320" w:top="1417" w:right="339" w:bottom="1440" w:gutter="0" w:footer="0" w:header="0"/>
        </w:sectPr>
      </w:pPr>
    </w:p>
    <w:bookmarkStart w:id="25" w:name="page26"/>
    <w:bookmarkEnd w:id="25"/>
    <w:p>
      <w:pPr>
        <w:jc w:val="both"/>
        <w:ind w:firstLine="656"/>
        <w:spacing w:after="0" w:line="256" w:lineRule="auto"/>
        <w:tabs>
          <w:tab w:leader="none" w:pos="10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Without the consent of any Holder, the Company may, subject to the provisions of this Indenture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originally issue additional Notes with the same terms as the Initial Notes (except, to the extent applicable, with respect to the date as of which interest begins to accrue on such additional Notes, the first Interest Payment Date of such additional Notes, the Last Original Issue Date of such additional Notes and transfer restrictions applicable to such additional Notes), which additional Notes will, subject to the foregoing, be considered to be part of the same series of, and rank equally and ratably with all other, Notes issued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additional Notes are not fungible with other Notes issued under this Indenture for U.S. federal income tax or U.S. federal securities law purposes, then such additional Notes will be identified by one or more separate CUSIP numbers or by no CUSIP number.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2.04. Method of Payment.</w:t>
      </w:r>
    </w:p>
    <w:p>
      <w:pPr>
        <w:spacing w:after="0" w:line="227" w:lineRule="exact"/>
        <w:rPr>
          <w:sz w:val="20"/>
          <w:szCs w:val="20"/>
          <w:color w:val="auto"/>
        </w:rPr>
      </w:pPr>
    </w:p>
    <w:p>
      <w:pPr>
        <w:jc w:val="both"/>
        <w:ind w:firstLine="656"/>
        <w:spacing w:after="0" w:line="261" w:lineRule="auto"/>
        <w:tabs>
          <w:tab w:leader="none" w:pos="11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The Company will pay, or cause the Paying Agent to pay, the principal (whether due upon maturity on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on a Redemption Date, repurchase on a Fundamental Change Repurchase Date, repurchase on an Optional Repurchase Date or otherwise) of, interest on, and any cash Conversion Consideration for, any Global Note to the Depositary by wire transfer of immediately available funds no later than the time the same is due as provided in this Indenture.</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1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The Company will pay, or cause the Paying Agent to pay, the principal (whether due upon maturity on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on a Redemption Date, repurchase on a Fundamental Change Repurchase Date, repurchase on an Optional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specified in such request,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240"/>
          </w:cols>
          <w:pgMar w:left="320" w:top="14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Section 2.05. Accrual of Interest; Defaulted Amounts; When Payment Date is Not a Business Day.</w:t>
      </w:r>
    </w:p>
    <w:p>
      <w:pPr>
        <w:spacing w:after="0" w:line="225" w:lineRule="exact"/>
        <w:rPr>
          <w:sz w:val="20"/>
          <w:szCs w:val="20"/>
          <w:color w:val="auto"/>
        </w:rPr>
      </w:pPr>
    </w:p>
    <w:p>
      <w:pPr>
        <w:jc w:val="both"/>
        <w:ind w:firstLine="656"/>
        <w:spacing w:after="0" w:line="254" w:lineRule="auto"/>
        <w:tabs>
          <w:tab w:leader="none" w:pos="11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Accrual of Interest</w:t>
      </w:r>
      <w:r>
        <w:rPr>
          <w:rFonts w:ascii="Times New Roman" w:cs="Times New Roman" w:eastAsia="Times New Roman" w:hAnsi="Times New Roman"/>
          <w:sz w:val="18"/>
          <w:szCs w:val="18"/>
          <w:color w:val="auto"/>
        </w:rPr>
        <w:t>. Each Note will accrue interest at a rate per annum equal to 7.00% (the “</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 plus any Default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Interest and Special Interest that may accrue pursuant to </w:t>
      </w:r>
      <w:r>
        <w:rPr>
          <w:rFonts w:ascii="Times New Roman" w:cs="Times New Roman" w:eastAsia="Times New Roman" w:hAnsi="Times New Roman"/>
          <w:sz w:val="18"/>
          <w:szCs w:val="18"/>
          <w:b w:val="1"/>
          <w:bCs w:val="1"/>
          <w:color w:val="auto"/>
        </w:rPr>
        <w:t>Section 2.05(B)</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b w:val="1"/>
          <w:bCs w:val="1"/>
          <w:color w:val="auto"/>
        </w:rPr>
        <w:t>3.04</w:t>
      </w:r>
      <w:r>
        <w:rPr>
          <w:rFonts w:ascii="Times New Roman" w:cs="Times New Roman" w:eastAsia="Times New Roman" w:hAnsi="Times New Roman"/>
          <w:sz w:val="18"/>
          <w:szCs w:val="18"/>
          <w:color w:val="auto"/>
        </w:rPr>
        <w:t xml:space="preserve"> and Section </w:t>
      </w:r>
      <w:r>
        <w:rPr>
          <w:rFonts w:ascii="Times New Roman" w:cs="Times New Roman" w:eastAsia="Times New Roman" w:hAnsi="Times New Roman"/>
          <w:sz w:val="18"/>
          <w:szCs w:val="18"/>
          <w:b w:val="1"/>
          <w:bCs w:val="1"/>
          <w:color w:val="auto"/>
        </w:rPr>
        <w:t>7.03</w:t>
      </w:r>
      <w:r>
        <w:rPr>
          <w:rFonts w:ascii="Times New Roman" w:cs="Times New Roman" w:eastAsia="Times New Roman" w:hAnsi="Times New Roman"/>
          <w:sz w:val="18"/>
          <w:szCs w:val="18"/>
          <w:color w:val="auto"/>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 w:cs="Times New Roman" w:eastAsia="Times New Roman" w:hAnsi="Times New Roman"/>
          <w:sz w:val="18"/>
          <w:szCs w:val="18"/>
          <w:b w:val="1"/>
          <w:bCs w:val="1"/>
          <w:color w:val="auto"/>
        </w:rPr>
        <w:t>Sections 4.02(D)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4.03(F),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4.04(C)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5.02(D) </w:t>
      </w:r>
      <w:r>
        <w:rPr>
          <w:rFonts w:ascii="Times New Roman" w:cs="Times New Roman" w:eastAsia="Times New Roman" w:hAnsi="Times New Roman"/>
          <w:sz w:val="18"/>
          <w:szCs w:val="18"/>
          <w:color w:val="auto"/>
        </w:rPr>
        <w:t>(but without duplication of any payment of interest), payable semi-annually in arrears on each Interest Payment Date, beginning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0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Defaulted Amounts</w:t>
      </w:r>
      <w:r>
        <w:rPr>
          <w:rFonts w:ascii="Times New Roman" w:cs="Times New Roman" w:eastAsia="Times New Roman" w:hAnsi="Times New Roman"/>
          <w:sz w:val="18"/>
          <w:szCs w:val="18"/>
          <w:color w:val="auto"/>
        </w:rPr>
        <w:t>. If the Company fails to pay any amount (a “</w:t>
      </w:r>
      <w:r>
        <w:rPr>
          <w:rFonts w:ascii="Times New Roman" w:cs="Times New Roman" w:eastAsia="Times New Roman" w:hAnsi="Times New Roman"/>
          <w:sz w:val="18"/>
          <w:szCs w:val="18"/>
          <w:b w:val="1"/>
          <w:bCs w:val="1"/>
          <w:color w:val="auto"/>
        </w:rPr>
        <w:t>Defaulted Amount</w:t>
      </w:r>
      <w:r>
        <w:rPr>
          <w:rFonts w:ascii="Times New Roman" w:cs="Times New Roman" w:eastAsia="Times New Roman" w:hAnsi="Times New Roman"/>
          <w:sz w:val="18"/>
          <w:szCs w:val="18"/>
          <w:color w:val="auto"/>
        </w:rPr>
        <w:t>”) payable on a Note on or before the due date therefor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 For the avoidance of doubt, if any Defaulted Amounts, together with any Default Interest thereon, are paid to Holders in accordance with the terms of this Indenture prior to (i) the expiration of any applicable grace period with respect to the Default in the relevant payment as set forth in </w:t>
      </w:r>
      <w:r>
        <w:rPr>
          <w:rFonts w:ascii="Times New Roman" w:cs="Times New Roman" w:eastAsia="Times New Roman" w:hAnsi="Times New Roman"/>
          <w:sz w:val="18"/>
          <w:szCs w:val="18"/>
          <w:b w:val="1"/>
          <w:bCs w:val="1"/>
          <w:color w:val="auto"/>
        </w:rPr>
        <w:t>Section 7.01</w:t>
      </w:r>
      <w:r>
        <w:rPr>
          <w:rFonts w:ascii="Times New Roman" w:cs="Times New Roman" w:eastAsia="Times New Roman" w:hAnsi="Times New Roman"/>
          <w:sz w:val="18"/>
          <w:szCs w:val="18"/>
          <w:color w:val="auto"/>
        </w:rPr>
        <w:t xml:space="preserve"> or (ii) if later, the delivery of any notice of acceleration pursuant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7.02(B) </w:t>
      </w:r>
      <w:r>
        <w:rPr>
          <w:rFonts w:ascii="Times New Roman" w:cs="Times New Roman" w:eastAsia="Times New Roman" w:hAnsi="Times New Roman"/>
          <w:sz w:val="18"/>
          <w:szCs w:val="18"/>
          <w:color w:val="auto"/>
        </w:rPr>
        <w:t>with respect to the Event of Default relating to such Default in the relevant payment, such Default or Event of Default pursuant to</w:t>
      </w:r>
      <w:r>
        <w:rPr>
          <w:rFonts w:ascii="Times New Roman" w:cs="Times New Roman" w:eastAsia="Times New Roman" w:hAnsi="Times New Roman"/>
          <w:sz w:val="18"/>
          <w:szCs w:val="18"/>
          <w:b w:val="1"/>
          <w:bCs w:val="1"/>
          <w:color w:val="auto"/>
        </w:rPr>
        <w:t xml:space="preserve"> Section 7.02(B) </w:t>
      </w:r>
      <w:r>
        <w:rPr>
          <w:rFonts w:ascii="Times New Roman" w:cs="Times New Roman" w:eastAsia="Times New Roman" w:hAnsi="Times New Roman"/>
          <w:sz w:val="18"/>
          <w:szCs w:val="18"/>
          <w:color w:val="auto"/>
        </w:rPr>
        <w:t xml:space="preserve">shall be deemed cured and the Notes shall not be subject to acceleration pursuant to </w:t>
      </w:r>
      <w:r>
        <w:rPr>
          <w:rFonts w:ascii="Times New Roman" w:cs="Times New Roman" w:eastAsia="Times New Roman" w:hAnsi="Times New Roman"/>
          <w:sz w:val="18"/>
          <w:szCs w:val="18"/>
          <w:b w:val="1"/>
          <w:bCs w:val="1"/>
          <w:color w:val="auto"/>
        </w:rPr>
        <w:t>Section 7.02</w:t>
      </w:r>
      <w:r>
        <w:rPr>
          <w:rFonts w:ascii="Times New Roman" w:cs="Times New Roman" w:eastAsia="Times New Roman" w:hAnsi="Times New Roman"/>
          <w:sz w:val="18"/>
          <w:szCs w:val="18"/>
          <w:color w:val="auto"/>
        </w:rPr>
        <w:t xml:space="preserve"> on account of such Default or Event of Default.</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10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 of Payment when Payment Date is Not a Business Day</w:t>
      </w:r>
      <w:r>
        <w:rPr>
          <w:rFonts w:ascii="Times New Roman" w:cs="Times New Roman" w:eastAsia="Times New Roman" w:hAnsi="Times New Roman"/>
          <w:sz w:val="18"/>
          <w:szCs w:val="18"/>
          <w:color w:val="auto"/>
        </w:rPr>
        <w:t>. If the due date for a payment on a Note as provided in this Indenture is not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 then, notwithstanding anything to the contrary in this Indenture or the Notes, such payment may be made on the immediately following Business Day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1240"/>
          </w:cols>
          <w:pgMar w:left="320" w:top="14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Section 2.06. Registrar, Paying Agent and Conversion Agent.</w:t>
      </w:r>
    </w:p>
    <w:p>
      <w:pPr>
        <w:spacing w:after="0" w:line="227" w:lineRule="exact"/>
        <w:rPr>
          <w:sz w:val="20"/>
          <w:szCs w:val="20"/>
          <w:color w:val="auto"/>
        </w:rPr>
      </w:pPr>
    </w:p>
    <w:p>
      <w:pPr>
        <w:jc w:val="both"/>
        <w:ind w:firstLine="656"/>
        <w:spacing w:after="0" w:line="255" w:lineRule="auto"/>
        <w:tabs>
          <w:tab w:leader="none" w:pos="10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maintain (i) an office or agency in the continental United States where Notes may be presented for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transfer or for exchange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(ii) an office or agency in the continental United States where Notes may be presented for payment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(iii) an office or agency in the continental United States where Notes may be presented for conversion (the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If the Company fails to maintain a Registrar, Paying Agent or Conversion Agent, then the Trustee will act as such and will be entitled to receive compensation therefor in accordance with this Indenture and any other agreement between the Trustee and the Company. For the avoidance of doubt, the Company or any of its Subsidiaries may act as Registrar, Paying Agent or Conversion Agent without prior notice to Holders. Any notice to be given to the Paying Agent or the Conversion Agent under this Indenture shall be deemed delivered to such agent if the Trustee is acting as such agent and such notice has been provided to the Trustee.</w:t>
      </w:r>
    </w:p>
    <w:p>
      <w:pPr>
        <w:spacing w:after="0" w:line="182" w:lineRule="exact"/>
        <w:rPr>
          <w:rFonts w:ascii="Times New Roman" w:cs="Times New Roman" w:eastAsia="Times New Roman" w:hAnsi="Times New Roman"/>
          <w:sz w:val="18"/>
          <w:szCs w:val="18"/>
          <w:color w:val="auto"/>
        </w:rPr>
      </w:pPr>
    </w:p>
    <w:p>
      <w:pPr>
        <w:jc w:val="both"/>
        <w:ind w:firstLine="656"/>
        <w:spacing w:after="0" w:line="262" w:lineRule="auto"/>
        <w:tabs>
          <w:tab w:leader="none" w:pos="10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Duties of the Registrar</w:t>
      </w:r>
      <w:r>
        <w:rPr>
          <w:rFonts w:ascii="Times New Roman" w:cs="Times New Roman" w:eastAsia="Times New Roman" w:hAnsi="Times New Roman"/>
          <w:sz w:val="18"/>
          <w:szCs w:val="18"/>
          <w:color w:val="auto"/>
        </w:rPr>
        <w:t>. The Registrar will keep a record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of the names and addresses of the Holders, the Notes held by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178" w:lineRule="exact"/>
        <w:rPr>
          <w:rFonts w:ascii="Times New Roman" w:cs="Times New Roman" w:eastAsia="Times New Roman" w:hAnsi="Times New Roman"/>
          <w:sz w:val="18"/>
          <w:szCs w:val="18"/>
          <w:color w:val="auto"/>
        </w:rPr>
      </w:pPr>
    </w:p>
    <w:p>
      <w:pPr>
        <w:jc w:val="both"/>
        <w:ind w:firstLine="656"/>
        <w:spacing w:after="0" w:line="257" w:lineRule="auto"/>
        <w:tabs>
          <w:tab w:leader="none" w:pos="11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Co-Agents; Company’s Right to Appoint Successor Registrars, Paying Agents and Conversion Agents</w:t>
      </w:r>
      <w:r>
        <w:rPr>
          <w:rFonts w:ascii="Times New Roman" w:cs="Times New Roman" w:eastAsia="Times New Roman" w:hAnsi="Times New Roman"/>
          <w:sz w:val="18"/>
          <w:szCs w:val="18"/>
          <w:color w:val="auto"/>
        </w:rPr>
        <w:t>. The Company may appoint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more co-Registrars, co-Paying Agents and co-Conversion Agents, each of whom will be deemed to be a Registrar, Paying Agent or Conversion Agent, as applicable, under this Indenture. Subject to </w:t>
      </w:r>
      <w:r>
        <w:rPr>
          <w:rFonts w:ascii="Times New Roman" w:cs="Times New Roman" w:eastAsia="Times New Roman" w:hAnsi="Times New Roman"/>
          <w:sz w:val="18"/>
          <w:szCs w:val="18"/>
          <w:b w:val="1"/>
          <w:bCs w:val="1"/>
          <w:color w:val="auto"/>
        </w:rPr>
        <w:t>Section 2.06(A)</w:t>
      </w:r>
      <w:r>
        <w:rPr>
          <w:rFonts w:ascii="Times New Roman" w:cs="Times New Roman" w:eastAsia="Times New Roman" w:hAnsi="Times New Roman"/>
          <w:sz w:val="18"/>
          <w:szCs w:val="18"/>
          <w:color w:val="auto"/>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182" w:lineRule="exact"/>
        <w:rPr>
          <w:rFonts w:ascii="Times New Roman" w:cs="Times New Roman" w:eastAsia="Times New Roman" w:hAnsi="Times New Roman"/>
          <w:sz w:val="18"/>
          <w:szCs w:val="18"/>
          <w:color w:val="auto"/>
        </w:rPr>
      </w:pPr>
    </w:p>
    <w:p>
      <w:pPr>
        <w:ind w:firstLine="656"/>
        <w:spacing w:after="0" w:line="284" w:lineRule="auto"/>
        <w:tabs>
          <w:tab w:leader="none" w:pos="11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Appointments</w:t>
      </w:r>
      <w:r>
        <w:rPr>
          <w:rFonts w:ascii="Times New Roman" w:cs="Times New Roman" w:eastAsia="Times New Roman" w:hAnsi="Times New Roman"/>
          <w:sz w:val="18"/>
          <w:szCs w:val="18"/>
          <w:color w:val="auto"/>
        </w:rPr>
        <w:t>. The Company appoints the Trustee as (and the Trustee’s office in the continental United States as the location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Paying Agent, the initial Registrar and the initial Conversion Agent.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2.07. Paying Agent and Conversion Agent to Hold Property in Trust.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cs="Times New Roman" w:eastAsia="Times New Roman" w:hAnsi="Times New Roman"/>
          <w:sz w:val="18"/>
          <w:szCs w:val="18"/>
          <w:b w:val="1"/>
          <w:bCs w:val="1"/>
          <w:color w:val="auto"/>
        </w:rPr>
        <w:t>clause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with respect to the Company (or with respect to any Subsidiary of the Company acting as Paying Agent or Conversion Agent), the Trustee will serve as the Paying Agent or Conversion Agent, as applicable, for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1240"/>
          </w:cols>
          <w:pgMar w:left="320" w:top="14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Section 2.08. Holder Lists.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Trustee is not the Registrar,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2.09. Legends.</w:t>
      </w:r>
    </w:p>
    <w:p>
      <w:pPr>
        <w:spacing w:after="0" w:line="227" w:lineRule="exact"/>
        <w:rPr>
          <w:sz w:val="20"/>
          <w:szCs w:val="20"/>
          <w:color w:val="auto"/>
        </w:rPr>
      </w:pPr>
    </w:p>
    <w:p>
      <w:pPr>
        <w:ind w:firstLine="656"/>
        <w:spacing w:after="0" w:line="284" w:lineRule="auto"/>
        <w:tabs>
          <w:tab w:leader="none" w:pos="11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Each Global Note will bear the Global Note Legend (or any similar legend, not inconsistent with this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the Depositary for such Global Note).</w:t>
      </w:r>
    </w:p>
    <w:p>
      <w:pPr>
        <w:spacing w:after="0" w:line="15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Non-Affiliate Legend</w:t>
      </w:r>
      <w:r>
        <w:rPr>
          <w:rFonts w:ascii="Times New Roman" w:cs="Times New Roman" w:eastAsia="Times New Roman" w:hAnsi="Times New Roman"/>
          <w:sz w:val="18"/>
          <w:szCs w:val="18"/>
          <w:color w:val="auto"/>
        </w:rPr>
        <w:t>. Each Note will bear the Non-Affiliate Legend.</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Note Legend</w:t>
      </w:r>
      <w:r>
        <w:rPr>
          <w:rFonts w:ascii="Times New Roman" w:cs="Times New Roman" w:eastAsia="Times New Roman" w:hAnsi="Times New Roman"/>
          <w:sz w:val="18"/>
          <w:szCs w:val="18"/>
          <w:color w:val="auto"/>
        </w:rPr>
        <w:t>. Subject to the other provisions of this Indenture,</w:t>
      </w:r>
    </w:p>
    <w:p>
      <w:pPr>
        <w:spacing w:after="0" w:line="227"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that is a Transfer-Restricted Security will bear the Restricted Note Legend;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8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Note is issued in exchange for, in substitution of, or to effect a partial conversion of, another Note (such other Note being referred to as the “old Note” for purposes of this </w:t>
      </w:r>
      <w:r>
        <w:rPr>
          <w:rFonts w:ascii="Times New Roman" w:cs="Times New Roman" w:eastAsia="Times New Roman" w:hAnsi="Times New Roman"/>
          <w:sz w:val="18"/>
          <w:szCs w:val="18"/>
          <w:b w:val="1"/>
          <w:bCs w:val="1"/>
          <w:color w:val="auto"/>
        </w:rPr>
        <w:t>Section 2.09(C)(ii)</w:t>
      </w:r>
      <w:r>
        <w:rPr>
          <w:rFonts w:ascii="Times New Roman" w:cs="Times New Roman" w:eastAsia="Times New Roman" w:hAnsi="Times New Roman"/>
          <w:sz w:val="18"/>
          <w:szCs w:val="18"/>
          <w:color w:val="auto"/>
        </w:rPr>
        <w:t xml:space="preserve">), including pursuant to Section </w:t>
      </w:r>
      <w:r>
        <w:rPr>
          <w:rFonts w:ascii="Times New Roman" w:cs="Times New Roman" w:eastAsia="Times New Roman" w:hAnsi="Times New Roman"/>
          <w:sz w:val="18"/>
          <w:szCs w:val="18"/>
          <w:b w:val="1"/>
          <w:bCs w:val="1"/>
          <w:color w:val="auto"/>
        </w:rPr>
        <w:t>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2.12</w:t>
      </w:r>
      <w:r>
        <w:rPr>
          <w:rFonts w:ascii="Times New Roman" w:cs="Times New Roman" w:eastAsia="Times New Roman" w:hAnsi="Times New Roman"/>
          <w:sz w:val="18"/>
          <w:szCs w:val="18"/>
          <w:color w:val="auto"/>
        </w:rPr>
        <w:t xml:space="preserve">, then such Note will bear the Restricted Note Legend if such old Note bore the Restricted Note Legend at the time of such exchange or substitution, or on the related Conversion Date with respect to such conversion,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Note need not bear the Restricted Note Legend if such Note does not constitute a Transfer-Restricted Security immediately after such exchange or substitution, or as of such Conversion Date, as applicable.</w:t>
      </w:r>
    </w:p>
    <w:p>
      <w:pPr>
        <w:spacing w:after="0" w:line="185" w:lineRule="exact"/>
        <w:rPr>
          <w:rFonts w:ascii="Times New Roman" w:cs="Times New Roman" w:eastAsia="Times New Roman" w:hAnsi="Times New Roman"/>
          <w:sz w:val="18"/>
          <w:szCs w:val="18"/>
          <w:color w:val="auto"/>
        </w:rPr>
      </w:pPr>
    </w:p>
    <w:p>
      <w:pPr>
        <w:ind w:firstLine="656"/>
        <w:spacing w:after="0" w:line="284" w:lineRule="auto"/>
        <w:tabs>
          <w:tab w:leader="none" w:pos="11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Legends</w:t>
      </w:r>
      <w:r>
        <w:rPr>
          <w:rFonts w:ascii="Times New Roman" w:cs="Times New Roman" w:eastAsia="Times New Roman" w:hAnsi="Times New Roman"/>
          <w:sz w:val="18"/>
          <w:szCs w:val="18"/>
          <w:color w:val="auto"/>
        </w:rPr>
        <w:t>. A Note may bear any other legend or text, not inconsistent with this Indenture, as may be required by applicable law or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securities exchange or automated quotation system on which such Note is traded or quoted.</w:t>
      </w:r>
    </w:p>
    <w:p>
      <w:pPr>
        <w:spacing w:after="0" w:line="156" w:lineRule="exact"/>
        <w:rPr>
          <w:rFonts w:ascii="Times New Roman" w:cs="Times New Roman" w:eastAsia="Times New Roman" w:hAnsi="Times New Roman"/>
          <w:sz w:val="18"/>
          <w:szCs w:val="18"/>
          <w:color w:val="auto"/>
        </w:rPr>
      </w:pPr>
    </w:p>
    <w:p>
      <w:pPr>
        <w:ind w:firstLine="656"/>
        <w:spacing w:after="0" w:line="286" w:lineRule="auto"/>
        <w:tabs>
          <w:tab w:leader="none" w:pos="10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Acknowledgment and Agreement by the Holders</w:t>
      </w:r>
      <w:r>
        <w:rPr>
          <w:rFonts w:ascii="Times New Roman" w:cs="Times New Roman" w:eastAsia="Times New Roman" w:hAnsi="Times New Roman"/>
          <w:sz w:val="18"/>
          <w:szCs w:val="18"/>
          <w:color w:val="auto"/>
        </w:rPr>
        <w:t>. A Holder’s acceptance of any Note bearing any legend required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such Holder’s acknowledgment of, and agreement to comply with, the restrictions set forth in such legend.</w:t>
      </w:r>
    </w:p>
    <w:p>
      <w:pPr>
        <w:spacing w:after="0" w:line="15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Legend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7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Conversion Share need not bear the Restricted Stock Legend if the Company determines, in its reasonable discretion,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Share need not bear the Restricted Stock Legend.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7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2.09(F)</w:t>
      </w:r>
      <w:r>
        <w:rPr>
          <w:rFonts w:ascii="Times New Roman" w:cs="Times New Roman" w:eastAsia="Times New Roman" w:hAnsi="Times New Roman"/>
          <w:sz w:val="18"/>
          <w:szCs w:val="18"/>
          <w:color w:val="auto"/>
        </w:rPr>
        <w:t xml:space="preserve">, a Conversion Share need not bear a Restricted Stock Legend if such Conversion Share is issued in an uncertificated form that does not permit affixing legends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1240"/>
          </w:cols>
          <w:pgMar w:left="320" w:top="14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Section 2.10. Transfers and Exchanges; Certain Transfer Restrictions.</w:t>
      </w:r>
    </w:p>
    <w:p>
      <w:pPr>
        <w:spacing w:after="0" w:line="22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Provisions Applicable to All Transfers and Exchanges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660" w:firstLine="644"/>
        <w:spacing w:after="0" w:line="286" w:lineRule="auto"/>
        <w:tabs>
          <w:tab w:leader="none" w:pos="17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Physical Notes and beneficial interests in Global Notes may be transferred or exchanged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and the Registrar will record each such transfer or exchange in the Register.</w:t>
      </w:r>
    </w:p>
    <w:p>
      <w:pPr>
        <w:spacing w:after="0" w:line="15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Transferred and Exchanged Notes Remain Valid Obligations of the Company</w:t>
      </w:r>
      <w:r>
        <w:rPr>
          <w:rFonts w:ascii="Times New Roman" w:cs="Times New Roman" w:eastAsia="Times New Roman" w:hAnsi="Times New Roman"/>
          <w:sz w:val="18"/>
          <w:szCs w:val="18"/>
          <w:color w:val="auto"/>
        </w:rPr>
        <w:t>. Each Note issued upon transfer or exchange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Note (such other Note being referred to as the “old Note” for purposes of this </w:t>
      </w:r>
      <w:r>
        <w:rPr>
          <w:rFonts w:ascii="Times New Roman" w:cs="Times New Roman" w:eastAsia="Times New Roman" w:hAnsi="Times New Roman"/>
          <w:sz w:val="18"/>
          <w:szCs w:val="18"/>
          <w:b w:val="1"/>
          <w:bCs w:val="1"/>
          <w:color w:val="auto"/>
        </w:rPr>
        <w:t>Section 2.10(A)(ii)</w:t>
      </w:r>
      <w:r>
        <w:rPr>
          <w:rFonts w:ascii="Times New Roman" w:cs="Times New Roman" w:eastAsia="Times New Roman" w:hAnsi="Times New Roman"/>
          <w:sz w:val="18"/>
          <w:szCs w:val="18"/>
          <w:color w:val="auto"/>
        </w:rPr>
        <w:t>) or portion thereof in accordance with this Indenture will be the valid obligation of the Company, evidencing the same indebtedness, and entitled to the same benefits under this Indenture, as such old Note or portion thereof, as applicable.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9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Services Charge; Transfer Taxes</w:t>
      </w:r>
      <w:r>
        <w:rPr>
          <w:rFonts w:ascii="Times New Roman" w:cs="Times New Roman" w:eastAsia="Times New Roman" w:hAnsi="Times New Roman"/>
          <w:sz w:val="18"/>
          <w:szCs w:val="18"/>
          <w:color w:val="auto"/>
        </w:rPr>
        <w:t>. The Company, the Trustee and the Note Agents will not impose any service charge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8.05</w:t>
      </w:r>
      <w:r>
        <w:rPr>
          <w:rFonts w:ascii="Times New Roman" w:cs="Times New Roman" w:eastAsia="Times New Roman" w:hAnsi="Times New Roman"/>
          <w:sz w:val="18"/>
          <w:szCs w:val="18"/>
          <w:color w:val="auto"/>
        </w:rPr>
        <w:t xml:space="preserve"> not involving any transfer.</w:t>
      </w:r>
    </w:p>
    <w:p>
      <w:pPr>
        <w:spacing w:after="0" w:line="179" w:lineRule="exact"/>
        <w:rPr>
          <w:rFonts w:ascii="Times New Roman" w:cs="Times New Roman" w:eastAsia="Times New Roman" w:hAnsi="Times New Roman"/>
          <w:sz w:val="18"/>
          <w:szCs w:val="18"/>
          <w:color w:val="auto"/>
        </w:rPr>
      </w:pPr>
    </w:p>
    <w:p>
      <w:pPr>
        <w:ind w:left="660" w:firstLine="644"/>
        <w:spacing w:after="0" w:line="284" w:lineRule="auto"/>
        <w:tabs>
          <w:tab w:leader="none" w:pos="176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Must Be in Authorized Denominations</w:t>
      </w:r>
      <w:r>
        <w:rPr>
          <w:rFonts w:ascii="Times New Roman" w:cs="Times New Roman" w:eastAsia="Times New Roman" w:hAnsi="Times New Roman"/>
          <w:sz w:val="18"/>
          <w:szCs w:val="18"/>
          <w:color w:val="auto"/>
        </w:rPr>
        <w:t>. Notwithstanding anything to the contrary in this Indenture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 Note may not be transferred or exchanged in part unless the portion to be so transferred or exchanged is in an Authorized Denomination.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1240"/>
          </w:cols>
          <w:pgMar w:left="320" w:top="1413" w:right="339" w:bottom="1440" w:gutter="0" w:footer="0" w:header="0"/>
        </w:sectPr>
      </w:pPr>
    </w:p>
    <w:bookmarkStart w:id="30" w:name="page31"/>
    <w:bookmarkEnd w:id="30"/>
    <w:p>
      <w:pPr>
        <w:jc w:val="both"/>
        <w:ind w:left="4" w:firstLine="644"/>
        <w:spacing w:after="0" w:line="261" w:lineRule="auto"/>
        <w:tabs>
          <w:tab w:leader="none" w:pos="113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The Trustee will have no obligation or duty to monitor, determine or inquire as to compliance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spacing w:after="0" w:line="177" w:lineRule="exact"/>
        <w:rPr>
          <w:rFonts w:ascii="Times New Roman" w:cs="Times New Roman" w:eastAsia="Times New Roman" w:hAnsi="Times New Roman"/>
          <w:sz w:val="18"/>
          <w:szCs w:val="18"/>
          <w:color w:val="auto"/>
        </w:rPr>
      </w:pPr>
    </w:p>
    <w:p>
      <w:pPr>
        <w:ind w:left="1144" w:hanging="496"/>
        <w:spacing w:after="0"/>
        <w:tabs>
          <w:tab w:leader="none" w:pos="114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Each Note issued upon transfer of, or in exchange for, another Note will bear each legend, if any,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2.09</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jc w:val="both"/>
        <w:ind w:left="4" w:firstLine="644"/>
        <w:spacing w:after="0" w:line="267" w:lineRule="auto"/>
        <w:tabs>
          <w:tab w:leader="none" w:pos="11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of Transfers and Exchanges</w:t>
      </w:r>
      <w:r>
        <w:rPr>
          <w:rFonts w:ascii="Times New Roman" w:cs="Times New Roman" w:eastAsia="Times New Roman" w:hAnsi="Times New Roman"/>
          <w:sz w:val="18"/>
          <w:szCs w:val="18"/>
          <w:color w:val="auto"/>
        </w:rPr>
        <w:t>. Upon satisfaction of the requirements of this Indenture to effect a transfer or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Note, the Company will cause such transfer or exchange to be effected as soon as reasonably practicable but in no event later than the second (2nd) Business Day after the date of such satisfaction.</w:t>
      </w:r>
    </w:p>
    <w:p>
      <w:pPr>
        <w:spacing w:after="0" w:line="171" w:lineRule="exact"/>
        <w:rPr>
          <w:rFonts w:ascii="Times New Roman" w:cs="Times New Roman" w:eastAsia="Times New Roman" w:hAnsi="Times New Roman"/>
          <w:sz w:val="18"/>
          <w:szCs w:val="18"/>
          <w:color w:val="auto"/>
        </w:rPr>
      </w:pPr>
    </w:p>
    <w:p>
      <w:pPr>
        <w:jc w:val="both"/>
        <w:ind w:left="4" w:firstLine="644"/>
        <w:spacing w:after="0" w:line="262" w:lineRule="auto"/>
        <w:tabs>
          <w:tab w:leader="none" w:pos="120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For the avoidance of doubt, and subject to the terms of this Indenture, as used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an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spacing w:after="0" w:line="180" w:lineRule="exact"/>
        <w:rPr>
          <w:rFonts w:ascii="Times New Roman" w:cs="Times New Roman" w:eastAsia="Times New Roman" w:hAnsi="Times New Roman"/>
          <w:sz w:val="18"/>
          <w:szCs w:val="18"/>
          <w:color w:val="auto"/>
        </w:rPr>
      </w:pPr>
    </w:p>
    <w:p>
      <w:pPr>
        <w:ind w:left="1084" w:hanging="436"/>
        <w:spacing w:after="0"/>
        <w:tabs>
          <w:tab w:leader="none" w:pos="108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Note Agent will have any responsibility for any action taken or not taken by the Depositary.</w:t>
      </w:r>
    </w:p>
    <w:p>
      <w:pPr>
        <w:spacing w:after="0" w:line="22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of Global Notes.</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08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Restrictions</w:t>
      </w:r>
      <w:r>
        <w:rPr>
          <w:rFonts w:ascii="Times New Roman" w:cs="Times New Roman" w:eastAsia="Times New Roman" w:hAnsi="Times New Roman"/>
          <w:sz w:val="18"/>
          <w:szCs w:val="18"/>
          <w:color w:val="auto"/>
        </w:rPr>
        <w:t>. Subject to the immediately following sentence, no Global Note may be transferred or exchanged in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Global Note will be exchanged, pursuant to customary procedures, for one or more Physical Notes if:</w:t>
      </w:r>
    </w:p>
    <w:p>
      <w:pPr>
        <w:spacing w:after="0" w:line="185"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696"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175"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7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0584"/>
          </w:cols>
          <w:pgMar w:left="976" w:top="1415" w:right="339" w:bottom="1440" w:gutter="0" w:footer="0" w:header="0"/>
        </w:sectPr>
      </w:pPr>
    </w:p>
    <w:bookmarkStart w:id="31" w:name="page32"/>
    <w:bookmarkEnd w:id="31"/>
    <w:p>
      <w:pPr>
        <w:ind w:left="180" w:firstLine="652"/>
        <w:spacing w:after="0" w:line="282" w:lineRule="auto"/>
        <w:tabs>
          <w:tab w:leader="none" w:pos="126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its sole discretion, permits the exchange of any beneficial interest in such Global Note for one or more Physical Notes at the request of the owner of such beneficial interest.</w:t>
      </w:r>
    </w:p>
    <w:p>
      <w:pPr>
        <w:spacing w:after="0" w:line="159" w:lineRule="exact"/>
        <w:rPr>
          <w:rFonts w:ascii="Times New Roman" w:cs="Times New Roman" w:eastAsia="Times New Roman" w:hAnsi="Times New Roman"/>
          <w:sz w:val="18"/>
          <w:szCs w:val="18"/>
          <w:color w:val="auto"/>
        </w:rPr>
      </w:pPr>
    </w:p>
    <w:p>
      <w:pPr>
        <w:ind w:left="-460" w:firstLine="644"/>
        <w:spacing w:after="0" w:line="284" w:lineRule="auto"/>
        <w:tabs>
          <w:tab w:leader="none" w:pos="6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Effecting Transfers and Exchanges</w:t>
      </w:r>
      <w:r>
        <w:rPr>
          <w:rFonts w:ascii="Times New Roman" w:cs="Times New Roman" w:eastAsia="Times New Roman" w:hAnsi="Times New Roman"/>
          <w:sz w:val="18"/>
          <w:szCs w:val="18"/>
          <w:color w:val="auto"/>
        </w:rPr>
        <w:t>. Upon satisfaction of the requirements of this Indenture to effect a transfer or exchange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Note (or any portion thereof):</w:t>
      </w:r>
    </w:p>
    <w:p>
      <w:pPr>
        <w:spacing w:after="0" w:line="160"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22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 Company may (but is not required to) instruct the Trustee to cancel such Global Note pursuant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21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required to effect such transfer or exchange,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 new Global Note bearing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21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60" w:firstLine="644"/>
        <w:spacing w:after="0" w:line="284" w:lineRule="auto"/>
        <w:tabs>
          <w:tab w:leader="none" w:pos="6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Depositary Procedures</w:t>
      </w:r>
      <w:r>
        <w:rPr>
          <w:rFonts w:ascii="Times New Roman" w:cs="Times New Roman" w:eastAsia="Times New Roman" w:hAnsi="Times New Roman"/>
          <w:sz w:val="18"/>
          <w:szCs w:val="18"/>
          <w:color w:val="auto"/>
        </w:rPr>
        <w:t>. Each transfer or exchange of a beneficial interest in any Global Note will be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Depositary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0120"/>
          </w:cols>
          <w:pgMar w:left="1440" w:top="1417" w:right="339" w:bottom="1440" w:gutter="0" w:footer="0" w:header="0"/>
        </w:sectPr>
      </w:pPr>
    </w:p>
    <w:bookmarkStart w:id="32" w:name="page33"/>
    <w:bookmarkEnd w:id="32"/>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of Physical Notes.</w:t>
      </w:r>
    </w:p>
    <w:p>
      <w:pPr>
        <w:spacing w:after="0" w:line="223"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0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Requirements for Transfers and Exchanges</w:t>
      </w:r>
      <w:r>
        <w:rPr>
          <w:rFonts w:ascii="Times New Roman" w:cs="Times New Roman" w:eastAsia="Times New Roman" w:hAnsi="Times New Roman"/>
          <w:sz w:val="18"/>
          <w:szCs w:val="18"/>
          <w:color w:val="auto"/>
        </w:rPr>
        <w:t>. 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a Holder of a Physical Note may (x) transfer such Physical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effect any such transfer or exchange, such Holder must:</w:t>
      </w:r>
    </w:p>
    <w:p>
      <w:pPr>
        <w:spacing w:after="0" w:line="186" w:lineRule="exact"/>
        <w:rPr>
          <w:rFonts w:ascii="Times New Roman" w:cs="Times New Roman" w:eastAsia="Times New Roman" w:hAnsi="Times New Roman"/>
          <w:sz w:val="18"/>
          <w:szCs w:val="18"/>
          <w:color w:val="auto"/>
        </w:rPr>
      </w:pPr>
    </w:p>
    <w:p>
      <w:pPr>
        <w:ind w:left="644" w:firstLine="652"/>
        <w:spacing w:after="0" w:line="282" w:lineRule="auto"/>
        <w:tabs>
          <w:tab w:leader="none" w:pos="1701"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such Physical Note to be transferred or exchanged to the office of the Registrar, together with any endorsements or transfer instruments reasonably required by the Company, the Trustee or the Registrar; and</w:t>
      </w:r>
    </w:p>
    <w:p>
      <w:pPr>
        <w:spacing w:after="0" w:line="157" w:lineRule="exact"/>
        <w:rPr>
          <w:rFonts w:ascii="Times New Roman" w:cs="Times New Roman" w:eastAsia="Times New Roman" w:hAnsi="Times New Roman"/>
          <w:sz w:val="18"/>
          <w:szCs w:val="18"/>
          <w:color w:val="auto"/>
        </w:rPr>
      </w:pPr>
    </w:p>
    <w:p>
      <w:pPr>
        <w:ind w:left="1684" w:hanging="388"/>
        <w:spacing w:after="0"/>
        <w:tabs>
          <w:tab w:leader="none" w:pos="168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such certificates, documentation or evidence as may be required pursuant to </w:t>
      </w:r>
      <w:r>
        <w:rPr>
          <w:rFonts w:ascii="Times New Roman" w:cs="Times New Roman" w:eastAsia="Times New Roman" w:hAnsi="Times New Roman"/>
          <w:sz w:val="18"/>
          <w:szCs w:val="18"/>
          <w:b w:val="1"/>
          <w:bCs w:val="1"/>
          <w:color w:val="auto"/>
        </w:rPr>
        <w:t>Section 2.10(D)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 w:firstLine="644"/>
        <w:spacing w:after="0" w:line="267" w:lineRule="auto"/>
        <w:tabs>
          <w:tab w:leader="none" w:pos="10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Effecting Transfers and Exchanges</w:t>
      </w:r>
      <w:r>
        <w:rPr>
          <w:rFonts w:ascii="Times New Roman" w:cs="Times New Roman" w:eastAsia="Times New Roman" w:hAnsi="Times New Roman"/>
          <w:sz w:val="18"/>
          <w:szCs w:val="18"/>
          <w:color w:val="auto"/>
        </w:rPr>
        <w:t>. Upon the satisfaction of the requirements of this Indenture to effect a transfer or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Physical Note (such Physical Note being referred to as the “old Physical Note” for purposes of this </w:t>
      </w:r>
      <w:r>
        <w:rPr>
          <w:rFonts w:ascii="Times New Roman" w:cs="Times New Roman" w:eastAsia="Times New Roman" w:hAnsi="Times New Roman"/>
          <w:sz w:val="18"/>
          <w:szCs w:val="18"/>
          <w:b w:val="1"/>
          <w:bCs w:val="1"/>
          <w:color w:val="auto"/>
        </w:rPr>
        <w:t>Section 2.10(C)(ii)</w:t>
      </w:r>
      <w:r>
        <w:rPr>
          <w:rFonts w:ascii="Times New Roman" w:cs="Times New Roman" w:eastAsia="Times New Roman" w:hAnsi="Times New Roman"/>
          <w:sz w:val="18"/>
          <w:szCs w:val="18"/>
          <w:color w:val="auto"/>
        </w:rPr>
        <w:t>) of a Holder (or any portion of such old Physical Note in an Authorized Denomination):</w:t>
      </w:r>
    </w:p>
    <w:p>
      <w:pPr>
        <w:spacing w:after="0" w:line="171" w:lineRule="exact"/>
        <w:rPr>
          <w:rFonts w:ascii="Times New Roman" w:cs="Times New Roman" w:eastAsia="Times New Roman" w:hAnsi="Times New Roman"/>
          <w:sz w:val="18"/>
          <w:szCs w:val="18"/>
          <w:color w:val="auto"/>
        </w:rPr>
      </w:pPr>
    </w:p>
    <w:p>
      <w:pPr>
        <w:ind w:left="1684" w:hanging="388"/>
        <w:spacing w:after="0"/>
        <w:tabs>
          <w:tab w:leader="none" w:pos="168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old Physical Note will be promptly cancelled pursuant to </w:t>
      </w:r>
      <w:r>
        <w:rPr>
          <w:rFonts w:ascii="Times New Roman" w:cs="Times New Roman" w:eastAsia="Times New Roman" w:hAnsi="Times New Roman"/>
          <w:sz w:val="18"/>
          <w:szCs w:val="18"/>
          <w:b w:val="1"/>
          <w:bCs w:val="1"/>
          <w:color w:val="auto"/>
        </w:rPr>
        <w:t>Section 2.14</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76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old Physical Note is to be so transferred or exchanged only in part,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684" w:hanging="388"/>
        <w:spacing w:after="0"/>
        <w:tabs>
          <w:tab w:leader="none" w:pos="168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w:t>
      </w:r>
    </w:p>
    <w:p>
      <w:pPr>
        <w:spacing w:after="0" w:line="225" w:lineRule="exact"/>
        <w:rPr>
          <w:rFonts w:ascii="Times New Roman" w:cs="Times New Roman" w:eastAsia="Times New Roman" w:hAnsi="Times New Roman"/>
          <w:sz w:val="18"/>
          <w:szCs w:val="18"/>
          <w:color w:val="auto"/>
        </w:rPr>
      </w:pPr>
    </w:p>
    <w:p>
      <w:pPr>
        <w:jc w:val="both"/>
        <w:ind w:left="1304" w:firstLine="640"/>
        <w:spacing w:after="0" w:line="253" w:lineRule="auto"/>
        <w:tabs>
          <w:tab w:leader="none" w:pos="2437"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transfer cannot be so effected by notation on one or more existing Global Notes (whether because no Global Notes bearing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Global Notes that (x) are in Authorized Denominations and have an aggregate principal amount equal to the principal amount to be so transferred; and (y)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0584"/>
          </w:cols>
          <w:pgMar w:left="976" w:top="1415" w:right="339" w:bottom="1440" w:gutter="0" w:footer="0" w:header="0"/>
        </w:sectPr>
      </w:pPr>
    </w:p>
    <w:bookmarkStart w:id="33" w:name="page34"/>
    <w:bookmarkEnd w:id="33"/>
    <w:p>
      <w:pPr>
        <w:jc w:val="both"/>
        <w:ind w:left="1960" w:firstLine="640"/>
        <w:spacing w:after="0" w:line="258" w:lineRule="auto"/>
        <w:tabs>
          <w:tab w:leader="none" w:pos="3017" w:val="left"/>
        </w:tabs>
        <w:numPr>
          <w:ilvl w:val="3"/>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364"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exchange,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firstLine="656"/>
        <w:spacing w:after="0" w:line="284"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 to Deliver Documentation and Other Evidence</w:t>
      </w:r>
      <w:r>
        <w:rPr>
          <w:rFonts w:ascii="Times New Roman" w:cs="Times New Roman" w:eastAsia="Times New Roman" w:hAnsi="Times New Roman"/>
          <w:sz w:val="18"/>
          <w:szCs w:val="18"/>
          <w:color w:val="auto"/>
        </w:rPr>
        <w:t>. If a Holder of any Note that is identified by a “restricted” CUSIP number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bears a Restricted Note Legend or is a Transfer-Restricted Security requests to:</w:t>
      </w:r>
    </w:p>
    <w:p>
      <w:pPr>
        <w:spacing w:after="0" w:line="160"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such Note to be identified by an “unrestricted” CUSIP number;</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such Restricted Note Legend; or</w:t>
      </w:r>
    </w:p>
    <w:p>
      <w:pPr>
        <w:spacing w:after="0" w:line="225"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such Note to the name of another Person,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in order for the Company to determine that such identification, removal or transfer, as applicable, complies with the Securities Act and other applicable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without limiting </w:t>
      </w:r>
      <w:r>
        <w:rPr>
          <w:rFonts w:ascii="Times New Roman" w:cs="Times New Roman" w:eastAsia="Times New Roman" w:hAnsi="Times New Roman"/>
          <w:sz w:val="18"/>
          <w:szCs w:val="18"/>
          <w:b w:val="1"/>
          <w:bCs w:val="1"/>
          <w:color w:val="auto"/>
        </w:rPr>
        <w:t>Section 2.10(E)</w:t>
      </w:r>
      <w:r>
        <w:rPr>
          <w:rFonts w:ascii="Times New Roman" w:cs="Times New Roman" w:eastAsia="Times New Roman" w:hAnsi="Times New Roman"/>
          <w:sz w:val="18"/>
          <w:szCs w:val="18"/>
          <w:color w:val="auto"/>
        </w:rPr>
        <w:t xml:space="preserve">, no such certificates, documentation or evidence (other than a written request in the form contemplated by </w:t>
      </w:r>
      <w:r>
        <w:rPr>
          <w:rFonts w:ascii="Times New Roman" w:cs="Times New Roman" w:eastAsia="Times New Roman" w:hAnsi="Times New Roman"/>
          <w:sz w:val="18"/>
          <w:szCs w:val="18"/>
          <w:b w:val="1"/>
          <w:bCs w:val="1"/>
          <w:color w:val="auto"/>
        </w:rPr>
        <w:t>Section 2.10(E)</w:t>
      </w:r>
      <w:r>
        <w:rPr>
          <w:rFonts w:ascii="Times New Roman" w:cs="Times New Roman" w:eastAsia="Times New Roman" w:hAnsi="Times New Roman"/>
          <w:sz w:val="18"/>
          <w:szCs w:val="18"/>
          <w:color w:val="auto"/>
        </w:rPr>
        <w:t>) need be so delivered on or after the date that is six (6) months after the Last Original Issue Date of such Note if the requirements of Rule 144(c) and (i) are then satisfied with respect to the Company (and neither the Trustee nor the Registrar will have any responsibility or liability for determining whether such requirements have been satisfied).</w:t>
      </w:r>
    </w:p>
    <w:p>
      <w:pPr>
        <w:spacing w:after="0" w:line="187" w:lineRule="exact"/>
        <w:rPr>
          <w:sz w:val="20"/>
          <w:szCs w:val="20"/>
          <w:color w:val="auto"/>
        </w:rPr>
      </w:pPr>
    </w:p>
    <w:p>
      <w:pPr>
        <w:jc w:val="both"/>
        <w:ind w:firstLine="656"/>
        <w:spacing w:after="0" w:line="256" w:lineRule="auto"/>
        <w:tabs>
          <w:tab w:leader="none" w:pos="10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De-Legending Procedures</w:t>
      </w:r>
      <w:r>
        <w:rPr>
          <w:rFonts w:ascii="Times New Roman" w:cs="Times New Roman" w:eastAsia="Times New Roman" w:hAnsi="Times New Roman"/>
          <w:sz w:val="18"/>
          <w:szCs w:val="18"/>
          <w:color w:val="auto"/>
        </w:rPr>
        <w:t>. If a Holder of any Note or share of Common Stock issued upon conversion of any Note, or an owner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interest in any Global Note, or in a global certificate representing any share of Common Stock issued upon conversion of any Note, transfers such Note or share in compliance with Rule 144 and delivers to the Company a written request in customary form (including a certification that it is not, and has not been at any time during the preceding three (3) months, an Affiliate of the Company) to reissue such Note or share without a Restricted Note Legend or Restricted Stock Legend, as applicable, then the Company will cause the same to occur (and, if applicable, cause such Note or share to thereafter be represented by an “unrestricted” CUSIP or ISIN number in the facilities of the related depositary), and will use its commercially reasonable efforts to cause the same to occur within two (2) Trading Days of such request.</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11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of Notes Subject to Redemption, Repurchase or Conversion</w:t>
      </w:r>
      <w:r>
        <w:rPr>
          <w:rFonts w:ascii="Times New Roman" w:cs="Times New Roman" w:eastAsia="Times New Roman" w:hAnsi="Times New Roman"/>
          <w:sz w:val="18"/>
          <w:szCs w:val="18"/>
          <w:color w:val="auto"/>
        </w:rPr>
        <w:t>. Notwithstanding anything to the contrary in this Indenture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or Optional Repurchase Notice validly delivered, and not withdrawn, pursuant to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4.04(E)</w:t>
      </w:r>
      <w:r>
        <w:rPr>
          <w:rFonts w:ascii="Times New Roman" w:cs="Times New Roman" w:eastAsia="Times New Roman" w:hAnsi="Times New Roman"/>
          <w:sz w:val="18"/>
          <w:szCs w:val="18"/>
          <w:color w:val="auto"/>
        </w:rPr>
        <w:t>, respectively, except to the extent that any portion of such Note is not subject to such notice or the Company fails to pay the applicable Fundamental Change Repurchase Price or Optional Repurchase Price when due; or (iii) has been selected for Redemption pursuant to a Redemption Notice, except to the extent that any portion of such Note is not subject to Redemption or the Company fails to pay the applicable Redemption Price when due.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6"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1240"/>
          </w:cols>
          <w:pgMar w:left="320" w:top="14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Section 2.11. Exchange and Cancellation of Notes to Be Converted, Redeemed or Repurchased.</w:t>
      </w:r>
    </w:p>
    <w:p>
      <w:pPr>
        <w:spacing w:after="0" w:line="227" w:lineRule="exact"/>
        <w:rPr>
          <w:sz w:val="20"/>
          <w:szCs w:val="20"/>
          <w:color w:val="auto"/>
        </w:rPr>
      </w:pPr>
    </w:p>
    <w:p>
      <w:pPr>
        <w:jc w:val="both"/>
        <w:ind w:firstLine="656"/>
        <w:spacing w:after="0" w:line="254"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Partial Conversions, Redemptions and Repurchases of Physical Notes</w:t>
      </w:r>
      <w:r>
        <w:rPr>
          <w:rFonts w:ascii="Times New Roman" w:cs="Times New Roman" w:eastAsia="Times New Roman" w:hAnsi="Times New Roman"/>
          <w:sz w:val="18"/>
          <w:szCs w:val="18"/>
          <w:color w:val="auto"/>
        </w:rPr>
        <w:t>. If only a portion of a Physical Note of a Holder is to be converted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repurchased pursuant to a Repurchase Upon Fundamental Change, an Optional Repurchase or a Redemption, then, as soon as reasonably practicable after such Physical Note is surrendered for such conversion, Redemption or repurchase, the Company will cause such Physical Note to be exchanged, pursuant and subject to </w:t>
      </w:r>
      <w:r>
        <w:rPr>
          <w:rFonts w:ascii="Times New Roman" w:cs="Times New Roman" w:eastAsia="Times New Roman" w:hAnsi="Times New Roman"/>
          <w:sz w:val="18"/>
          <w:szCs w:val="18"/>
          <w:b w:val="1"/>
          <w:bCs w:val="1"/>
          <w:color w:val="auto"/>
        </w:rPr>
        <w:t>Section 2.10(C)</w:t>
      </w:r>
      <w:r>
        <w:rPr>
          <w:rFonts w:ascii="Times New Roman" w:cs="Times New Roman" w:eastAsia="Times New Roman" w:hAnsi="Times New Roman"/>
          <w:sz w:val="18"/>
          <w:szCs w:val="18"/>
          <w:color w:val="auto"/>
        </w:rPr>
        <w:t xml:space="preserve">, for (i) one or more Physical Notes that are in Authorized Denominations and have an aggregate principal amount equal to the principal amount of such Physical Note that is not to be so converted, redeemed or repurchased, as applicable, and deliver such Physical Note(s) to such Holder; and (ii) a Physical Note having a principal amount equal to the principal amount to be so converted, redeemed or repurchased, as applicable, which Physical Note will be converted, redeemed or repurchased, as applicable, pursuant to the terms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Physical Note referred to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clause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not be issued at any time after which such principal amount subject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conversion, Redemption or repurchase, as applicable, is deemed to cease to be outstanding pursuant to </w:t>
      </w:r>
      <w:r>
        <w:rPr>
          <w:rFonts w:ascii="Times New Roman" w:cs="Times New Roman" w:eastAsia="Times New Roman" w:hAnsi="Times New Roman"/>
          <w:sz w:val="18"/>
          <w:szCs w:val="18"/>
          <w:b w:val="1"/>
          <w:bCs w:val="1"/>
          <w:color w:val="auto"/>
        </w:rPr>
        <w:t>Section 2.17</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Cancellation of Converted, Redeemed and Repurchased Notes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71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If a Physical Note (or any portion thereof that has not theretofore been exchanged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 is to be converted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repurchased pursuant to a Repurchase Upon Fundamental Change, an Optional Repurchase or a Redemption, then, promptly after the later of the time such Physical Note (or such portion) is deemed to cease to be outstanding pursuant to </w:t>
      </w:r>
      <w:r>
        <w:rPr>
          <w:rFonts w:ascii="Times New Roman" w:cs="Times New Roman" w:eastAsia="Times New Roman" w:hAnsi="Times New Roman"/>
          <w:sz w:val="18"/>
          <w:szCs w:val="18"/>
          <w:b w:val="1"/>
          <w:bCs w:val="1"/>
          <w:color w:val="auto"/>
        </w:rPr>
        <w:t xml:space="preserve">Section 2.17 </w:t>
      </w:r>
      <w:r>
        <w:rPr>
          <w:rFonts w:ascii="Times New Roman" w:cs="Times New Roman" w:eastAsia="Times New Roman" w:hAnsi="Times New Roman"/>
          <w:sz w:val="18"/>
          <w:szCs w:val="18"/>
          <w:color w:val="auto"/>
        </w:rPr>
        <w:t>and the time such Physical Note is surrendered for such conversion or repurchase, as applicable, (1) such Physical Note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cancelled pursuant to </w:t>
      </w:r>
      <w:r>
        <w:rPr>
          <w:rFonts w:ascii="Times New Roman" w:cs="Times New Roman" w:eastAsia="Times New Roman" w:hAnsi="Times New Roman"/>
          <w:sz w:val="18"/>
          <w:szCs w:val="18"/>
          <w:b w:val="1"/>
          <w:bCs w:val="1"/>
          <w:color w:val="auto"/>
        </w:rPr>
        <w:t>Section 2.14</w:t>
      </w:r>
      <w:r>
        <w:rPr>
          <w:rFonts w:ascii="Times New Roman" w:cs="Times New Roman" w:eastAsia="Times New Roman" w:hAnsi="Times New Roman"/>
          <w:sz w:val="18"/>
          <w:szCs w:val="18"/>
          <w:color w:val="auto"/>
        </w:rPr>
        <w:t xml:space="preserve">; and (2) in the case of a partial conversion, Redemption or repurchase, the Company will issue, execute and deliver to such Holder,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Physical Note that is not to be so converted, redeemed or repurchased; (y) are registered in the name of such Holder;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82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If a Global Note (or any portion thereof) is to be converted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repurchased pursuant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Repurchase Upon Fundamental Change or an Optional Repurchase, or subject to Redemption, then, promptly after the time such Note (or such portion) is deemed to cease to be outstanding pursuant to </w:t>
      </w:r>
      <w:r>
        <w:rPr>
          <w:rFonts w:ascii="Times New Roman" w:cs="Times New Roman" w:eastAsia="Times New Roman" w:hAnsi="Times New Roman"/>
          <w:sz w:val="18"/>
          <w:szCs w:val="18"/>
          <w:b w:val="1"/>
          <w:bCs w:val="1"/>
          <w:color w:val="auto"/>
        </w:rPr>
        <w:t>Section 2.17</w:t>
      </w:r>
      <w:r>
        <w:rPr>
          <w:rFonts w:ascii="Times New Roman" w:cs="Times New Roman" w:eastAsia="Times New Roman" w:hAnsi="Times New Roman"/>
          <w:sz w:val="18"/>
          <w:szCs w:val="18"/>
          <w:color w:val="auto"/>
        </w:rPr>
        <w:t xml:space="preserve">, the Trustee will reflect a decrease of the principal amount of such Global Note in an amount equal to the principal amount of such Global Note to be so converted, redeemed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cs="Times New Roman" w:eastAsia="Times New Roman" w:hAnsi="Times New Roman"/>
          <w:sz w:val="18"/>
          <w:szCs w:val="18"/>
          <w:b w:val="1"/>
          <w:bCs w:val="1"/>
          <w:color w:val="auto"/>
        </w:rPr>
        <w:t>Section 2.14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ectPr>
          <w:pgSz w:w="11900" w:h="16838" w:orient="portrait"/>
          <w:cols w:equalWidth="0" w:num="1">
            <w:col w:w="11240"/>
          </w:cols>
          <w:pgMar w:left="320" w:top="14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Section 2.12. Replacement Notes.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a replacement Note upon surrender to the Trustee of such mutilated Note, or upon delivery to the Trustee of evidence of such loss, destruction or wrongful taking reasonably satisfactory to the Trustee and the Company. In the case of a lost, destroyed or wrongfully taken Note, the Company and the Trustee may require the Holder thereof to provide such security or indemnity that is satisfactory to the Company and the Trustee, as applicable, to protect the Company and the Trustee and that is reasonably satisfactory to the Trustee to protect from any loss that any of them may suffer if such Note is replaced.</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Every replacement Note issued pursuant to this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will be an additional obligation of the Company and will be entitled to all of the benefits of this Indenture equally and ratably with all other Notes issued under this Indenture, whether or not the lost, destroyed or wrongfully taken Note will at any time be enforceable by anyone.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2.13. Registered Holders; Certain Rights with Respect to Global Notes.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Except to the extent rights under this Indenture are expressly granted to owners of beneficial interests of Notes, 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1240"/>
          </w:cols>
          <w:pgMar w:left="320" w:top="14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Section 2.14. Cancellation.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 the Company may not originally issue new Notes to replace Notes that it has paid or that have been cancelled upon transfer, exchange, payment or conversion.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2.15. Notes Held by the Company or its Affiliates.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2.17</w:t>
      </w:r>
      <w:r>
        <w:rPr>
          <w:rFonts w:ascii="Times New Roman" w:cs="Times New Roman" w:eastAsia="Times New Roman" w:hAnsi="Times New Roman"/>
          <w:sz w:val="18"/>
          <w:szCs w:val="18"/>
          <w:color w:val="auto"/>
        </w:rPr>
        <w:t xml:space="preserve">, in determining whether the Holders of the required aggregate principal amount of Notes have concurred in any direction, waiver or consent or other action under this Indenture, Notes owned by the Company or any of its Affiliates will be deemed not to be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determining whether the Trustee is protected in relying on any such direction, waiver or consent or other action under this Indenture, only Notes that a Responsible Officer of the Trustee knows are so owned will be so disregarded.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2.16. Temporary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Until definitive Notes are ready for delivery, the Company may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definitive Notes in exchange for temporary Notes. Until so exchanged, each temporary Note will in all respects be entitled to the same benefits under this Indenture as definitive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2.17. Outstanding Notes.</w:t>
      </w:r>
    </w:p>
    <w:p>
      <w:pPr>
        <w:spacing w:after="0" w:line="227" w:lineRule="exact"/>
        <w:rPr>
          <w:sz w:val="20"/>
          <w:szCs w:val="20"/>
          <w:color w:val="auto"/>
        </w:rPr>
      </w:pPr>
    </w:p>
    <w:p>
      <w:pPr>
        <w:jc w:val="both"/>
        <w:ind w:firstLine="656"/>
        <w:spacing w:after="0" w:line="257" w:lineRule="auto"/>
        <w:tabs>
          <w:tab w:leader="none" w:pos="11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Notes that are outstanding at any time will be deemed to be those Notes that, at such time, have been duly executed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authenticated, excluding those Notes (or portions thereof) that have theretofore been (i) cancelled by the Trustee or delivered to the Trustee for cancellation in accordance with </w:t>
      </w:r>
      <w:r>
        <w:rPr>
          <w:rFonts w:ascii="Times New Roman" w:cs="Times New Roman" w:eastAsia="Times New Roman" w:hAnsi="Times New Roman"/>
          <w:sz w:val="18"/>
          <w:szCs w:val="18"/>
          <w:b w:val="1"/>
          <w:bCs w:val="1"/>
          <w:color w:val="auto"/>
        </w:rPr>
        <w:t>Section 2.14</w:t>
      </w:r>
      <w:r>
        <w:rPr>
          <w:rFonts w:ascii="Times New Roman" w:cs="Times New Roman" w:eastAsia="Times New Roman" w:hAnsi="Times New Roman"/>
          <w:sz w:val="18"/>
          <w:szCs w:val="18"/>
          <w:color w:val="auto"/>
        </w:rPr>
        <w:t xml:space="preserve">; (ii) assigned a principal amount of zero by notation on the “Schedule of Exchanges of Interests in the Global Note” forming part of any a Global Note representing such Note; (iii) paid in full (including upon conversion) in accordance with this Indenture; (iv) deemed to cease to be outstanding to the extent provided in, and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2.17</w:t>
      </w:r>
      <w:r>
        <w:rPr>
          <w:rFonts w:ascii="Times New Roman" w:cs="Times New Roman" w:eastAsia="Times New Roman" w:hAnsi="Times New Roman"/>
          <w:sz w:val="18"/>
          <w:szCs w:val="18"/>
          <w:color w:val="auto"/>
        </w:rPr>
        <w:t xml:space="preserve">; or (v) deemed not to be outstanding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20" w:firstLine="656"/>
        <w:spacing w:after="0" w:line="286" w:lineRule="auto"/>
        <w:tabs>
          <w:tab w:leader="none" w:pos="10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Replaced Notes</w:t>
      </w:r>
      <w:r>
        <w:rPr>
          <w:rFonts w:ascii="Times New Roman" w:cs="Times New Roman" w:eastAsia="Times New Roman" w:hAnsi="Times New Roman"/>
          <w:sz w:val="18"/>
          <w:szCs w:val="18"/>
          <w:color w:val="auto"/>
        </w:rPr>
        <w:t>. If a Note is replaced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then such Note will cease to be outstanding at the time of its replacement,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Trustee and the Company receive proof reasonably satisfactory to them that such Note is held by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purchaser” under applicable law.</w:t>
      </w:r>
    </w:p>
    <w:p>
      <w:pPr>
        <w:spacing w:after="0" w:line="156" w:lineRule="exact"/>
        <w:rPr>
          <w:rFonts w:ascii="Times New Roman" w:cs="Times New Roman" w:eastAsia="Times New Roman" w:hAnsi="Times New Roman"/>
          <w:sz w:val="18"/>
          <w:szCs w:val="18"/>
          <w:color w:val="auto"/>
        </w:rPr>
      </w:pPr>
    </w:p>
    <w:p>
      <w:pPr>
        <w:jc w:val="both"/>
        <w:ind w:firstLine="656"/>
        <w:spacing w:after="0" w:line="255" w:lineRule="auto"/>
        <w:tabs>
          <w:tab w:leader="none" w:pos="10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Maturing Notes and Notes Called for Redemption or Subject to Repurchase</w:t>
      </w:r>
      <w:r>
        <w:rPr>
          <w:rFonts w:ascii="Times New Roman" w:cs="Times New Roman" w:eastAsia="Times New Roman" w:hAnsi="Times New Roman"/>
          <w:sz w:val="18"/>
          <w:szCs w:val="18"/>
          <w:color w:val="auto"/>
        </w:rPr>
        <w:t>. If, on a Redemption Date, a Fundamental Change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an Optional Repurchase Date or the Maturity Date, the Paying Agent holds money sufficient to pay the aggregate Redemption Price, Fundamental Change Repurchase Price, Optional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 w:cs="Times New Roman" w:eastAsia="Times New Roman" w:hAnsi="Times New Roman"/>
          <w:sz w:val="18"/>
          <w:szCs w:val="18"/>
          <w:b w:val="1"/>
          <w:bCs w:val="1"/>
          <w:color w:val="auto"/>
        </w:rPr>
        <w:t>Sections 4.02(D)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4.03(E), 4.03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4.04(C)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5.02(D)</w:t>
      </w:r>
      <w:r>
        <w:rPr>
          <w:rFonts w:ascii="Times New Roman" w:cs="Times New Roman" w:eastAsia="Times New Roman" w:hAnsi="Times New Roman"/>
          <w:sz w:val="18"/>
          <w:szCs w:val="18"/>
          <w:color w:val="auto"/>
        </w:rPr>
        <w:t>; and (ii) the rights of the Holders of such Notes (or such portions thereof), as such, will terminate with respect to such Notes (or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portions thereof), other than the right to receive the Redemption Price, Fundamental Change Repurchase Price, Optional Repurchase Price or principal amount, as applicable, of, and accrued and unpaid interest on, such Notes (or such portions thereof), in each case as provided in this Indenture.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ectPr>
          <w:pgSz w:w="11900" w:h="16838" w:orient="portrait"/>
          <w:cols w:equalWidth="0" w:num="1">
            <w:col w:w="11240"/>
          </w:cols>
          <w:pgMar w:left="320" w:top="1413" w:right="339" w:bottom="1440" w:gutter="0" w:footer="0" w:header="0"/>
        </w:sectPr>
      </w:pPr>
    </w:p>
    <w:bookmarkStart w:id="37" w:name="page38"/>
    <w:bookmarkEnd w:id="37"/>
    <w:p>
      <w:pPr>
        <w:jc w:val="both"/>
        <w:ind w:firstLine="656"/>
        <w:spacing w:after="0" w:line="267" w:lineRule="auto"/>
        <w:tabs>
          <w:tab w:leader="none" w:pos="11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Notes to Be Converted</w:t>
      </w:r>
      <w:r>
        <w:rPr>
          <w:rFonts w:ascii="Times New Roman" w:cs="Times New Roman" w:eastAsia="Times New Roman" w:hAnsi="Times New Roman"/>
          <w:sz w:val="18"/>
          <w:szCs w:val="18"/>
          <w:color w:val="auto"/>
        </w:rPr>
        <w:t>. At the Close of Business on the Conversion Date for any Note (or any portion thereof) to be converted, such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such portion) will (unless there occurs a Default in the delivery of the Conversion Consideration or interest due, pursuant to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upon such conversion) be deemed to cease to be outstanding, except to the extent provided in</w:t>
      </w:r>
      <w:r>
        <w:rPr>
          <w:rFonts w:ascii="Times New Roman" w:cs="Times New Roman" w:eastAsia="Times New Roman" w:hAnsi="Times New Roman"/>
          <w:sz w:val="18"/>
          <w:szCs w:val="18"/>
          <w:b w:val="1"/>
          <w:bCs w:val="1"/>
          <w:color w:val="auto"/>
        </w:rPr>
        <w:t xml:space="preserve"> Section 5.02(D)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5.08</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firstLine="656"/>
        <w:spacing w:after="0" w:line="268" w:lineRule="auto"/>
        <w:tabs>
          <w:tab w:leader="none" w:pos="10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Cessation of Accrual of Interest</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4.04(C)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interest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cease to accrue on each Note from, and including, the date that such Note is deemed, pursuant to this </w:t>
      </w:r>
      <w:r>
        <w:rPr>
          <w:rFonts w:ascii="Times New Roman" w:cs="Times New Roman" w:eastAsia="Times New Roman" w:hAnsi="Times New Roman"/>
          <w:sz w:val="18"/>
          <w:szCs w:val="18"/>
          <w:b w:val="1"/>
          <w:bCs w:val="1"/>
          <w:color w:val="auto"/>
        </w:rPr>
        <w:t>Section 2.17</w:t>
      </w:r>
      <w:r>
        <w:rPr>
          <w:rFonts w:ascii="Times New Roman" w:cs="Times New Roman" w:eastAsia="Times New Roman" w:hAnsi="Times New Roman"/>
          <w:sz w:val="18"/>
          <w:szCs w:val="18"/>
          <w:color w:val="auto"/>
        </w:rPr>
        <w:t>, to cease to be outstanding, unless there occurs a default in the payment or delivery of any cash or other property due on such Note.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2.18. Repurchases by the Company.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2.14</w:t>
      </w:r>
      <w:r>
        <w:rPr>
          <w:rFonts w:ascii="Times New Roman" w:cs="Times New Roman" w:eastAsia="Times New Roman" w:hAnsi="Times New Roman"/>
          <w:sz w:val="18"/>
          <w:szCs w:val="18"/>
          <w:color w:val="auto"/>
        </w:rPr>
        <w:t xml:space="preserve">, the Company may, directly or indirectly, from time to time, repurchase Notes in open market purchases or in negotiated transactions or otherwise, without delivering prior notice to Holders. Any Notes repurchased by the Company pursuant to this </w:t>
      </w:r>
      <w:r>
        <w:rPr>
          <w:rFonts w:ascii="Times New Roman" w:cs="Times New Roman" w:eastAsia="Times New Roman" w:hAnsi="Times New Roman"/>
          <w:sz w:val="18"/>
          <w:szCs w:val="18"/>
          <w:b w:val="1"/>
          <w:bCs w:val="1"/>
          <w:color w:val="auto"/>
        </w:rPr>
        <w:t xml:space="preserve">Section 2.18 </w:t>
      </w:r>
      <w:r>
        <w:rPr>
          <w:rFonts w:ascii="Times New Roman" w:cs="Times New Roman" w:eastAsia="Times New Roman" w:hAnsi="Times New Roman"/>
          <w:sz w:val="18"/>
          <w:szCs w:val="18"/>
          <w:color w:val="auto"/>
        </w:rPr>
        <w:t>shall be considered outstanding under this Indenture (except as set forth in</w:t>
      </w:r>
      <w:r>
        <w:rPr>
          <w:rFonts w:ascii="Times New Roman" w:cs="Times New Roman" w:eastAsia="Times New Roman" w:hAnsi="Times New Roman"/>
          <w:sz w:val="18"/>
          <w:szCs w:val="18"/>
          <w:b w:val="1"/>
          <w:bCs w:val="1"/>
          <w:color w:val="auto"/>
        </w:rPr>
        <w:t xml:space="preserve"> Section 2.15</w:t>
      </w:r>
      <w:r>
        <w:rPr>
          <w:rFonts w:ascii="Times New Roman" w:cs="Times New Roman" w:eastAsia="Times New Roman" w:hAnsi="Times New Roman"/>
          <w:sz w:val="18"/>
          <w:szCs w:val="18"/>
          <w:color w:val="auto"/>
        </w:rPr>
        <w:t>) unless and until such time the Company surrenders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Notes to the Trustee for cancellation and, upon receipt thereof, the Trustee shall cancel all Notes so surrendered in accordance with </w:t>
      </w:r>
      <w:r>
        <w:rPr>
          <w:rFonts w:ascii="Times New Roman" w:cs="Times New Roman" w:eastAsia="Times New Roman" w:hAnsi="Times New Roman"/>
          <w:sz w:val="18"/>
          <w:szCs w:val="18"/>
          <w:b w:val="1"/>
          <w:bCs w:val="1"/>
          <w:color w:val="auto"/>
        </w:rPr>
        <w:t>Section 2.14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2.19. CUSIP and ISIN Numbers.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Subject to the provisions of this Indenture, the Company may use one or more CUSIP or ISIN numbers to identify any of the Notes, and, if so, the Company and the Trustee will use such CUSIP or ISIN number(s) in notices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ectPr>
          <w:pgSz w:w="11900" w:h="16838" w:orient="portrait"/>
          <w:cols w:equalWidth="0" w:num="1">
            <w:col w:w="11240"/>
          </w:cols>
          <w:pgMar w:left="320" w:top="1415" w:right="339" w:bottom="1440" w:gutter="0" w:footer="0" w:header="0"/>
        </w:sectPr>
      </w:pPr>
    </w:p>
    <w:bookmarkStart w:id="38" w:name="page39"/>
    <w:bookmarkEnd w:id="38"/>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Article 3</w:t>
        <w:tab/>
        <w:t>COVENANTS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3.01. Payment on Notes.</w:t>
      </w:r>
    </w:p>
    <w:p>
      <w:pPr>
        <w:spacing w:after="0" w:line="227" w:lineRule="exact"/>
        <w:rPr>
          <w:sz w:val="20"/>
          <w:szCs w:val="20"/>
          <w:color w:val="auto"/>
        </w:rPr>
      </w:pPr>
    </w:p>
    <w:p>
      <w:pPr>
        <w:ind w:firstLine="656"/>
        <w:spacing w:after="0" w:line="284" w:lineRule="auto"/>
        <w:tabs>
          <w:tab w:leader="none" w:pos="10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pay or cause to be paid all the principal of, the Fundamental Change Repurchase Price, Optional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and Redemption Price for, interest on, and other amounts due with respect to, the Notes on the dates and in the manner set forth in this Indenture.</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112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Deposit of Funds</w:t>
      </w:r>
      <w:r>
        <w:rPr>
          <w:rFonts w:ascii="Times New Roman" w:cs="Times New Roman" w:eastAsia="Times New Roman" w:hAnsi="Times New Roman"/>
          <w:sz w:val="18"/>
          <w:szCs w:val="18"/>
          <w:color w:val="auto"/>
        </w:rPr>
        <w:t>. Before 11:00 A.M., New York City time, on each Redemption Date, Fundamental Change Repurchase Date,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Date or 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3.02. Exchange Act Reports.</w:t>
      </w:r>
    </w:p>
    <w:p>
      <w:pPr>
        <w:spacing w:after="0" w:line="227" w:lineRule="exact"/>
        <w:rPr>
          <w:sz w:val="20"/>
          <w:szCs w:val="20"/>
          <w:color w:val="auto"/>
        </w:rPr>
      </w:pPr>
    </w:p>
    <w:p>
      <w:pPr>
        <w:jc w:val="both"/>
        <w:ind w:firstLine="656"/>
        <w:spacing w:after="0" w:line="254" w:lineRule="auto"/>
        <w:tabs>
          <w:tab w:leader="none" w:pos="10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send to the Trustee copies of all reports that the Company is required to file with the SEC pursuant to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13(a) or 15(d) of the Exchange Act (other than current reports on Form 8-K (or any successor form)) within fifteen (15) calendar days after the date that the Company is required to file the same (after giving effect to all applicable grace periods under the Exchange Act, including any grace period provided by Rule 12b-25 (which grace period, for the avoidance of doubt, shall be deemed applicable whether or not the Company checks the box in the relevant Rule 12b-25 filing indicating the Company expects to file such report within the applicable Rule 12b-25 grace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need not send to the Trustee any material for which the Company has received, or is seeking in good faith and has not been denied, confidential treatment by the SEC. Any report that the Company files with the SEC through the EDGAR system (or any successor thereto) will be deemed to be sent to the Trustee at the time such report is so filed via the EDGAR system (or such successor). Upon the request of any Holder, the Company will provide to such Holder a copy of any report that the Company has sent the Trustee pursuant to this </w:t>
      </w:r>
      <w:r>
        <w:rPr>
          <w:rFonts w:ascii="Times New Roman" w:cs="Times New Roman" w:eastAsia="Times New Roman" w:hAnsi="Times New Roman"/>
          <w:sz w:val="18"/>
          <w:szCs w:val="18"/>
          <w:b w:val="1"/>
          <w:bCs w:val="1"/>
          <w:color w:val="auto"/>
        </w:rPr>
        <w:t>Section 3.02(A)</w:t>
      </w:r>
      <w:r>
        <w:rPr>
          <w:rFonts w:ascii="Times New Roman" w:cs="Times New Roman" w:eastAsia="Times New Roman" w:hAnsi="Times New Roman"/>
          <w:sz w:val="18"/>
          <w:szCs w:val="18"/>
          <w:color w:val="auto"/>
        </w:rPr>
        <w:t>, other than a report that is deemed to be sent to the Trustee pursuant to the preceding sentence.</w:t>
      </w:r>
    </w:p>
    <w:p>
      <w:pPr>
        <w:spacing w:after="0" w:line="185" w:lineRule="exact"/>
        <w:rPr>
          <w:rFonts w:ascii="Times New Roman" w:cs="Times New Roman" w:eastAsia="Times New Roman" w:hAnsi="Times New Roman"/>
          <w:sz w:val="18"/>
          <w:szCs w:val="18"/>
          <w:color w:val="auto"/>
        </w:rPr>
      </w:pPr>
    </w:p>
    <w:p>
      <w:pPr>
        <w:jc w:val="both"/>
        <w:ind w:firstLine="656"/>
        <w:spacing w:after="0" w:line="255"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The Trustee will not be responsible for determining whether the Company has filed any material via the EDGAR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system (or such successor) or for the timeliness of its content. The sending or filing of reports, information and documents pursuant to </w:t>
      </w:r>
      <w:r>
        <w:rPr>
          <w:rFonts w:ascii="Times New Roman" w:cs="Times New Roman" w:eastAsia="Times New Roman" w:hAnsi="Times New Roman"/>
          <w:sz w:val="18"/>
          <w:szCs w:val="18"/>
          <w:b w:val="1"/>
          <w:bCs w:val="1"/>
          <w:color w:val="auto"/>
        </w:rPr>
        <w:t>Section 3.02(A)</w:t>
      </w:r>
      <w:r>
        <w:rPr>
          <w:rFonts w:ascii="Times New Roman" w:cs="Times New Roman" w:eastAsia="Times New Roman" w:hAnsi="Times New Roman"/>
          <w:sz w:val="18"/>
          <w:szCs w:val="18"/>
          <w:color w:val="auto"/>
        </w:rPr>
        <w:t xml:space="preserve"> is for informational purposes only and the information and the Trustee’s receipt of the foregoing will not be deemed to constitute actual or constructive notice to the Trustee of any information contained, or determinable from information contained, therein, including the Company’s compliance with any of its covenants under this Indenture (as to which the Trustee is entitled to rely exclusively on an Officer’s Certificate). The Trustee will have no obligation whatsoever to monitor or confirm, on a continuing basis or otherwise, the Company’s compliance with its covenants under this Indenture or with respect to any reports or other documents filed with the SEC via the EDGAR system (or any successor thereto) or any other website, or to participate in any conference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1240"/>
          </w:cols>
          <w:pgMar w:left="320" w:top="142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Section 3.03. Rule 144A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is not subject to Section 13 or 15(d) of the Exchange Act at any time when any Notes or shares of Common Stock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The Company (or its successor) will take such further action as any Holder or beneficial owner of such Notes or shares may reasonably request to enable such Holder or beneficial owner to sell such Notes or shares pursuant to Rule 144A.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3.04. Additional Interest.</w:t>
      </w:r>
    </w:p>
    <w:p>
      <w:pPr>
        <w:spacing w:after="0" w:line="22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Accrual of Additional Interest</w:t>
      </w:r>
      <w:r>
        <w:rPr>
          <w:rFonts w:ascii="Times New Roman" w:cs="Times New Roman" w:eastAsia="Times New Roman" w:hAnsi="Times New Roman"/>
          <w:sz w:val="18"/>
          <w:szCs w:val="18"/>
          <w:color w:val="auto"/>
        </w:rPr>
        <w:t>. If, on any day occurring on or after six (6) months after the Last Original Issue Date of any Note,</w:t>
      </w:r>
    </w:p>
    <w:p>
      <w:pPr>
        <w:spacing w:after="0" w:line="227"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satisfied the reporting conditions set forth in Rule 144(c) and Rule 144(i)(2) under the Securities Act; or</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is not otherwise Freely Tradable,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Additional Interest will accrue on such Note for such day.</w:t>
      </w:r>
    </w:p>
    <w:p>
      <w:pPr>
        <w:spacing w:after="0" w:line="221" w:lineRule="exact"/>
        <w:rPr>
          <w:sz w:val="20"/>
          <w:szCs w:val="20"/>
          <w:color w:val="auto"/>
        </w:rPr>
      </w:pPr>
    </w:p>
    <w:p>
      <w:pPr>
        <w:jc w:val="both"/>
        <w:ind w:firstLine="656"/>
        <w:spacing w:after="0" w:line="257" w:lineRule="auto"/>
        <w:tabs>
          <w:tab w:leader="none" w:pos="10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Amount and Payment of Additional Interest</w:t>
      </w:r>
      <w:r>
        <w:rPr>
          <w:rFonts w:ascii="Times New Roman" w:cs="Times New Roman" w:eastAsia="Times New Roman" w:hAnsi="Times New Roman"/>
          <w:sz w:val="18"/>
          <w:szCs w:val="18"/>
          <w:color w:val="auto"/>
        </w:rPr>
        <w:t>. Any Additional Interest that accrues on a Note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3.04(A)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payable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same dates and in the same manner as the Stated Interest on such Note and will accrue at a rate per annum equal to one half of one percent (0.50%) of the principal amount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will Additional Interest, together with any Special Interest, accrue on any day on a Note at a combined rate per annum that exceeds one percent (1.00%). For the avoidance of doubt, any Additional Interest that accrues on a Note will be in addition to the Stated Interest that accrues on such Note and, subject to the proviso of the immediately preceding sentence, in addition to any Special Interest that accrues on such Note.</w:t>
      </w:r>
    </w:p>
    <w:p>
      <w:pPr>
        <w:spacing w:after="0" w:line="184" w:lineRule="exact"/>
        <w:rPr>
          <w:rFonts w:ascii="Times New Roman" w:cs="Times New Roman" w:eastAsia="Times New Roman" w:hAnsi="Times New Roman"/>
          <w:sz w:val="18"/>
          <w:szCs w:val="18"/>
          <w:color w:val="auto"/>
        </w:rPr>
      </w:pPr>
    </w:p>
    <w:p>
      <w:pPr>
        <w:jc w:val="both"/>
        <w:ind w:firstLine="656"/>
        <w:spacing w:after="0" w:line="257" w:lineRule="auto"/>
        <w:tabs>
          <w:tab w:leader="none" w:pos="10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Accrual of Additional Interest; Trustee’s Disclaimer</w:t>
      </w:r>
      <w:r>
        <w:rPr>
          <w:rFonts w:ascii="Times New Roman" w:cs="Times New Roman" w:eastAsia="Times New Roman" w:hAnsi="Times New Roman"/>
          <w:sz w:val="18"/>
          <w:szCs w:val="18"/>
          <w:color w:val="auto"/>
        </w:rPr>
        <w:t>. The Company will send written notice to the Holder of each Note, and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of the commencement and termination of any period in which Additional Interest accrues on such Note.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the amount thereof.</w:t>
      </w:r>
    </w:p>
    <w:p>
      <w:pPr>
        <w:spacing w:after="0" w:line="182" w:lineRule="exact"/>
        <w:rPr>
          <w:rFonts w:ascii="Times New Roman" w:cs="Times New Roman" w:eastAsia="Times New Roman" w:hAnsi="Times New Roman"/>
          <w:sz w:val="18"/>
          <w:szCs w:val="18"/>
          <w:color w:val="auto"/>
        </w:rPr>
      </w:pPr>
    </w:p>
    <w:p>
      <w:pPr>
        <w:ind w:firstLine="656"/>
        <w:spacing w:after="0" w:line="284" w:lineRule="auto"/>
        <w:tabs>
          <w:tab w:leader="none" w:pos="113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Sole Remedy</w:t>
      </w:r>
      <w:r>
        <w:rPr>
          <w:rFonts w:ascii="Times New Roman" w:cs="Times New Roman" w:eastAsia="Times New Roman" w:hAnsi="Times New Roman"/>
          <w:sz w:val="18"/>
          <w:szCs w:val="18"/>
          <w:color w:val="auto"/>
        </w:rPr>
        <w:t>. The accrual of Additional Interest will be the sole remedy available to Holders under this Indenture for the failure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become Freely Tradable.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1240"/>
          </w:cols>
          <w:pgMar w:left="320" w:top="14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Section 3.05. Compliance and Default Certificates.</w:t>
      </w:r>
    </w:p>
    <w:p>
      <w:pPr>
        <w:spacing w:after="0" w:line="227" w:lineRule="exact"/>
        <w:rPr>
          <w:sz w:val="20"/>
          <w:szCs w:val="20"/>
          <w:color w:val="auto"/>
        </w:rPr>
      </w:pPr>
    </w:p>
    <w:p>
      <w:pPr>
        <w:jc w:val="both"/>
        <w:ind w:firstLine="656"/>
        <w:spacing w:after="0" w:line="258" w:lineRule="auto"/>
        <w:tabs>
          <w:tab w:leader="none" w:pos="10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Compliance Certificate</w:t>
      </w:r>
      <w:r>
        <w:rPr>
          <w:rFonts w:ascii="Times New Roman" w:cs="Times New Roman" w:eastAsia="Times New Roman" w:hAnsi="Times New Roman"/>
          <w:sz w:val="18"/>
          <w:szCs w:val="18"/>
          <w:color w:val="auto"/>
        </w:rPr>
        <w:t>. Within ninety (90) days after December 31, 2025 and each fiscal year of the Company ending thereafter,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and is continuing (and, if so, describing all such Defaults or Events of Default and what action the Company is taking or proposes to take with respect thereto).</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1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 Certificate</w:t>
      </w:r>
      <w:r>
        <w:rPr>
          <w:rFonts w:ascii="Times New Roman" w:cs="Times New Roman" w:eastAsia="Times New Roman" w:hAnsi="Times New Roman"/>
          <w:sz w:val="18"/>
          <w:szCs w:val="18"/>
          <w:color w:val="auto"/>
        </w:rPr>
        <w:t>. If a Default or Event of Default occurs, then the Company will, within thirty (30) days after the Company obtains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knowledge of the occurrence thereof, deliver an Officer’s Certificate to the Trustee describing the same and what action the Company is taking or proposes to take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will not be required to deliver such Officer’s Certificate if the Default or Event of Default has been cured (or deemed cured) or waived prior to the date that such notice is due.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3.06. Stay, Extension and Usury Laws.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193"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Article 4</w:t>
      </w:r>
      <w:r>
        <w:rPr>
          <w:sz w:val="20"/>
          <w:szCs w:val="20"/>
          <w:color w:val="auto"/>
        </w:rPr>
        <w:tab/>
      </w:r>
      <w:r>
        <w:rPr>
          <w:rFonts w:ascii="Times New Roman" w:cs="Times New Roman" w:eastAsia="Times New Roman" w:hAnsi="Times New Roman"/>
          <w:sz w:val="17"/>
          <w:szCs w:val="17"/>
          <w:b w:val="1"/>
          <w:bCs w:val="1"/>
          <w:color w:val="auto"/>
        </w:rPr>
        <w:t>REPURCHASE AND REDEMPTION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4.01. No Sinking Fund.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sinking fund is required to be provided for the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4.02. Right of Holders to Require the Company to Repurchase Notes upon a Fundamental Change.</w:t>
      </w:r>
    </w:p>
    <w:p>
      <w:pPr>
        <w:spacing w:after="0" w:line="225" w:lineRule="exact"/>
        <w:rPr>
          <w:sz w:val="20"/>
          <w:szCs w:val="20"/>
          <w:color w:val="auto"/>
        </w:rPr>
      </w:pPr>
    </w:p>
    <w:p>
      <w:pPr>
        <w:jc w:val="both"/>
        <w:ind w:firstLine="656"/>
        <w:spacing w:after="0" w:line="262" w:lineRule="auto"/>
        <w:tabs>
          <w:tab w:leader="none" w:pos="11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of Holders to Require the Company to Repurchase Notes Upon a Fundamental Change</w:t>
      </w:r>
      <w:r>
        <w:rPr>
          <w:rFonts w:ascii="Times New Roman" w:cs="Times New Roman" w:eastAsia="Times New Roman" w:hAnsi="Times New Roman"/>
          <w:sz w:val="18"/>
          <w:szCs w:val="18"/>
          <w:color w:val="auto"/>
        </w:rPr>
        <w:t>. Subject to the other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4.02</w:t>
      </w:r>
      <w:r>
        <w:rPr>
          <w:rFonts w:ascii="Times New Roman" w:cs="Times New Roman" w:eastAsia="Times New Roman" w:hAnsi="Times New Roman"/>
          <w:sz w:val="18"/>
          <w:szCs w:val="18"/>
          <w:color w:val="auto"/>
        </w:rPr>
        <w:t>, if a Fundamental Change occurs, then each Holder will have the right (the “</w:t>
      </w:r>
      <w:r>
        <w:rPr>
          <w:rFonts w:ascii="Times New Roman" w:cs="Times New Roman" w:eastAsia="Times New Roman" w:hAnsi="Times New Roman"/>
          <w:sz w:val="18"/>
          <w:szCs w:val="18"/>
          <w:b w:val="1"/>
          <w:bCs w:val="1"/>
          <w:color w:val="auto"/>
        </w:rPr>
        <w:t>Fundamental Change Repurchase Right</w:t>
      </w:r>
      <w:r>
        <w:rPr>
          <w:rFonts w:ascii="Times New Roman" w:cs="Times New Roman" w:eastAsia="Times New Roman" w:hAnsi="Times New Roman"/>
          <w:sz w:val="18"/>
          <w:szCs w:val="18"/>
          <w:color w:val="auto"/>
        </w:rPr>
        <w:t>”) to require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such Holder’s Notes (or any portion thereof in an Authorized Denomination) on the Fundamental Change Repurchase Date for such Fundamental Change for a cash purchase price equal to the Fundamental Change Repurchase Price.</w:t>
      </w:r>
    </w:p>
    <w:p>
      <w:pPr>
        <w:spacing w:after="0" w:line="178" w:lineRule="exact"/>
        <w:rPr>
          <w:rFonts w:ascii="Times New Roman" w:cs="Times New Roman" w:eastAsia="Times New Roman" w:hAnsi="Times New Roman"/>
          <w:sz w:val="18"/>
          <w:szCs w:val="18"/>
          <w:color w:val="auto"/>
        </w:rPr>
      </w:pPr>
    </w:p>
    <w:p>
      <w:pPr>
        <w:jc w:val="both"/>
        <w:ind w:firstLine="656"/>
        <w:spacing w:after="0" w:line="256" w:lineRule="auto"/>
        <w:tabs>
          <w:tab w:leader="none" w:pos="11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Prohibited in Certain Circumstances</w:t>
      </w:r>
      <w:r>
        <w:rPr>
          <w:rFonts w:ascii="Times New Roman" w:cs="Times New Roman" w:eastAsia="Times New Roman" w:hAnsi="Times New Roman"/>
          <w:sz w:val="18"/>
          <w:szCs w:val="18"/>
          <w:color w:val="auto"/>
        </w:rPr>
        <w:t>. If the principal amount of the Notes has been accelerated and such acceleration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 xml:space="preserve">, on such Fundamental Change Repurchase Date), then (i) the Company may not repurchase any Notes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10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Repurchase Date</w:t>
      </w:r>
      <w:r>
        <w:rPr>
          <w:rFonts w:ascii="Times New Roman" w:cs="Times New Roman" w:eastAsia="Times New Roman" w:hAnsi="Times New Roman"/>
          <w:sz w:val="18"/>
          <w:szCs w:val="18"/>
          <w:color w:val="auto"/>
        </w:rPr>
        <w:t>. The Fundamental Change Repurchase Date for any Fundamental Change will be a Business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Company’s choosing that is no more than thirty five (35), nor less than twenty (20), Business Days after the date the Company sends the related Fundamental Change Notice pursuant to </w:t>
      </w:r>
      <w:r>
        <w:rPr>
          <w:rFonts w:ascii="Times New Roman" w:cs="Times New Roman" w:eastAsia="Times New Roman" w:hAnsi="Times New Roman"/>
          <w:sz w:val="18"/>
          <w:szCs w:val="18"/>
          <w:b w:val="1"/>
          <w:bCs w:val="1"/>
          <w:color w:val="auto"/>
        </w:rPr>
        <w:t>Section 4.02(E)</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6"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ectPr>
          <w:pgSz w:w="11900" w:h="16838" w:orient="portrait"/>
          <w:cols w:equalWidth="0" w:num="1">
            <w:col w:w="11240"/>
          </w:cols>
          <w:pgMar w:left="320" w:top="1413" w:right="339" w:bottom="1440" w:gutter="0" w:footer="0" w:header="0"/>
        </w:sectPr>
      </w:pPr>
    </w:p>
    <w:bookmarkStart w:id="41" w:name="page42"/>
    <w:bookmarkEnd w:id="41"/>
    <w:p>
      <w:pPr>
        <w:jc w:val="both"/>
        <w:ind w:firstLine="656"/>
        <w:spacing w:after="0" w:line="253" w:lineRule="auto"/>
        <w:tabs>
          <w:tab w:leader="none" w:pos="11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Repurchase Price</w:t>
      </w:r>
      <w:r>
        <w:rPr>
          <w:rFonts w:ascii="Times New Roman" w:cs="Times New Roman" w:eastAsia="Times New Roman" w:hAnsi="Times New Roman"/>
          <w:sz w:val="18"/>
          <w:szCs w:val="18"/>
          <w:color w:val="auto"/>
        </w:rPr>
        <w:t>. The Fundamental Change Repurchase Price for any Note to be repurchased upon a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2.05(C)</w:t>
      </w:r>
      <w:r>
        <w:rPr>
          <w:rFonts w:ascii="Times New Roman" w:cs="Times New Roman" w:eastAsia="Times New Roman" w:hAnsi="Times New Roman"/>
          <w:sz w:val="18"/>
          <w:szCs w:val="18"/>
          <w:color w:val="auto"/>
        </w:rPr>
        <w:t>, on the next Business Day to Holders as of the Close of Business on the immediately preceding Regular Record Date; and (y) the Fundamental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Repurchase Price will include interest on Notes to be repurchased from, and including, such Interest Payment Date to, but excluding, such Fundamental Change Repurchase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1240"/>
          </w:cols>
          <w:pgMar w:left="320" w:top="1415" w:right="339" w:bottom="1440" w:gutter="0" w:footer="0" w:header="0"/>
        </w:sectPr>
      </w:pPr>
    </w:p>
    <w:bookmarkStart w:id="42" w:name="page43"/>
    <w:bookmarkEnd w:id="42"/>
    <w:p>
      <w:pPr>
        <w:jc w:val="both"/>
        <w:ind w:firstLine="656"/>
        <w:spacing w:after="0" w:line="267" w:lineRule="auto"/>
        <w:tabs>
          <w:tab w:leader="none" w:pos="10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Notice</w:t>
      </w:r>
      <w:r>
        <w:rPr>
          <w:rFonts w:ascii="Times New Roman" w:cs="Times New Roman" w:eastAsia="Times New Roman" w:hAnsi="Times New Roman"/>
          <w:sz w:val="18"/>
          <w:szCs w:val="18"/>
          <w:color w:val="auto"/>
        </w:rPr>
        <w:t>. On or before the twentieth (20th) calendar day after the effective date of a Fundamental Change,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send to each Holder in writing, with a copy to the Trustee, the Paying Agent and the Conversion Agent a notice of such Fundamental Change (a “</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Fundamental Change Notice must state:</w:t>
      </w:r>
    </w:p>
    <w:p>
      <w:pPr>
        <w:spacing w:after="0" w:line="225" w:lineRule="exact"/>
        <w:rPr>
          <w:sz w:val="20"/>
          <w:szCs w:val="20"/>
          <w:color w:val="auto"/>
        </w:rPr>
      </w:pPr>
    </w:p>
    <w:p>
      <w:pPr>
        <w:ind w:left="1660" w:hanging="356"/>
        <w:spacing w:after="0"/>
        <w:tabs>
          <w:tab w:leader="none" w:pos="1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briefly, the events causing such Fundamental Change;</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such Fundamental Change;</w:t>
      </w:r>
    </w:p>
    <w:p>
      <w:pPr>
        <w:spacing w:after="0" w:line="221"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7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procedures that a Holder must follow to require the Company to repurchase its Notes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including the deadline for exercising the Fundamental Change Repurchase Right and the procedures for submitting and withdrawing a Fundamental Change Repurchase Notice;</w:t>
      </w:r>
    </w:p>
    <w:p>
      <w:pPr>
        <w:spacing w:after="0" w:line="174"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 for such Fundamental Change;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the first sentence of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Rate in effect on the date of such Fundamental Change Notice and a description and quantification of any adjustments to the Conversion Rate that may result from such Fundamental Change (including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8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7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(or any portion thereof) that are subject to a Fundamental Change Repurchase Notice that has been duly tendered may be converted only if such Fundamental Change Repurchase Notice is withdrawn in accordance with this Indenture; and</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 ISIN numbers, if any, of the Notes.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ectPr>
          <w:pgSz w:w="11900" w:h="16838" w:orient="portrait"/>
          <w:cols w:equalWidth="0" w:num="1">
            <w:col w:w="11240"/>
          </w:cols>
          <w:pgMar w:left="320" w:top="1415" w:right="339" w:bottom="1440" w:gutter="0" w:footer="0" w:header="0"/>
        </w:sectPr>
      </w:pPr>
    </w:p>
    <w:bookmarkStart w:id="43" w:name="page44"/>
    <w:bookmarkEnd w:id="43"/>
    <w:p>
      <w:pPr>
        <w:ind w:left="404" w:hanging="404"/>
        <w:spacing w:after="0"/>
        <w:tabs>
          <w:tab w:leader="none" w:pos="4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to Exercise the Fundamental Change Repurchase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644"/>
        <w:spacing w:after="0" w:line="284" w:lineRule="auto"/>
        <w:tabs>
          <w:tab w:leader="none" w:pos="100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Fundamental Change Repurchase Notice and Notes to Be Repurchased</w:t>
      </w:r>
      <w:r>
        <w:rPr>
          <w:rFonts w:ascii="Times New Roman" w:cs="Times New Roman" w:eastAsia="Times New Roman" w:hAnsi="Times New Roman"/>
          <w:sz w:val="18"/>
          <w:szCs w:val="18"/>
          <w:color w:val="auto"/>
        </w:rPr>
        <w:t>. To exercise its Fundamental Change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for a Note following a Fundamental Change, the Holder thereof must deliver to the Paying Agent:</w:t>
      </w:r>
    </w:p>
    <w:p>
      <w:pPr>
        <w:spacing w:after="0" w:line="160"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725"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175" w:lineRule="exact"/>
        <w:rPr>
          <w:rFonts w:ascii="Times New Roman" w:cs="Times New Roman" w:eastAsia="Times New Roman" w:hAnsi="Times New Roman"/>
          <w:sz w:val="18"/>
          <w:szCs w:val="18"/>
          <w:color w:val="auto"/>
        </w:rPr>
      </w:pPr>
    </w:p>
    <w:p>
      <w:pPr>
        <w:ind w:left="1704" w:hanging="408"/>
        <w:spacing w:after="0"/>
        <w:tabs>
          <w:tab w:leader="none" w:pos="170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duly endorsed for transfer (if such Note is a Physical Note) or by book-entry transfer (if such Note is a Global</w:t>
      </w:r>
    </w:p>
    <w:p>
      <w:pPr>
        <w:spacing w:after="0" w:line="27"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Paying Agent will promptly deliver to the Company a copy of each Fundamental Change Repurchase Notice that it receives.</w:t>
      </w:r>
    </w:p>
    <w:p>
      <w:pPr>
        <w:spacing w:after="0" w:line="223" w:lineRule="exact"/>
        <w:rPr>
          <w:sz w:val="20"/>
          <w:szCs w:val="20"/>
          <w:color w:val="auto"/>
        </w:rPr>
      </w:pPr>
    </w:p>
    <w:p>
      <w:pPr>
        <w:ind w:left="1084" w:hanging="436"/>
        <w:spacing w:after="0"/>
        <w:tabs>
          <w:tab w:leader="none" w:pos="10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Contents of Fundamental Change Repurchase Notices</w:t>
      </w:r>
      <w:r>
        <w:rPr>
          <w:rFonts w:ascii="Times New Roman" w:cs="Times New Roman" w:eastAsia="Times New Roman" w:hAnsi="Times New Roman"/>
          <w:sz w:val="18"/>
          <w:szCs w:val="18"/>
          <w:color w:val="auto"/>
        </w:rPr>
        <w:t>. Each Fundamental Change Repurchase Notice with respect to a Note must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state:</w:t>
      </w:r>
    </w:p>
    <w:p>
      <w:pPr>
        <w:spacing w:after="0" w:line="207" w:lineRule="exact"/>
        <w:rPr>
          <w:sz w:val="20"/>
          <w:szCs w:val="20"/>
          <w:color w:val="auto"/>
        </w:rPr>
      </w:pPr>
    </w:p>
    <w:p>
      <w:pPr>
        <w:ind w:left="1684" w:hanging="388"/>
        <w:spacing w:after="0"/>
        <w:tabs>
          <w:tab w:leader="none" w:pos="16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Physical Note, the certificate number of such Note;</w:t>
      </w:r>
    </w:p>
    <w:p>
      <w:pPr>
        <w:spacing w:after="0" w:line="225" w:lineRule="exact"/>
        <w:rPr>
          <w:rFonts w:ascii="Times New Roman" w:cs="Times New Roman" w:eastAsia="Times New Roman" w:hAnsi="Times New Roman"/>
          <w:sz w:val="18"/>
          <w:szCs w:val="18"/>
          <w:color w:val="auto"/>
        </w:rPr>
      </w:pPr>
    </w:p>
    <w:p>
      <w:pPr>
        <w:ind w:left="1684" w:hanging="388"/>
        <w:spacing w:after="0"/>
        <w:tabs>
          <w:tab w:leader="none" w:pos="16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to be repurchased, which must be an Authorized Denomination; and</w:t>
      </w:r>
    </w:p>
    <w:p>
      <w:pPr>
        <w:spacing w:after="0" w:line="225" w:lineRule="exact"/>
        <w:rPr>
          <w:rFonts w:ascii="Times New Roman" w:cs="Times New Roman" w:eastAsia="Times New Roman" w:hAnsi="Times New Roman"/>
          <w:sz w:val="18"/>
          <w:szCs w:val="18"/>
          <w:color w:val="auto"/>
        </w:rPr>
      </w:pPr>
    </w:p>
    <w:p>
      <w:pPr>
        <w:ind w:left="1744" w:hanging="448"/>
        <w:spacing w:after="0"/>
        <w:tabs>
          <w:tab w:leader="none" w:pos="17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Holder is exercising its Fundamental Change Repurchase Right with respect to such principal amount of such</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Note;</w:t>
      </w:r>
    </w:p>
    <w:p>
      <w:pPr>
        <w:spacing w:after="0" w:line="205"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Note is a Global Note, then such Fundamental Change Repurchase Notice must comply with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Procedures (and any such Fundamental Change Repurchase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- 34 -</w:t>
      </w:r>
    </w:p>
    <w:p>
      <w:pPr>
        <w:sectPr>
          <w:pgSz w:w="11900" w:h="16838" w:orient="portrait"/>
          <w:cols w:equalWidth="0" w:num="1">
            <w:col w:w="10584"/>
          </w:cols>
          <w:pgMar w:left="976" w:top="1415" w:right="339" w:bottom="1440" w:gutter="0" w:footer="0" w:header="0"/>
        </w:sectPr>
      </w:pPr>
    </w:p>
    <w:bookmarkStart w:id="44" w:name="page45"/>
    <w:bookmarkEnd w:id="44"/>
    <w:p>
      <w:pPr>
        <w:jc w:val="both"/>
        <w:ind w:left="660" w:firstLine="644"/>
        <w:spacing w:after="0" w:line="261" w:lineRule="auto"/>
        <w:tabs>
          <w:tab w:leader="none" w:pos="18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Withdrawal of Fundamental Change Repurchase Notice</w:t>
      </w:r>
      <w:r>
        <w:rPr>
          <w:rFonts w:ascii="Times New Roman" w:cs="Times New Roman" w:eastAsia="Times New Roman" w:hAnsi="Times New Roman"/>
          <w:sz w:val="18"/>
          <w:szCs w:val="18"/>
          <w:color w:val="auto"/>
        </w:rPr>
        <w:t>. A Holder that has delivered a Fundamental Change Repurchase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181"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Physical Note, the certificate number of such Note;</w:t>
      </w:r>
    </w:p>
    <w:p>
      <w:pPr>
        <w:spacing w:after="0" w:line="22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to be withdrawn, which must be an Authorized Denomination; and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40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if any, that remains subject to such Fundamental Change Repurchase Notice, which must be an Authorized Denomination;</w:t>
      </w:r>
    </w:p>
    <w:p>
      <w:pPr>
        <w:spacing w:after="0" w:line="160"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Note is a Global Note, then such withdrawal notice must comply with the Depositary Procedures (and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withdrawal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85" w:lineRule="exact"/>
        <w:rPr>
          <w:sz w:val="20"/>
          <w:szCs w:val="20"/>
          <w:color w:val="auto"/>
        </w:rPr>
      </w:pPr>
    </w:p>
    <w:p>
      <w:pPr>
        <w:jc w:val="both"/>
        <w:ind w:firstLine="656"/>
        <w:spacing w:after="0" w:line="255" w:lineRule="auto"/>
        <w:tabs>
          <w:tab w:leader="none" w:pos="11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the Fundamental Change Repurchase Price</w:t>
      </w:r>
      <w:r>
        <w:rPr>
          <w:rFonts w:ascii="Times New Roman" w:cs="Times New Roman" w:eastAsia="Times New Roman" w:hAnsi="Times New Roman"/>
          <w:sz w:val="18"/>
          <w:szCs w:val="18"/>
          <w:color w:val="auto"/>
        </w:rPr>
        <w:t>. Without limiting the Company’s obligation to deposit the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Repurchase Price within the time prescribed by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4.02(D) </w:t>
      </w:r>
      <w:r>
        <w:rPr>
          <w:rFonts w:ascii="Times New Roman" w:cs="Times New Roman" w:eastAsia="Times New Roman" w:hAnsi="Times New Roman"/>
          <w:sz w:val="18"/>
          <w:szCs w:val="18"/>
          <w:color w:val="auto"/>
        </w:rPr>
        <w:t>on any Note to be repurchased pursuant to a Repurchase Upon Fundamental Change must be paid pursuant to such proviso regardless of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Note is delivered or such Depositary Procedures are complied with pursuant to the first sentence of this </w:t>
      </w:r>
      <w:r>
        <w:rPr>
          <w:rFonts w:ascii="Times New Roman" w:cs="Times New Roman" w:eastAsia="Times New Roman" w:hAnsi="Times New Roman"/>
          <w:sz w:val="18"/>
          <w:szCs w:val="18"/>
          <w:b w:val="1"/>
          <w:bCs w:val="1"/>
          <w:color w:val="auto"/>
        </w:rPr>
        <w:t>Section 4.02(G)</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656"/>
        <w:spacing w:after="0" w:line="259" w:lineRule="auto"/>
        <w:tabs>
          <w:tab w:leader="none" w:pos="11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Party May Conduct Repurchase Offer In Lieu of the Company</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will be deemed to satisfy its obligations under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if one or more third parties conduct any Repurchase Upon Fundamental Change and related offer to repurchase Notes otherwise required by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in the same manner</w:t>
      </w:r>
      <w:r>
        <w:rPr>
          <w:rFonts w:ascii="Times New Roman" w:cs="Times New Roman" w:eastAsia="Times New Roman" w:hAnsi="Times New Roman"/>
          <w:sz w:val="18"/>
          <w:szCs w:val="18"/>
          <w:color w:val="231F20"/>
        </w:rPr>
        <w:t>, at the same time and otherwise in compliance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requirements for an offer made by the Company as provided in this </w:t>
      </w:r>
      <w:r>
        <w:rPr>
          <w:rFonts w:ascii="Times New Roman" w:cs="Times New Roman" w:eastAsia="Times New Roman" w:hAnsi="Times New Roman"/>
          <w:sz w:val="18"/>
          <w:szCs w:val="18"/>
          <w:b w:val="1"/>
          <w:bCs w:val="1"/>
          <w:color w:val="000000"/>
        </w:rPr>
        <w:t>Section 4.02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that would have satisfied the requirements of this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000000"/>
        </w:rPr>
        <w:t>Section 4.02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conducted directly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ectPr>
          <w:pgSz w:w="11900" w:h="16838" w:orient="portrait"/>
          <w:cols w:equalWidth="0" w:num="1">
            <w:col w:w="11240"/>
          </w:cols>
          <w:pgMar w:left="320" w:top="1415" w:right="339" w:bottom="1440" w:gutter="0" w:footer="0" w:header="0"/>
        </w:sectPr>
      </w:pPr>
    </w:p>
    <w:bookmarkStart w:id="45" w:name="page46"/>
    <w:bookmarkEnd w:id="45"/>
    <w:p>
      <w:pPr>
        <w:jc w:val="both"/>
        <w:ind w:firstLine="656"/>
        <w:spacing w:after="0" w:line="253" w:lineRule="auto"/>
        <w:tabs>
          <w:tab w:leader="none" w:pos="10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Requirement to Conduct an Offer to Repurchase Notes if the Fundamental Change Results in the Notes Becoming Convertible into an Amount of Cash Exceeding the Fundamental Change Repurchase Price</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the Company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be required to send a Fundamental Change Notice pursuant to </w:t>
      </w:r>
      <w:r>
        <w:rPr>
          <w:rFonts w:ascii="Times New Roman" w:cs="Times New Roman" w:eastAsia="Times New Roman" w:hAnsi="Times New Roman"/>
          <w:sz w:val="18"/>
          <w:szCs w:val="18"/>
          <w:b w:val="1"/>
          <w:bCs w:val="1"/>
          <w:color w:val="auto"/>
        </w:rPr>
        <w:t>Section 4.02(E)</w:t>
      </w:r>
      <w:r>
        <w:rPr>
          <w:rFonts w:ascii="Times New Roman" w:cs="Times New Roman" w:eastAsia="Times New Roman" w:hAnsi="Times New Roman"/>
          <w:sz w:val="18"/>
          <w:szCs w:val="18"/>
          <w:color w:val="auto"/>
        </w:rPr>
        <w:t xml:space="preserve">, or offer to repurchase or repurchase any Notes pursuant to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4.02</w:t>
      </w:r>
      <w:r>
        <w:rPr>
          <w:rFonts w:ascii="Times New Roman" w:cs="Times New Roman" w:eastAsia="Times New Roman" w:hAnsi="Times New Roman"/>
          <w:sz w:val="18"/>
          <w:szCs w:val="18"/>
          <w:color w:val="auto"/>
        </w:rPr>
        <w:t>, in connection with a Common Stock Change Event that constitutes a Fundamental Change pursuant to</w:t>
      </w:r>
      <w:r>
        <w:rPr>
          <w:rFonts w:ascii="Times New Roman" w:cs="Times New Roman" w:eastAsia="Times New Roman" w:hAnsi="Times New Roman"/>
          <w:sz w:val="18"/>
          <w:szCs w:val="18"/>
          <w:b w:val="1"/>
          <w:bCs w:val="1"/>
          <w:color w:val="auto"/>
        </w:rPr>
        <w:t xml:space="preserve"> clause (B)(ii) </w:t>
      </w:r>
      <w:r>
        <w:rPr>
          <w:rFonts w:ascii="Times New Roman" w:cs="Times New Roman" w:eastAsia="Times New Roman" w:hAnsi="Times New Roman"/>
          <w:sz w:val="18"/>
          <w:szCs w:val="18"/>
          <w:color w:val="auto"/>
        </w:rPr>
        <w:t>of the definition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(regardless of whether such Common Stock Change Event also constitutes a Fundamental Change pursuant to any other clause of such definition), if (i) the Reference Property of such Common Stock Change Event consists entirely of cash in U.S. dollars; (ii) immediately after such Fundamental Change, the Notes become convertible, pursuant to </w:t>
      </w:r>
      <w:r>
        <w:rPr>
          <w:rFonts w:ascii="Times New Roman" w:cs="Times New Roman" w:eastAsia="Times New Roman" w:hAnsi="Times New Roman"/>
          <w:sz w:val="18"/>
          <w:szCs w:val="18"/>
          <w:b w:val="1"/>
          <w:bCs w:val="1"/>
          <w:color w:val="auto"/>
        </w:rPr>
        <w:t>Section 5.09(A)</w:t>
      </w:r>
      <w:r>
        <w:rPr>
          <w:rFonts w:ascii="Times New Roman" w:cs="Times New Roman" w:eastAsia="Times New Roman" w:hAnsi="Times New Roman"/>
          <w:sz w:val="18"/>
          <w:szCs w:val="18"/>
          <w:color w:val="auto"/>
        </w:rPr>
        <w:t xml:space="preserve"> and, if applicable,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into consideration that consists solely of U.S. dollars in an amount per $1,000 aggregate principal amount of Notes that equals or exceeds the Fundamental Change Repurchase Price per $1,000 aggregate principal amount of Notes (calculated assuming that the same includes the maximum amount of accrued interest payable as part of the related Fundamental Change Repurchase Price); and (iii) the Company timely sends the notice relating to such Fundamental Change required pursuant to </w:t>
      </w:r>
      <w:r>
        <w:rPr>
          <w:rFonts w:ascii="Times New Roman" w:cs="Times New Roman" w:eastAsia="Times New Roman" w:hAnsi="Times New Roman"/>
          <w:sz w:val="18"/>
          <w:szCs w:val="18"/>
          <w:b w:val="1"/>
          <w:bCs w:val="1"/>
          <w:color w:val="auto"/>
        </w:rPr>
        <w:t>Section 5.01(C)(i)(3)(b)</w:t>
      </w:r>
      <w:r>
        <w:rPr>
          <w:rFonts w:ascii="Times New Roman" w:cs="Times New Roman" w:eastAsia="Times New Roman" w:hAnsi="Times New Roman"/>
          <w:sz w:val="18"/>
          <w:szCs w:val="18"/>
          <w:color w:val="auto"/>
        </w:rPr>
        <w:t xml:space="preserve">, and includes, in such notice, a statement that the Company is relying on this </w:t>
      </w:r>
      <w:r>
        <w:rPr>
          <w:rFonts w:ascii="Times New Roman" w:cs="Times New Roman" w:eastAsia="Times New Roman" w:hAnsi="Times New Roman"/>
          <w:sz w:val="18"/>
          <w:szCs w:val="18"/>
          <w:b w:val="1"/>
          <w:bCs w:val="1"/>
          <w:color w:val="auto"/>
        </w:rPr>
        <w:t>Section 4.02(I)</w:t>
      </w:r>
      <w:r>
        <w:rPr>
          <w:rFonts w:ascii="Times New Roman" w:cs="Times New Roman" w:eastAsia="Times New Roman" w:hAnsi="Times New Roman"/>
          <w:sz w:val="18"/>
          <w:szCs w:val="18"/>
          <w:color w:val="auto"/>
        </w:rPr>
        <w:t xml:space="preserve">. For the avoidance of doubt, the maximum amount of accrued interest referred to in </w:t>
      </w:r>
      <w:r>
        <w:rPr>
          <w:rFonts w:ascii="Times New Roman" w:cs="Times New Roman" w:eastAsia="Times New Roman" w:hAnsi="Times New Roman"/>
          <w:sz w:val="18"/>
          <w:szCs w:val="18"/>
          <w:b w:val="1"/>
          <w:bCs w:val="1"/>
          <w:color w:val="auto"/>
        </w:rPr>
        <w:t>clause (ii)</w:t>
      </w:r>
      <w:r>
        <w:rPr>
          <w:rFonts w:ascii="Times New Roman" w:cs="Times New Roman" w:eastAsia="Times New Roman" w:hAnsi="Times New Roman"/>
          <w:sz w:val="18"/>
          <w:szCs w:val="18"/>
          <w:color w:val="auto"/>
        </w:rPr>
        <w:t xml:space="preserve"> above will be determined (x) by assuming that the Fundamental Change Repurchase Date occurs on the latest possible date permitted for the applicable Fundamental Change pursuant to </w:t>
      </w:r>
      <w:r>
        <w:rPr>
          <w:rFonts w:ascii="Times New Roman" w:cs="Times New Roman" w:eastAsia="Times New Roman" w:hAnsi="Times New Roman"/>
          <w:sz w:val="18"/>
          <w:szCs w:val="18"/>
          <w:b w:val="1"/>
          <w:bCs w:val="1"/>
          <w:color w:val="auto"/>
        </w:rPr>
        <w:t>Section 4.02(E)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4.02(C)</w:t>
      </w:r>
      <w:r>
        <w:rPr>
          <w:rFonts w:ascii="Times New Roman" w:cs="Times New Roman" w:eastAsia="Times New Roman" w:hAnsi="Times New Roman"/>
          <w:sz w:val="18"/>
          <w:szCs w:val="18"/>
          <w:color w:val="auto"/>
        </w:rPr>
        <w:t xml:space="preserve">; and (y) without regard to the proviso in the first sentence of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656"/>
        <w:spacing w:after="0" w:line="255" w:lineRule="auto"/>
        <w:tabs>
          <w:tab w:leader="none" w:pos="109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Applicable Securities Laws</w:t>
      </w:r>
      <w:r>
        <w:rPr>
          <w:rFonts w:ascii="Times New Roman" w:cs="Times New Roman" w:eastAsia="Times New Roman" w:hAnsi="Times New Roman"/>
          <w:sz w:val="18"/>
          <w:szCs w:val="18"/>
          <w:color w:val="auto"/>
        </w:rPr>
        <w:t>. To the extent applicable, the Company will comply, in all material respects, with all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that the Company’s obligations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conflict with any law or regulation that is applicable to the Company and enacted after the Issue Date, the Company’s compliance with such law or regulation will not be considered to be a Default of such obligations; rather, the Company will be deemed to be in compliance with such obligations if the Company complies with its obligation to effect Repurchases Upon a Fundamental Change in accordance with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modified as necessary by the Company in good faith to permit compliance with such law or regulation.</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11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in Part</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Notes may be repurchased pursuant to a Repurchase Upon Fundamental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Change in part, but only in Authorized Denominations. Provisions of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applying to the repurchase of a Note in whole will equally apply to the repurchase of a permitted portion of a Note.</w:t>
      </w:r>
    </w:p>
    <w:p>
      <w:pPr>
        <w:spacing w:after="0" w:line="172" w:lineRule="exact"/>
        <w:rPr>
          <w:rFonts w:ascii="Times New Roman" w:cs="Times New Roman" w:eastAsia="Times New Roman" w:hAnsi="Times New Roman"/>
          <w:sz w:val="18"/>
          <w:szCs w:val="18"/>
          <w:color w:val="auto"/>
        </w:rPr>
      </w:pPr>
    </w:p>
    <w:p>
      <w:pPr>
        <w:jc w:val="both"/>
        <w:ind w:firstLine="656"/>
        <w:spacing w:after="0" w:line="261" w:lineRule="auto"/>
        <w:tabs>
          <w:tab w:leader="none" w:pos="109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Fundamental Change Repurchase if an Optional Repurchase Notice Is Outstanding</w:t>
      </w:r>
      <w:r>
        <w:rPr>
          <w:rFonts w:ascii="Times New Roman" w:cs="Times New Roman" w:eastAsia="Times New Roman" w:hAnsi="Times New Roman"/>
          <w:sz w:val="18"/>
          <w:szCs w:val="18"/>
          <w:color w:val="auto"/>
        </w:rPr>
        <w:t>. No Fundamental Change Repurchase Notice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 to any Note may be delivered, and no Note may be surrendered for repurchase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by a Holder thereof to the extent such Holder has also delivered an Optional Repurchase Notice with respect to such Note in accordance with </w:t>
      </w:r>
      <w:r>
        <w:rPr>
          <w:rFonts w:ascii="Times New Roman" w:cs="Times New Roman" w:eastAsia="Times New Roman" w:hAnsi="Times New Roman"/>
          <w:sz w:val="18"/>
          <w:szCs w:val="18"/>
          <w:b w:val="1"/>
          <w:bCs w:val="1"/>
          <w:color w:val="auto"/>
        </w:rPr>
        <w:t>Section 4.04(E)</w:t>
      </w:r>
      <w:r>
        <w:rPr>
          <w:rFonts w:ascii="Times New Roman" w:cs="Times New Roman" w:eastAsia="Times New Roman" w:hAnsi="Times New Roman"/>
          <w:sz w:val="18"/>
          <w:szCs w:val="18"/>
          <w:color w:val="auto"/>
        </w:rPr>
        <w:t xml:space="preserve"> unless and until such Holder has validly withdrawn such Optional Repurchase Notice in accordance with </w:t>
      </w:r>
      <w:r>
        <w:rPr>
          <w:rFonts w:ascii="Times New Roman" w:cs="Times New Roman" w:eastAsia="Times New Roman" w:hAnsi="Times New Roman"/>
          <w:sz w:val="18"/>
          <w:szCs w:val="18"/>
          <w:b w:val="1"/>
          <w:bCs w:val="1"/>
          <w:color w:val="auto"/>
        </w:rPr>
        <w:t>Section 4.04(E)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4.03. Right of the Company to Redeem the Notes.</w:t>
      </w:r>
    </w:p>
    <w:p>
      <w:pPr>
        <w:spacing w:after="0" w:line="227"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 to Redeem Before November 6, 2028</w:t>
      </w:r>
      <w:r>
        <w:rPr>
          <w:rFonts w:ascii="Times New Roman" w:cs="Times New Roman" w:eastAsia="Times New Roman" w:hAnsi="Times New Roman"/>
          <w:sz w:val="18"/>
          <w:szCs w:val="18"/>
          <w:color w:val="auto"/>
        </w:rPr>
        <w:t>. The Company may not redeem the Notes at its option at any time before November 6, 2028.</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ectPr>
          <w:pgSz w:w="11900" w:h="16838" w:orient="portrait"/>
          <w:cols w:equalWidth="0" w:num="1">
            <w:col w:w="11240"/>
          </w:cols>
          <w:pgMar w:left="320" w:top="1415" w:right="339" w:bottom="1440" w:gutter="0" w:footer="0" w:header="0"/>
        </w:sectPr>
      </w:pPr>
    </w:p>
    <w:bookmarkStart w:id="46" w:name="page47"/>
    <w:bookmarkEnd w:id="46"/>
    <w:p>
      <w:pPr>
        <w:jc w:val="both"/>
        <w:ind w:left="-656" w:firstLine="656"/>
        <w:spacing w:after="0" w:line="254" w:lineRule="auto"/>
        <w:tabs>
          <w:tab w:leader="none" w:pos="4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Redeem the Notes on or After November 6, 2028</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the Company has the right, at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election, to redeem all, or any portion (subject to the Partial Redemption Limitation set forth in </w:t>
      </w:r>
      <w:r>
        <w:rPr>
          <w:rFonts w:ascii="Times New Roman" w:cs="Times New Roman" w:eastAsia="Times New Roman" w:hAnsi="Times New Roman"/>
          <w:sz w:val="18"/>
          <w:szCs w:val="18"/>
          <w:b w:val="1"/>
          <w:bCs w:val="1"/>
          <w:color w:val="auto"/>
        </w:rPr>
        <w:t>Section 4.03(C)</w:t>
      </w:r>
      <w:r>
        <w:rPr>
          <w:rFonts w:ascii="Times New Roman" w:cs="Times New Roman" w:eastAsia="Times New Roman" w:hAnsi="Times New Roman"/>
          <w:sz w:val="18"/>
          <w:szCs w:val="18"/>
          <w:color w:val="auto"/>
        </w:rPr>
        <w:t xml:space="preserve">) in an Authorized Denomination, of the Notes, at any time, and from time to time, on a Redemption Date on or after November 6, 2028 and on or before the thirty-first (31st) Scheduled Trading Day immediately before the Maturity Date, for a cash purchase price equal to the Redemption Price, but only if (1) the Last Reported Sale Price per share of Common Stock exceeds one hundred and thirty percent (130%) of the Conversion Price on (i) each of at least twenty (20) Trading Days (whether or not consecutive) during the thirty (30) consecutive Trading Days ending on, and including, the Trading Day immediately before the Redemption Notice Date for such Redemption; and (ii) the Trading Day immediately before such Redemption Notice Date; and (2) the Liquidity Conditions have been satisfied. For the avoidance of doubt, the calling of any Notes for Redemption will constitute a Make-Whole Fundamental Change with respect to that Note pursuant to </w:t>
      </w:r>
      <w:r>
        <w:rPr>
          <w:rFonts w:ascii="Times New Roman" w:cs="Times New Roman" w:eastAsia="Times New Roman" w:hAnsi="Times New Roman"/>
          <w:sz w:val="18"/>
          <w:szCs w:val="18"/>
          <w:b w:val="1"/>
          <w:bCs w:val="1"/>
          <w:color w:val="auto"/>
        </w:rPr>
        <w:t xml:space="preserve">clause (B) </w:t>
      </w:r>
      <w:r>
        <w:rPr>
          <w:rFonts w:ascii="Times New Roman" w:cs="Times New Roman" w:eastAsia="Times New Roman" w:hAnsi="Times New Roman"/>
          <w:sz w:val="18"/>
          <w:szCs w:val="18"/>
          <w:color w:val="auto"/>
        </w:rPr>
        <w:t>of the definition thereof.</w:t>
      </w:r>
    </w:p>
    <w:p>
      <w:pPr>
        <w:spacing w:after="0" w:line="190"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43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Partial Redemption Limitation</w:t>
      </w:r>
      <w:r>
        <w:rPr>
          <w:rFonts w:ascii="Times New Roman" w:cs="Times New Roman" w:eastAsia="Times New Roman" w:hAnsi="Times New Roman"/>
          <w:sz w:val="18"/>
          <w:szCs w:val="18"/>
          <w:color w:val="auto"/>
        </w:rPr>
        <w:t>. If the Company elects to redeem fewer than all of the outstanding Notes, at least one hundred fifty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dollars ($150,000,000) aggregate principal amount of Notes must be outstanding and not subject to Redemption as of the Redemption Notice Date for such Redemption (such requirement, the “</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46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Prohibited in Certain Circumstances</w:t>
      </w:r>
      <w:r>
        <w:rPr>
          <w:rFonts w:ascii="Times New Roman" w:cs="Times New Roman" w:eastAsia="Times New Roman" w:hAnsi="Times New Roman"/>
          <w:sz w:val="18"/>
          <w:szCs w:val="18"/>
          <w:color w:val="auto"/>
        </w:rPr>
        <w:t>. If the principal amount of the Notes has been accelerated and such acceleration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rescinded on or before the Redemption Date (including a rescission as a result of the payment of the related Redemption Price, and any related interest pursuant to the proviso to the first sentence of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 xml:space="preserve">, on such Redemption Date), then (i) the Company may not call for Redemption or otherwise redeem any Notes pursuant to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spacing w:after="0" w:line="182"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42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Date</w:t>
      </w:r>
      <w:r>
        <w:rPr>
          <w:rFonts w:ascii="Times New Roman" w:cs="Times New Roman" w:eastAsia="Times New Roman" w:hAnsi="Times New Roman"/>
          <w:sz w:val="18"/>
          <w:szCs w:val="18"/>
          <w:color w:val="auto"/>
        </w:rPr>
        <w:t>. The Redemption Date for any Redemption will be a day of the Company’s choosing that is no more than fifty five (55),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nor less than thirty five (35), Scheduled Trading Days after the Redemption Notice Date for such Redemption and that is, as of such Redemption Notice Date, scheduled to be a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in accordance with </w:t>
      </w:r>
      <w:r>
        <w:rPr>
          <w:rFonts w:ascii="Times New Roman" w:cs="Times New Roman" w:eastAsia="Times New Roman" w:hAnsi="Times New Roman"/>
          <w:sz w:val="18"/>
          <w:szCs w:val="18"/>
          <w:b w:val="1"/>
          <w:bCs w:val="1"/>
          <w:color w:val="auto"/>
        </w:rPr>
        <w:t>Section 5.03(A)(i)(3)</w:t>
      </w:r>
      <w:r>
        <w:rPr>
          <w:rFonts w:ascii="Times New Roman" w:cs="Times New Roman" w:eastAsia="Times New Roman" w:hAnsi="Times New Roman"/>
          <w:sz w:val="18"/>
          <w:szCs w:val="18"/>
          <w:color w:val="auto"/>
        </w:rPr>
        <w:t>, the Company has elected to settle all conversions for Notes called for Redemption with a Conversion Date that occurs during the related Redemption Conversion Period by Physical Settlement, then the Company may instead elect to choose a Redemption Date that is a Business Day no more than sixty (60), nor less than ten (10), calendar days after such Redemption Notice Date.</w:t>
      </w:r>
    </w:p>
    <w:p>
      <w:pPr>
        <w:spacing w:after="0" w:line="182"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43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The Redemption Price for any Note called for Redemption is an amount in cash equal to the principal amount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plus accrued and unpaid interest on such Note to, but excluding, the Redemption Date for such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xml:space="preserve"> and such Redemption Date occurs on the Business Day immediately after such Interest Payment Date, then (x) accrued and unpaid interest on Notes to, but excluding, such Interest Payment Date will be paid, in accordance with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on the next Business Day to Holders as of the Close of Business on the immediately preceding Regular Record Date; and (y) the Redemption Price will include interest on Notes to be redeemed from, and including, such Interest Payment Date.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5"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ectPr>
          <w:pgSz w:w="11900" w:h="16838" w:orient="portrait"/>
          <w:cols w:equalWidth="0" w:num="1">
            <w:col w:w="10584"/>
          </w:cols>
          <w:pgMar w:left="976" w:top="1413" w:right="339" w:bottom="1440" w:gutter="0" w:footer="0" w:header="0"/>
        </w:sectPr>
      </w:pPr>
    </w:p>
    <w:bookmarkStart w:id="47" w:name="page48"/>
    <w:bookmarkEnd w:id="47"/>
    <w:p>
      <w:pPr>
        <w:ind w:right="20" w:firstLine="656"/>
        <w:spacing w:after="0" w:line="284" w:lineRule="auto"/>
        <w:tabs>
          <w:tab w:leader="none" w:pos="11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Notice</w:t>
      </w:r>
      <w:r>
        <w:rPr>
          <w:rFonts w:ascii="Times New Roman" w:cs="Times New Roman" w:eastAsia="Times New Roman" w:hAnsi="Times New Roman"/>
          <w:sz w:val="18"/>
          <w:szCs w:val="18"/>
          <w:color w:val="auto"/>
        </w:rPr>
        <w:t>. To call any Notes for Redemption, the Company must send to each Holder of such Notes, the Trustee,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and the Paying Agent a written notice of such Redemption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Redemption Notice must state:</w:t>
      </w:r>
    </w:p>
    <w:p>
      <w:pPr>
        <w:spacing w:after="0" w:line="225" w:lineRule="exact"/>
        <w:rPr>
          <w:sz w:val="20"/>
          <w:szCs w:val="20"/>
          <w:color w:val="auto"/>
        </w:rPr>
      </w:pPr>
    </w:p>
    <w:p>
      <w:pPr>
        <w:ind w:left="1660" w:hanging="356"/>
        <w:spacing w:after="0"/>
        <w:tabs>
          <w:tab w:leader="none" w:pos="1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Notes have been called for Redemption, briefly describing the Company’s Redemption right under this Indenture;</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for such Redemption;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9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may be converted at any time before the Close of Business on the second (2nd) Scheduled Trading Day immediately before the Redemption Date (or, if the Company fails to pay the Redemption Price due on such Redemption Date in full, at any time until such time as the Company pays such Redemption Price in full);</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81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Rate in effect on the Redemption Notice Date for such Redemption and a description and quantification of any adjustments to the Conversion Rate that may result from such Redemption (including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Method that will apply to all conversions of Notes with a Conversion Date that occurs during the related Redemption Conversion Period; and</w:t>
      </w:r>
    </w:p>
    <w:p>
      <w:pPr>
        <w:spacing w:after="0" w:line="161"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 ISIN numbers, if any, of the Notes.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or before the Redemption Notice Date, the Company will send a copy of such Redemption Notice to the Trustee, the Conversion Agent and the Paying Agent. At the Company’s written request, the Trustee will give the Redemption Notice in the Company’s name and at its expense, provided that the Company delivers to the Trustee, at least five Business Days in the case of Physical Notes and five calendar days in the case of Global Notes prior to the Redemption Notice Date (unless the Trustee agrees to a shorter period), an Officer’s Certificate requesting that the Trustee give such notice and setting forth the information to be stated in such notice as provided in this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Selection, Conversion and Transfer of Notes to Be Redeemed in Part</w:t>
      </w:r>
      <w:r>
        <w:rPr>
          <w:rFonts w:ascii="Times New Roman" w:cs="Times New Roman" w:eastAsia="Times New Roman" w:hAnsi="Times New Roman"/>
          <w:sz w:val="18"/>
          <w:szCs w:val="18"/>
          <w:color w:val="auto"/>
        </w:rPr>
        <w:t>. If less than all Notes then outstanding are called for Redemption, then:</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to be redeemed will be selected by the Company as follows: (1) in the case of Global Notes, in accordance with the Depositary Procedures; and (2) in the case of Physical Notes, pro rata, by lot or by such other method the Company considers fair and appropriate;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1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a portion of a Note is subject to Redemption and such Note is converted in part, then the converted portion of such Note will be deemed to be from the portion of such Note that was subject to Redemption, subject to, in the case of any Global Note, the Depositary Procedures.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ectPr>
          <w:pgSz w:w="11900" w:h="16838" w:orient="portrait"/>
          <w:cols w:equalWidth="0" w:num="1">
            <w:col w:w="11240"/>
          </w:cols>
          <w:pgMar w:left="320" w:top="1415" w:right="339" w:bottom="1440" w:gutter="0" w:footer="0" w:header="0"/>
        </w:sectPr>
      </w:pPr>
    </w:p>
    <w:bookmarkStart w:id="48" w:name="page49"/>
    <w:bookmarkEnd w:id="48"/>
    <w:p>
      <w:pPr>
        <w:jc w:val="both"/>
        <w:ind w:firstLine="656"/>
        <w:spacing w:after="0" w:line="261" w:lineRule="auto"/>
        <w:tabs>
          <w:tab w:leader="none" w:pos="106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the Redemption Price</w:t>
      </w:r>
      <w:r>
        <w:rPr>
          <w:rFonts w:ascii="Times New Roman" w:cs="Times New Roman" w:eastAsia="Times New Roman" w:hAnsi="Times New Roman"/>
          <w:sz w:val="18"/>
          <w:szCs w:val="18"/>
          <w:color w:val="auto"/>
        </w:rPr>
        <w:t>. Without limiting the Company’s obligation to deposit the Redemption Price by the time prescribed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the Company will cause the Redemption Price for a Note (or portion thereof) subject to Redemption to be paid to the Holder thereof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before the applicable Redemption Date. For the avoidance of doubt, interest payable pursuant to the proviso to the first sentence of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 xml:space="preserve"> on any Note (or portion thereof) subject to Redemption must be paid pursuant to such proviso.</w:t>
      </w:r>
    </w:p>
    <w:p>
      <w:pPr>
        <w:spacing w:after="0" w:line="177" w:lineRule="exact"/>
        <w:rPr>
          <w:rFonts w:ascii="Times New Roman" w:cs="Times New Roman" w:eastAsia="Times New Roman" w:hAnsi="Times New Roman"/>
          <w:sz w:val="18"/>
          <w:szCs w:val="18"/>
          <w:color w:val="auto"/>
        </w:rPr>
      </w:pPr>
    </w:p>
    <w:p>
      <w:pPr>
        <w:jc w:val="both"/>
        <w:ind w:firstLine="656"/>
        <w:spacing w:after="0" w:line="254" w:lineRule="auto"/>
        <w:tabs>
          <w:tab w:leader="none" w:pos="10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Provisions for Partial Calls</w:t>
      </w:r>
      <w:r>
        <w:rPr>
          <w:rFonts w:ascii="Times New Roman" w:cs="Times New Roman" w:eastAsia="Times New Roman" w:hAnsi="Times New Roman"/>
          <w:sz w:val="18"/>
          <w:szCs w:val="18"/>
          <w:color w:val="auto"/>
        </w:rPr>
        <w:t>. If the Company elects to redeem less than all of the outstanding Notes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Holder of any Note, or any owner of a beneficial interest in any Global Note, is reasonably not able to determine, before the Close of Business on the thirty-second (32nd) Scheduled Trading Day (or, if, in accordance with </w:t>
      </w:r>
      <w:r>
        <w:rPr>
          <w:rFonts w:ascii="Times New Roman" w:cs="Times New Roman" w:eastAsia="Times New Roman" w:hAnsi="Times New Roman"/>
          <w:sz w:val="18"/>
          <w:szCs w:val="18"/>
          <w:b w:val="1"/>
          <w:bCs w:val="1"/>
          <w:color w:val="auto"/>
        </w:rPr>
        <w:t>Section 5.03(A)(i)(3)</w:t>
      </w:r>
      <w:r>
        <w:rPr>
          <w:rFonts w:ascii="Times New Roman" w:cs="Times New Roman" w:eastAsia="Times New Roman" w:hAnsi="Times New Roman"/>
          <w:sz w:val="18"/>
          <w:szCs w:val="18"/>
          <w:color w:val="auto"/>
        </w:rPr>
        <w:t xml:space="preserve">, the Company has elected to settle all conversions of Notes with a Conversion Date that occurs during the related Redemption Conversion Period, the tenth (10th) calendar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during the related Redemption Conversion Period, and each such conversion will be deemed to be of a Note called for Redemption for purposes of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Sections 5.01(C)(i)(4)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5.07 </w:t>
      </w:r>
      <w:r>
        <w:rPr>
          <w:rFonts w:ascii="Times New Roman" w:cs="Times New Roman" w:eastAsia="Times New Roman" w:hAnsi="Times New Roman"/>
          <w:sz w:val="18"/>
          <w:szCs w:val="18"/>
          <w:color w:val="auto"/>
        </w:rPr>
        <w:t>and the definition of “Make-Whole Fundamental Change”. The Trustee will have no obligation to make any determination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foregoing. For the avoidance of doubt, each reference in this Indenture or the Notes to (x) any Note that is called for Redemption (or similar language) includes any Note that is deemed to be called for Redemption pursuant to this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 xml:space="preserve">; and (y) any Note that is not called for Redemption (or similar language) excludes any Note that is deemed to be called for Redemption pursuant to this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4.04. Repurchase of Notes by the Company at Option of Holders</w:t>
      </w:r>
    </w:p>
    <w:p>
      <w:pPr>
        <w:spacing w:after="0" w:line="225" w:lineRule="exact"/>
        <w:rPr>
          <w:sz w:val="20"/>
          <w:szCs w:val="20"/>
          <w:color w:val="auto"/>
        </w:rPr>
      </w:pPr>
    </w:p>
    <w:p>
      <w:pPr>
        <w:jc w:val="both"/>
        <w:ind w:firstLine="656"/>
        <w:spacing w:after="0" w:line="268" w:lineRule="auto"/>
        <w:tabs>
          <w:tab w:leader="none" w:pos="121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at Option of Holders</w:t>
      </w:r>
      <w:r>
        <w:rPr>
          <w:rFonts w:ascii="Times New Roman" w:cs="Times New Roman" w:eastAsia="Times New Roman" w:hAnsi="Times New Roman"/>
          <w:sz w:val="18"/>
          <w:szCs w:val="18"/>
          <w:color w:val="auto"/>
        </w:rPr>
        <w:t>. Subject to the other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each Holder shall have the right (the “</w:t>
      </w:r>
      <w:r>
        <w:rPr>
          <w:rFonts w:ascii="Times New Roman" w:cs="Times New Roman" w:eastAsia="Times New Roman" w:hAnsi="Times New Roman"/>
          <w:sz w:val="18"/>
          <w:szCs w:val="18"/>
          <w:b w:val="1"/>
          <w:bCs w:val="1"/>
          <w:color w:val="auto"/>
        </w:rPr>
        <w:t>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Repurchase Right</w:t>
      </w:r>
      <w:r>
        <w:rPr>
          <w:rFonts w:ascii="Times New Roman" w:cs="Times New Roman" w:eastAsia="Times New Roman" w:hAnsi="Times New Roman"/>
          <w:sz w:val="18"/>
          <w:szCs w:val="18"/>
          <w:color w:val="auto"/>
        </w:rPr>
        <w:t>”), at such Holder’s option, to require the Company to repurchase (an “</w:t>
      </w:r>
      <w:r>
        <w:rPr>
          <w:rFonts w:ascii="Times New Roman" w:cs="Times New Roman" w:eastAsia="Times New Roman" w:hAnsi="Times New Roman"/>
          <w:sz w:val="18"/>
          <w:szCs w:val="18"/>
          <w:b w:val="1"/>
          <w:bCs w:val="1"/>
          <w:color w:val="auto"/>
        </w:rPr>
        <w:t>Optional Repurchase</w:t>
      </w:r>
      <w:r>
        <w:rPr>
          <w:rFonts w:ascii="Times New Roman" w:cs="Times New Roman" w:eastAsia="Times New Roman" w:hAnsi="Times New Roman"/>
          <w:sz w:val="18"/>
          <w:szCs w:val="18"/>
          <w:color w:val="auto"/>
        </w:rPr>
        <w:t>”) for cash all of such Holder’s Notes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portion thereof in an Authorized Denomination) on November 1, 2029 (the “</w:t>
      </w:r>
      <w:r>
        <w:rPr>
          <w:rFonts w:ascii="Times New Roman" w:cs="Times New Roman" w:eastAsia="Times New Roman" w:hAnsi="Times New Roman"/>
          <w:sz w:val="18"/>
          <w:szCs w:val="18"/>
          <w:b w:val="1"/>
          <w:bCs w:val="1"/>
          <w:color w:val="auto"/>
        </w:rPr>
        <w:t>Optional Repurchase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ectPr>
          <w:pgSz w:w="11900" w:h="16838" w:orient="portrait"/>
          <w:cols w:equalWidth="0" w:num="1">
            <w:col w:w="11240"/>
          </w:cols>
          <w:pgMar w:left="320" w:top="1415" w:right="339" w:bottom="1440" w:gutter="0" w:footer="0" w:header="0"/>
        </w:sectPr>
      </w:pPr>
    </w:p>
    <w:bookmarkStart w:id="49" w:name="page50"/>
    <w:bookmarkEnd w:id="49"/>
    <w:p>
      <w:pPr>
        <w:jc w:val="both"/>
        <w:ind w:firstLine="656"/>
        <w:spacing w:after="0" w:line="257" w:lineRule="auto"/>
        <w:tabs>
          <w:tab w:leader="none" w:pos="11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Prohibited in Certain Circumstances</w:t>
      </w:r>
      <w:r>
        <w:rPr>
          <w:rFonts w:ascii="Times New Roman" w:cs="Times New Roman" w:eastAsia="Times New Roman" w:hAnsi="Times New Roman"/>
          <w:sz w:val="18"/>
          <w:szCs w:val="18"/>
          <w:color w:val="auto"/>
        </w:rPr>
        <w:t>. If the principal amount of the Notes has been accelerated and such acceleration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rescinded on or before the Optional Repurchase Date for an Optional Repurchase (including as a result of the payment of the related Optional Repurchase Price on such Optional Repurchase Date), then (i) the Company may not repurchase any Notes pursuant to this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and (ii) the Company will cause any Notes theretofore surrendered for such Optional Repurchase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11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Repurchase Price</w:t>
      </w:r>
      <w:r>
        <w:rPr>
          <w:rFonts w:ascii="Times New Roman" w:cs="Times New Roman" w:eastAsia="Times New Roman" w:hAnsi="Times New Roman"/>
          <w:sz w:val="18"/>
          <w:szCs w:val="18"/>
          <w:color w:val="auto"/>
        </w:rPr>
        <w:t>. The Optional Repurchase Price for any Note to be repurchased upon an Optional Repurchase is an amount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equal to the principal amount of such Note (the “</w:t>
      </w:r>
      <w:r>
        <w:rPr>
          <w:rFonts w:ascii="Times New Roman" w:cs="Times New Roman" w:eastAsia="Times New Roman" w:hAnsi="Times New Roman"/>
          <w:sz w:val="18"/>
          <w:szCs w:val="18"/>
          <w:b w:val="1"/>
          <w:bCs w:val="1"/>
          <w:color w:val="auto"/>
        </w:rPr>
        <w:t>Optional Repurchase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Holder of such Note at the Close of Business on the Regular Record Date immediately preceding the Interest Payment Date falling on the Optional Repurchase Date will be entitled, notwithstanding such Optional Repurchase,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113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Notice</w:t>
      </w:r>
      <w:r>
        <w:rPr>
          <w:rFonts w:ascii="Times New Roman" w:cs="Times New Roman" w:eastAsia="Times New Roman" w:hAnsi="Times New Roman"/>
          <w:sz w:val="18"/>
          <w:szCs w:val="18"/>
          <w:color w:val="auto"/>
        </w:rPr>
        <w:t>. On or before the twentieth (20th) Business Day prior to the Optional Repurchase Date, the Company will send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in writing, with a copy to the Trustee, the Paying Agent and the Conversion Agent (if other than the Trustee) a notice of such Optional Repurchase Right (the “</w:t>
      </w:r>
      <w:r>
        <w:rPr>
          <w:rFonts w:ascii="Times New Roman" w:cs="Times New Roman" w:eastAsia="Times New Roman" w:hAnsi="Times New Roman"/>
          <w:sz w:val="18"/>
          <w:szCs w:val="18"/>
          <w:b w:val="1"/>
          <w:bCs w:val="1"/>
          <w:color w:val="auto"/>
        </w:rPr>
        <w:t>Company Notice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Notice must state:</w:t>
      </w:r>
    </w:p>
    <w:p>
      <w:pPr>
        <w:spacing w:after="0" w:line="221" w:lineRule="exact"/>
        <w:rPr>
          <w:sz w:val="20"/>
          <w:szCs w:val="20"/>
          <w:color w:val="auto"/>
        </w:rPr>
      </w:pPr>
    </w:p>
    <w:p>
      <w:pPr>
        <w:ind w:left="1660" w:hanging="356"/>
        <w:spacing w:after="0"/>
        <w:tabs>
          <w:tab w:leader="none" w:pos="1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last date on which a Holder may exercise the Optional Repurchase Right pursuant to this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firstLine="644"/>
        <w:spacing w:after="0" w:line="282" w:lineRule="auto"/>
        <w:tabs>
          <w:tab w:leader="none" w:pos="17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Optional Repurchase Price per $1,000 principal amount of Notes and the amount, manner and timing of the interest payment payable pursuant to the proviso to the first sentence of </w:t>
      </w:r>
      <w:r>
        <w:rPr>
          <w:rFonts w:ascii="Times New Roman" w:cs="Times New Roman" w:eastAsia="Times New Roman" w:hAnsi="Times New Roman"/>
          <w:sz w:val="18"/>
          <w:szCs w:val="18"/>
          <w:b w:val="1"/>
          <w:bCs w:val="1"/>
          <w:color w:val="auto"/>
        </w:rPr>
        <w:t>Section 4.04(C)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Optional Repurchase Date;</w:t>
      </w:r>
    </w:p>
    <w:p>
      <w:pPr>
        <w:spacing w:after="0" w:line="221" w:lineRule="exact"/>
        <w:rPr>
          <w:rFonts w:ascii="Times New Roman" w:cs="Times New Roman" w:eastAsia="Times New Roman" w:hAnsi="Times New Roman"/>
          <w:sz w:val="18"/>
          <w:szCs w:val="18"/>
          <w:color w:val="auto"/>
        </w:rPr>
      </w:pPr>
    </w:p>
    <w:p>
      <w:pPr>
        <w:ind w:left="660" w:firstLine="644"/>
        <w:spacing w:after="0" w:line="286" w:lineRule="auto"/>
        <w:tabs>
          <w:tab w:leader="none" w:pos="17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procedures that a Holder must follow to require the Company to repurchase its Notes pursuant to this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including the procedures for submitting and withdrawing an Optional Repurchase Notice;</w:t>
      </w:r>
    </w:p>
    <w:p>
      <w:pPr>
        <w:spacing w:after="0" w:line="158"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in effect on the date of such Company Notice;</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8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for which an Optional Repurchase Notice has been duly tendered and not duly withdrawn must be delivered to the Paying Agent for the Holder thereof to be entitled to receive the Optional Repurchase Price;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(or any portion thereof) that are subject to an Optional Repurchase Notice that has been duly tendered may be converted only if such Optional Repurchase Notice is withdrawn in accordance with this Indenture; and</w:t>
      </w:r>
    </w:p>
    <w:p>
      <w:pPr>
        <w:spacing w:after="0" w:line="161"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 ISIN numbers, if any, of the Notes.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Neither the failure to deliver the Company Notice nor any defect in the Company Notice will limit the Optional Repurchase Right of any Holder or otherwise affect the validity of any proceedings relating to any Optional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ectPr>
          <w:pgSz w:w="11900" w:h="16838" w:orient="portrait"/>
          <w:cols w:equalWidth="0" w:num="1">
            <w:col w:w="11240"/>
          </w:cols>
          <w:pgMar w:left="320" w:top="1415" w:right="339" w:bottom="1440" w:gutter="0" w:footer="0" w:header="0"/>
        </w:sectPr>
      </w:pPr>
    </w:p>
    <w:bookmarkStart w:id="50" w:name="page51"/>
    <w:bookmarkEnd w:id="50"/>
    <w:p>
      <w:pPr>
        <w:ind w:left="404" w:hanging="404"/>
        <w:spacing w:after="0"/>
        <w:tabs>
          <w:tab w:leader="none" w:pos="4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to Exercise the Optional Repurchase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644"/>
        <w:spacing w:after="0" w:line="284" w:lineRule="auto"/>
        <w:tabs>
          <w:tab w:leader="none" w:pos="105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Optional Repurchase Notice and Notes to Be Repurchased</w:t>
      </w:r>
      <w:r>
        <w:rPr>
          <w:rFonts w:ascii="Times New Roman" w:cs="Times New Roman" w:eastAsia="Times New Roman" w:hAnsi="Times New Roman"/>
          <w:sz w:val="18"/>
          <w:szCs w:val="18"/>
          <w:color w:val="auto"/>
        </w:rPr>
        <w:t>. To exercise its Optional Repurchase Right for a Note,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thereof must deliver to the Paying Agent:</w:t>
      </w:r>
    </w:p>
    <w:p>
      <w:pPr>
        <w:spacing w:after="0" w:line="160"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826"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Open of Business on the date that is twenty (20) Business Days prior to the Optional Repurchase Date until the Close of Business on the Business Day immediately before the Optional Repurchase Date (or such later time as may be required by law), a duly completed, written Optional Repurchase Notice with respect to such Note; and</w:t>
      </w:r>
    </w:p>
    <w:p>
      <w:pPr>
        <w:spacing w:after="0" w:line="175" w:lineRule="exact"/>
        <w:rPr>
          <w:rFonts w:ascii="Times New Roman" w:cs="Times New Roman" w:eastAsia="Times New Roman" w:hAnsi="Times New Roman"/>
          <w:sz w:val="18"/>
          <w:szCs w:val="18"/>
          <w:color w:val="auto"/>
        </w:rPr>
      </w:pPr>
    </w:p>
    <w:p>
      <w:pPr>
        <w:ind w:left="1704" w:hanging="408"/>
        <w:spacing w:after="0"/>
        <w:tabs>
          <w:tab w:leader="none" w:pos="170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duly endorsed for transfer (if such Note is a Physical Note) or by book-entry transfer (if such Note is a Global</w:t>
      </w:r>
    </w:p>
    <w:p>
      <w:pPr>
        <w:spacing w:after="0" w:line="27"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Paying Agent will promptly deliver to the Company a copy of each Optional Repurchase Notice that it receives.</w:t>
      </w:r>
    </w:p>
    <w:p>
      <w:pPr>
        <w:spacing w:after="0" w:line="223" w:lineRule="exact"/>
        <w:rPr>
          <w:sz w:val="20"/>
          <w:szCs w:val="20"/>
          <w:color w:val="auto"/>
        </w:rPr>
      </w:pPr>
    </w:p>
    <w:p>
      <w:pPr>
        <w:ind w:left="1044" w:hanging="396"/>
        <w:spacing w:after="0"/>
        <w:tabs>
          <w:tab w:leader="none" w:pos="10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Contents of Optional Repurchase Notices</w:t>
      </w:r>
      <w:r>
        <w:rPr>
          <w:rFonts w:ascii="Times New Roman" w:cs="Times New Roman" w:eastAsia="Times New Roman" w:hAnsi="Times New Roman"/>
          <w:sz w:val="18"/>
          <w:szCs w:val="18"/>
          <w:color w:val="auto"/>
        </w:rPr>
        <w:t>. Each Optional Repurchase Notice with respect to a Note must state:</w:t>
      </w:r>
    </w:p>
    <w:p>
      <w:pPr>
        <w:spacing w:after="0" w:line="227" w:lineRule="exact"/>
        <w:rPr>
          <w:rFonts w:ascii="Times New Roman" w:cs="Times New Roman" w:eastAsia="Times New Roman" w:hAnsi="Times New Roman"/>
          <w:sz w:val="18"/>
          <w:szCs w:val="18"/>
          <w:color w:val="auto"/>
        </w:rPr>
      </w:pPr>
    </w:p>
    <w:p>
      <w:pPr>
        <w:ind w:left="1684" w:hanging="388"/>
        <w:spacing w:after="0"/>
        <w:tabs>
          <w:tab w:leader="none" w:pos="168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Physical Note, the certificate number of such Note;</w:t>
      </w:r>
    </w:p>
    <w:p>
      <w:pPr>
        <w:spacing w:after="0" w:line="225" w:lineRule="exact"/>
        <w:rPr>
          <w:rFonts w:ascii="Times New Roman" w:cs="Times New Roman" w:eastAsia="Times New Roman" w:hAnsi="Times New Roman"/>
          <w:sz w:val="18"/>
          <w:szCs w:val="18"/>
          <w:color w:val="auto"/>
        </w:rPr>
      </w:pPr>
    </w:p>
    <w:p>
      <w:pPr>
        <w:ind w:left="1684" w:hanging="388"/>
        <w:spacing w:after="0"/>
        <w:tabs>
          <w:tab w:leader="none" w:pos="168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to be repurchased, which must be an Authorized Denomination; and</w:t>
      </w:r>
    </w:p>
    <w:p>
      <w:pPr>
        <w:spacing w:after="0" w:line="225" w:lineRule="exact"/>
        <w:rPr>
          <w:rFonts w:ascii="Times New Roman" w:cs="Times New Roman" w:eastAsia="Times New Roman" w:hAnsi="Times New Roman"/>
          <w:sz w:val="18"/>
          <w:szCs w:val="18"/>
          <w:color w:val="auto"/>
        </w:rPr>
      </w:pPr>
    </w:p>
    <w:p>
      <w:pPr>
        <w:ind w:left="1684" w:hanging="388"/>
        <w:spacing w:after="0"/>
        <w:tabs>
          <w:tab w:leader="none" w:pos="168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Holder is exercising its Optional Repurchase Right with respect to such principal amount of such Note;</w:t>
      </w:r>
    </w:p>
    <w:p>
      <w:pPr>
        <w:spacing w:after="0" w:line="223"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Note is a Global Note, then such Optional Repurchase Notice must comply with the Depositary Procedures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such Optional Repurchase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4.04(E)</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left="4" w:firstLine="644"/>
        <w:spacing w:after="0" w:line="267" w:lineRule="auto"/>
        <w:tabs>
          <w:tab w:leader="none" w:pos="110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Withdrawal of Optional Repurchase Notice</w:t>
      </w:r>
      <w:r>
        <w:rPr>
          <w:rFonts w:ascii="Times New Roman" w:cs="Times New Roman" w:eastAsia="Times New Roman" w:hAnsi="Times New Roman"/>
          <w:sz w:val="18"/>
          <w:szCs w:val="18"/>
          <w:color w:val="auto"/>
        </w:rPr>
        <w:t>. A Holder that has delivered an Optional Repurchase Notice with respect to a Note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withdraw such Optional Repurchase Notice by delivering a written notice of withdrawal to the Company and the Paying Agent at any time before the Close of Business on the Business Day immediately before the Optional Repurchase Date. Such withdrawal notice must state:</w:t>
      </w:r>
    </w:p>
    <w:p>
      <w:pPr>
        <w:spacing w:after="0" w:line="175" w:lineRule="exact"/>
        <w:rPr>
          <w:rFonts w:ascii="Times New Roman" w:cs="Times New Roman" w:eastAsia="Times New Roman" w:hAnsi="Times New Roman"/>
          <w:sz w:val="18"/>
          <w:szCs w:val="18"/>
          <w:color w:val="auto"/>
        </w:rPr>
      </w:pPr>
    </w:p>
    <w:p>
      <w:pPr>
        <w:ind w:left="1684" w:hanging="388"/>
        <w:spacing w:after="0"/>
        <w:tabs>
          <w:tab w:leader="none" w:pos="16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Physical Note, the certificate number of such Note;</w:t>
      </w:r>
    </w:p>
    <w:p>
      <w:pPr>
        <w:spacing w:after="0" w:line="225" w:lineRule="exact"/>
        <w:rPr>
          <w:rFonts w:ascii="Times New Roman" w:cs="Times New Roman" w:eastAsia="Times New Roman" w:hAnsi="Times New Roman"/>
          <w:sz w:val="18"/>
          <w:szCs w:val="18"/>
          <w:color w:val="auto"/>
        </w:rPr>
      </w:pPr>
    </w:p>
    <w:p>
      <w:pPr>
        <w:ind w:left="1684" w:hanging="388"/>
        <w:spacing w:after="0"/>
        <w:tabs>
          <w:tab w:leader="none" w:pos="16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to be withdrawn, which must be an Authorized Denomination; and</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75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if any, that remains subject to such Optional Repurchase Notice, which must be an Authorized Denomination;</w:t>
      </w:r>
    </w:p>
    <w:p>
      <w:pPr>
        <w:spacing w:after="0" w:line="160" w:lineRule="exact"/>
        <w:rPr>
          <w:sz w:val="20"/>
          <w:szCs w:val="20"/>
          <w:color w:val="auto"/>
        </w:rPr>
      </w:pPr>
    </w:p>
    <w:p>
      <w:pPr>
        <w:ind w:left="4"/>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Note is a Global Note, then such withdrawal notice must comply with the Depositary Procedures (and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withdrawal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4.04(E)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- 41 -</w:t>
      </w:r>
    </w:p>
    <w:p>
      <w:pPr>
        <w:sectPr>
          <w:pgSz w:w="11900" w:h="16838" w:orient="portrait"/>
          <w:cols w:equalWidth="0" w:num="1">
            <w:col w:w="10584"/>
          </w:cols>
          <w:pgMar w:left="976" w:top="1415" w:right="339" w:bottom="1440" w:gutter="0" w:footer="0" w:header="0"/>
        </w:sectPr>
      </w:pPr>
    </w:p>
    <w:bookmarkStart w:id="51" w:name="page52"/>
    <w:bookmarkEnd w:id="51"/>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85" w:lineRule="exact"/>
        <w:rPr>
          <w:sz w:val="20"/>
          <w:szCs w:val="20"/>
          <w:color w:val="auto"/>
        </w:rPr>
      </w:pPr>
    </w:p>
    <w:p>
      <w:pPr>
        <w:jc w:val="both"/>
        <w:ind w:firstLine="656"/>
        <w:spacing w:after="0" w:line="255" w:lineRule="auto"/>
        <w:tabs>
          <w:tab w:leader="none" w:pos="10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the Optional Repurchase Price</w:t>
      </w:r>
      <w:r>
        <w:rPr>
          <w:rFonts w:ascii="Times New Roman" w:cs="Times New Roman" w:eastAsia="Times New Roman" w:hAnsi="Times New Roman"/>
          <w:sz w:val="18"/>
          <w:szCs w:val="18"/>
          <w:color w:val="auto"/>
        </w:rPr>
        <w:t>. Without limiting the Company’s obligation to deposit the Optional Repurchase Price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prescribed by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xml:space="preserve">, the Company will cause the Optional Repurchase Price for a Note (or portion thereof) to be repurchased pursuant to an Optional Repurchase to be paid to the Holder thereof on or before the later of (i) the Optional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 w:cs="Times New Roman" w:eastAsia="Times New Roman" w:hAnsi="Times New Roman"/>
          <w:sz w:val="18"/>
          <w:szCs w:val="18"/>
          <w:b w:val="1"/>
          <w:bCs w:val="1"/>
          <w:color w:val="auto"/>
        </w:rPr>
        <w:t>Section 4.04(C)</w:t>
      </w:r>
      <w:r>
        <w:rPr>
          <w:rFonts w:ascii="Times New Roman" w:cs="Times New Roman" w:eastAsia="Times New Roman" w:hAnsi="Times New Roman"/>
          <w:sz w:val="18"/>
          <w:szCs w:val="18"/>
          <w:color w:val="auto"/>
        </w:rPr>
        <w:t xml:space="preserve"> on any Note to be repurchased pursuant to an Optional Repurchase must be paid pursuant to such proviso regardless of whether such Note is delivered or such Depositary Procedures are complied with pursuant to the first sentence of this </w:t>
      </w:r>
      <w:r>
        <w:rPr>
          <w:rFonts w:ascii="Times New Roman" w:cs="Times New Roman" w:eastAsia="Times New Roman" w:hAnsi="Times New Roman"/>
          <w:sz w:val="18"/>
          <w:szCs w:val="18"/>
          <w:b w:val="1"/>
          <w:bCs w:val="1"/>
          <w:color w:val="auto"/>
        </w:rPr>
        <w:t>Section 4.04(F)</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656"/>
        <w:spacing w:after="0" w:line="255" w:lineRule="auto"/>
        <w:tabs>
          <w:tab w:leader="none" w:pos="11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Applicable Securities Laws</w:t>
      </w:r>
      <w:r>
        <w:rPr>
          <w:rFonts w:ascii="Times New Roman" w:cs="Times New Roman" w:eastAsia="Times New Roman" w:hAnsi="Times New Roman"/>
          <w:sz w:val="18"/>
          <w:szCs w:val="18"/>
          <w:color w:val="auto"/>
        </w:rPr>
        <w:t>. To the extent applicable, the Company will comply, in all material respects, with all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federal and state securities laws in connection with a repurchase pursuant to any exercise of the Optional Repurchase Right by a Holder (including complying with Rules 13e-4 and 14e-1 under the Exchange Act and filing any required Schedule TO, to the extent applicable) so as to permit effecting such Optional Repurchase in the manner set forth in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that the Company’s obligations pursuant to this </w:t>
      </w:r>
      <w:r>
        <w:rPr>
          <w:rFonts w:ascii="Times New Roman" w:cs="Times New Roman" w:eastAsia="Times New Roman" w:hAnsi="Times New Roman"/>
          <w:sz w:val="18"/>
          <w:szCs w:val="18"/>
          <w:b w:val="1"/>
          <w:bCs w:val="1"/>
          <w:color w:val="auto"/>
        </w:rPr>
        <w:t xml:space="preserve">Section 4.04 </w:t>
      </w:r>
      <w:r>
        <w:rPr>
          <w:rFonts w:ascii="Times New Roman" w:cs="Times New Roman" w:eastAsia="Times New Roman" w:hAnsi="Times New Roman"/>
          <w:sz w:val="18"/>
          <w:szCs w:val="18"/>
          <w:color w:val="auto"/>
        </w:rPr>
        <w:t>conflict with any law or regulation that is applicable to the Company and enacted after the Issue Date, the Company’s compliance with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 or regulation will not be considered to be a Default of such obligations; rather, the Company will be deemed to be in compliance with such obligations if the Company complies with its obligation to effect Optional Repurchases in accordance with this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modified as necessary by the Company in good faith to permit compliance with such law or regulation.</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11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in Part</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Notes may be repurchased pursuant to an Optional Repurchase in part,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only in Authorized Denominations. Provisions of this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xml:space="preserve"> applying to the repurchase of a Note in whole will equally apply to the repurchase of a permitted portion of a Note.</w:t>
      </w:r>
    </w:p>
    <w:p>
      <w:pPr>
        <w:spacing w:after="0" w:line="172" w:lineRule="exact"/>
        <w:rPr>
          <w:rFonts w:ascii="Times New Roman" w:cs="Times New Roman" w:eastAsia="Times New Roman" w:hAnsi="Times New Roman"/>
          <w:sz w:val="18"/>
          <w:szCs w:val="18"/>
          <w:color w:val="auto"/>
        </w:rPr>
      </w:pPr>
    </w:p>
    <w:p>
      <w:pPr>
        <w:jc w:val="both"/>
        <w:ind w:firstLine="656"/>
        <w:spacing w:after="0" w:line="261" w:lineRule="auto"/>
        <w:tabs>
          <w:tab w:leader="none" w:pos="10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Optional Repurchase if a Fundamental Change Repurchase Notice Is Outstanding</w:t>
      </w:r>
      <w:r>
        <w:rPr>
          <w:rFonts w:ascii="Times New Roman" w:cs="Times New Roman" w:eastAsia="Times New Roman" w:hAnsi="Times New Roman"/>
          <w:sz w:val="18"/>
          <w:szCs w:val="18"/>
          <w:color w:val="auto"/>
        </w:rPr>
        <w:t>. No Optional Repurchase Notice with respect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may be delivered, and no Note may be surrendered for Optional Repurchase pursuant to this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xml:space="preserve">, by a Holder thereof to the extent such Holder has also delivered a Fundamental Change Repurchase Notice with respect to such Note in accordance with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xml:space="preserve"> unless and until such Holder has validly withdrawn such Fundamental Change Repurchase Notice in accordance with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ectPr>
          <w:pgSz w:w="11900" w:h="16838" w:orient="portrait"/>
          <w:cols w:equalWidth="0" w:num="1">
            <w:col w:w="11240"/>
          </w:cols>
          <w:pgMar w:left="320" w:top="1417" w:right="339" w:bottom="1440" w:gutter="0" w:footer="0" w:header="0"/>
        </w:sectPr>
      </w:pPr>
    </w:p>
    <w:bookmarkStart w:id="52" w:name="page53"/>
    <w:bookmarkEnd w:id="52"/>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Article 5</w:t>
      </w:r>
      <w:r>
        <w:rPr>
          <w:sz w:val="20"/>
          <w:szCs w:val="20"/>
          <w:color w:val="auto"/>
        </w:rPr>
        <w:tab/>
      </w:r>
      <w:r>
        <w:rPr>
          <w:rFonts w:ascii="Times New Roman" w:cs="Times New Roman" w:eastAsia="Times New Roman" w:hAnsi="Times New Roman"/>
          <w:sz w:val="17"/>
          <w:szCs w:val="17"/>
          <w:b w:val="1"/>
          <w:bCs w:val="1"/>
          <w:color w:val="auto"/>
        </w:rPr>
        <w:t>CONVERSION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5.01. Right to Convert.</w:t>
      </w:r>
    </w:p>
    <w:p>
      <w:pPr>
        <w:spacing w:after="0" w:line="225" w:lineRule="exact"/>
        <w:rPr>
          <w:sz w:val="20"/>
          <w:szCs w:val="20"/>
          <w:color w:val="auto"/>
        </w:rPr>
      </w:pPr>
    </w:p>
    <w:p>
      <w:pPr>
        <w:ind w:left="1200" w:hanging="544"/>
        <w:spacing w:after="0"/>
        <w:tabs>
          <w:tab w:leader="none" w:pos="12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 the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each Holder may, at its option, convert such Holder’s Notes into Conversion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w:t>
      </w:r>
    </w:p>
    <w:p>
      <w:pPr>
        <w:spacing w:after="0" w:line="204" w:lineRule="exact"/>
        <w:rPr>
          <w:rFonts w:ascii="Times New Roman" w:cs="Times New Roman" w:eastAsia="Times New Roman" w:hAnsi="Times New Roman"/>
          <w:sz w:val="18"/>
          <w:szCs w:val="18"/>
          <w:color w:val="auto"/>
        </w:rPr>
      </w:pPr>
    </w:p>
    <w:p>
      <w:pPr>
        <w:ind w:right="20" w:firstLine="656"/>
        <w:spacing w:after="0" w:line="284" w:lineRule="auto"/>
        <w:tabs>
          <w:tab w:leader="none" w:pos="11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Conversions in Part</w:t>
      </w:r>
      <w:r>
        <w:rPr>
          <w:rFonts w:ascii="Times New Roman" w:cs="Times New Roman" w:eastAsia="Times New Roman" w:hAnsi="Times New Roman"/>
          <w:sz w:val="18"/>
          <w:szCs w:val="18"/>
          <w:color w:val="auto"/>
        </w:rPr>
        <w:t>. Subject to the terms of this Indenture, Notes may be converted in part, but only in Authorized Denominations.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Provisions of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applying to the conversion of a Note in whole will equally apply to conversions of a permitted portion of a Note.</w:t>
      </w:r>
    </w:p>
    <w:p>
      <w:pPr>
        <w:spacing w:after="0" w:line="15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When Notes May Be Converted</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5.01(C)(ii)</w:t>
      </w:r>
      <w:r>
        <w:rPr>
          <w:rFonts w:ascii="Times New Roman" w:cs="Times New Roman" w:eastAsia="Times New Roman" w:hAnsi="Times New Roman"/>
          <w:sz w:val="18"/>
          <w:szCs w:val="18"/>
          <w:color w:val="auto"/>
        </w:rPr>
        <w:t>, a Note may be converted only in the following circumstances:</w:t>
      </w:r>
    </w:p>
    <w:p>
      <w:pPr>
        <w:spacing w:after="0" w:line="227"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405"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Satisfaction of Sale Price Condition</w:t>
      </w:r>
      <w:r>
        <w:rPr>
          <w:rFonts w:ascii="Times New Roman" w:cs="Times New Roman" w:eastAsia="Times New Roman" w:hAnsi="Times New Roman"/>
          <w:sz w:val="18"/>
          <w:szCs w:val="18"/>
          <w:color w:val="auto"/>
        </w:rPr>
        <w:t>. Before the Close of Business on the Business Day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August 1, 2031, a Holder may convert its Notes during any calendar quarter (and only during such calendar quarter) commencing after the calendar quarter ending on March 31, 2026, if the Last Reported Sale Price per share of Common Stock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- 43 -</w:t>
      </w:r>
    </w:p>
    <w:p>
      <w:pPr>
        <w:sectPr>
          <w:pgSz w:w="11900" w:h="16838" w:orient="portrait"/>
          <w:cols w:equalWidth="0" w:num="1">
            <w:col w:w="11240"/>
          </w:cols>
          <w:pgMar w:left="320" w:top="1427" w:right="339" w:bottom="1440" w:gutter="0" w:footer="0" w:header="0"/>
        </w:sectPr>
      </w:pPr>
    </w:p>
    <w:bookmarkStart w:id="53" w:name="page54"/>
    <w:bookmarkEnd w:id="53"/>
    <w:p>
      <w:pPr>
        <w:jc w:val="both"/>
        <w:ind w:left="180" w:firstLine="652"/>
        <w:spacing w:after="0" w:line="256" w:lineRule="auto"/>
        <w:tabs>
          <w:tab w:leader="none" w:pos="135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Satisfaction of Note Trading Price Condition</w:t>
      </w:r>
      <w:r>
        <w:rPr>
          <w:rFonts w:ascii="Times New Roman" w:cs="Times New Roman" w:eastAsia="Times New Roman" w:hAnsi="Times New Roman"/>
          <w:sz w:val="18"/>
          <w:szCs w:val="18"/>
          <w:color w:val="auto"/>
        </w:rPr>
        <w:t>. Before the Close of Business on the Business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before August 1, 2031, a Holder may convert its Notes during the five (5) consecutive Business Days immediately after any ten (10) consecutive Trading Day period (such ten (10)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Times New Roman" w:cs="Times New Roman" w:eastAsia="Times New Roman" w:hAnsi="Times New Roman"/>
          <w:sz w:val="18"/>
          <w:szCs w:val="18"/>
          <w:b w:val="1"/>
          <w:bCs w:val="1"/>
          <w:color w:val="auto"/>
        </w:rPr>
        <w:t>Trading Price Condition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 xml:space="preserve">The Trading Price will be determined by the Bid Solicitation Agent pursuant to this </w:t>
      </w:r>
      <w:r>
        <w:rPr>
          <w:rFonts w:ascii="Times New Roman" w:cs="Times New Roman" w:eastAsia="Times New Roman" w:hAnsi="Times New Roman"/>
          <w:sz w:val="18"/>
          <w:szCs w:val="18"/>
          <w:b w:val="1"/>
          <w:bCs w:val="1"/>
          <w:color w:val="auto"/>
        </w:rPr>
        <w:t>Section 5.01(C)(i)(2)</w:t>
      </w:r>
      <w:r>
        <w:rPr>
          <w:rFonts w:ascii="Times New Roman" w:cs="Times New Roman" w:eastAsia="Times New Roman" w:hAnsi="Times New Roman"/>
          <w:sz w:val="18"/>
          <w:szCs w:val="18"/>
          <w:color w:val="auto"/>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(or Holders) of at least five million dollars ($5,000,000) in aggregate principal amount of Notes provides the Company with reasonable evidence that the Trading Price per $1,000 principal amount of Notes would be less than ninety eight percent (98%) of the product of the Last Reported Sale Price per share of Common Stock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notify the Holders, the Trustee and the Conversion Agent of the same. The Company will select the institutions to provide bids to the Bid Solicitation Agent and will instruct such institutions to provide bids to the Bid Solicitation Agent in accordance with the definition of “Trading Price.”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- 44 -</w:t>
      </w:r>
    </w:p>
    <w:p>
      <w:pPr>
        <w:sectPr>
          <w:pgSz w:w="11900" w:h="16838" w:orient="portrait"/>
          <w:cols w:equalWidth="0" w:num="1">
            <w:col w:w="10120"/>
          </w:cols>
          <w:pgMar w:left="1440" w:top="1415" w:right="339" w:bottom="1440" w:gutter="0" w:footer="0" w:header="0"/>
        </w:sectPr>
      </w:pPr>
    </w:p>
    <w:bookmarkStart w:id="54" w:name="page55"/>
    <w:bookmarkEnd w:id="54"/>
    <w:p>
      <w:pPr>
        <w:ind w:left="1220" w:hanging="388"/>
        <w:spacing w:after="0"/>
        <w:tabs>
          <w:tab w:leader="none" w:pos="1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Specified Corporate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40" w:firstLine="640"/>
        <w:spacing w:after="0" w:line="284" w:lineRule="auto"/>
        <w:tabs>
          <w:tab w:leader="none" w:pos="189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Distributions</w:t>
      </w:r>
      <w:r>
        <w:rPr>
          <w:rFonts w:ascii="Times New Roman" w:cs="Times New Roman" w:eastAsia="Times New Roman" w:hAnsi="Times New Roman"/>
          <w:sz w:val="18"/>
          <w:szCs w:val="18"/>
          <w:color w:val="auto"/>
        </w:rPr>
        <w:t>. If, before the Close of Business on the Business Day immediately before August 1, 2031,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elects to:</w:t>
      </w:r>
    </w:p>
    <w:p>
      <w:pPr>
        <w:spacing w:after="0" w:line="160" w:lineRule="exact"/>
        <w:rPr>
          <w:rFonts w:ascii="Times New Roman" w:cs="Times New Roman" w:eastAsia="Times New Roman" w:hAnsi="Times New Roman"/>
          <w:sz w:val="18"/>
          <w:szCs w:val="18"/>
          <w:color w:val="auto"/>
        </w:rPr>
      </w:pPr>
    </w:p>
    <w:p>
      <w:pPr>
        <w:jc w:val="both"/>
        <w:ind w:left="1480" w:firstLine="648"/>
        <w:spacing w:after="0" w:line="254" w:lineRule="auto"/>
        <w:tabs>
          <w:tab w:leader="none" w:pos="2501"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upon their separation from the Common Stock or upon the occurrence of such triggering event) entitling them,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 or</w:t>
      </w:r>
    </w:p>
    <w:p>
      <w:pPr>
        <w:spacing w:after="0" w:line="188" w:lineRule="exact"/>
        <w:rPr>
          <w:sz w:val="20"/>
          <w:szCs w:val="20"/>
          <w:color w:val="auto"/>
        </w:rPr>
      </w:pPr>
    </w:p>
    <w:p>
      <w:pPr>
        <w:jc w:val="both"/>
        <w:ind w:left="1480" w:firstLine="648"/>
        <w:spacing w:after="0" w:line="261" w:lineRule="auto"/>
        <w:tabs>
          <w:tab w:leader="none" w:pos="260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Common Stock, assets or securities of the Company or rights to purchase the Company’s securities, which distribution per share of Common Stock has a value, as reasonably determined by the Company in good faith, exceeding ten percent (10%) of the Last Reported Sale Price per share of Common Stock on the Trading Day immediately before the date such distribution is announced,</w:t>
      </w:r>
    </w:p>
    <w:p>
      <w:pPr>
        <w:spacing w:after="0" w:line="180"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 xml:space="preserve">then, in either case, (x) the Company will send notice of such distribution, and of the related right to convert Notes, to Holders, the Trustee and the Conversion Agent at least thirty five (35) Scheduled Trading Days before the Ex-Dividend Date for such distribution (or, if later in the case of any such separation of rights issued pursuant to a stockholder rights plan or the occurrence of any such triggering event under a stockholder rights plan, no later than the Business Day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Notes will not become convertible pursuant to clause (y) above (but the Company will be required to send notice of such distribution pursuant to clause (x) 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 distribution; and (ii) the aggregate principal amount (expressed in thousands) of Notes held by such Holder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the Company is then otherwise permitted to settle conversions of Notes by Physical Settlement (and, for the avoidance of doubt, the Company has not elected another Settlement Method to apply, including pursuant to </w:t>
      </w:r>
      <w:r>
        <w:rPr>
          <w:rFonts w:ascii="Times New Roman" w:cs="Times New Roman" w:eastAsia="Times New Roman" w:hAnsi="Times New Roman"/>
          <w:sz w:val="18"/>
          <w:szCs w:val="18"/>
          <w:b w:val="1"/>
          <w:bCs w:val="1"/>
          <w:color w:val="auto"/>
        </w:rPr>
        <w:t>Section 5.03(A)(i)(1)</w:t>
      </w:r>
      <w:r>
        <w:rPr>
          <w:rFonts w:ascii="Times New Roman" w:cs="Times New Roman" w:eastAsia="Times New Roman" w:hAnsi="Times New Roman"/>
          <w:sz w:val="18"/>
          <w:szCs w:val="18"/>
          <w:color w:val="auto"/>
        </w:rPr>
        <w:t>), then the Company may instead elect to provide such notice at least ten (10) Scheduled Trading Days before such Ex-Dividend Date, in which case (x) the Company must settle all conversions of Notes with a Conversion Date occurring on or after the date the Company provides such notice and on or before the Business Day immediately before the Ex-Dividend Date for such distribution (or any earlier announcement by the Company that such distribution will not take place) by Physical Settlement; and (y) such notice must state that all such conversions will be settled by Physical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- 45 -</w:t>
      </w:r>
    </w:p>
    <w:p>
      <w:pPr>
        <w:sectPr>
          <w:pgSz w:w="11900" w:h="16838" w:orient="portrait"/>
          <w:cols w:equalWidth="0" w:num="1">
            <w:col w:w="10120"/>
          </w:cols>
          <w:pgMar w:left="1440" w:top="1415" w:right="339" w:bottom="1440" w:gutter="0" w:footer="0" w:header="0"/>
        </w:sectPr>
      </w:pPr>
    </w:p>
    <w:bookmarkStart w:id="55" w:name="page56"/>
    <w:bookmarkEnd w:id="55"/>
    <w:p>
      <w:pPr>
        <w:jc w:val="both"/>
        <w:ind w:left="1300" w:firstLine="640"/>
        <w:spacing w:after="0" w:line="253" w:lineRule="auto"/>
        <w:tabs>
          <w:tab w:leader="none" w:pos="241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Corporate Events</w:t>
      </w:r>
      <w:r>
        <w:rPr>
          <w:rFonts w:ascii="Times New Roman" w:cs="Times New Roman" w:eastAsia="Times New Roman" w:hAnsi="Times New Roman"/>
          <w:sz w:val="18"/>
          <w:szCs w:val="18"/>
          <w:color w:val="auto"/>
        </w:rPr>
        <w:t xml:space="preserve">. If a Fundamental Change, Make-Whole Fundamental Change (other than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or Common 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does not provide the notice referred to in the immediately following sentence by the Business Day after such effective date, then the last day on which the Notes are convertible pursuant to this sentence will be extended by the number of Business Days from, and including, the Business Day after such effective date to, but excluding, the date the Company provides such notice. No later than the Business Day after such effective date, the Company will send written notice to the Holders, the Trustee and the Conversion Agent of such transaction or event, such effective date and the related right to convert Notes.</w:t>
      </w:r>
    </w:p>
    <w:p>
      <w:pPr>
        <w:spacing w:after="0" w:line="187" w:lineRule="exact"/>
        <w:rPr>
          <w:rFonts w:ascii="Times New Roman" w:cs="Times New Roman" w:eastAsia="Times New Roman" w:hAnsi="Times New Roman"/>
          <w:sz w:val="18"/>
          <w:szCs w:val="18"/>
          <w:color w:val="auto"/>
        </w:rPr>
      </w:pPr>
    </w:p>
    <w:p>
      <w:pPr>
        <w:jc w:val="both"/>
        <w:ind w:left="640" w:firstLine="652"/>
        <w:spacing w:after="0" w:line="267" w:lineRule="auto"/>
        <w:tabs>
          <w:tab w:leader="none" w:pos="1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Redemption</w:t>
      </w:r>
      <w:r>
        <w:rPr>
          <w:rFonts w:ascii="Times New Roman" w:cs="Times New Roman" w:eastAsia="Times New Roman" w:hAnsi="Times New Roman"/>
          <w:sz w:val="18"/>
          <w:szCs w:val="18"/>
          <w:color w:val="auto"/>
        </w:rPr>
        <w:t>. If the Company calls any Note for</w:t>
      </w:r>
      <w:r>
        <w:rPr>
          <w:rFonts w:ascii="Times New Roman" w:cs="Times New Roman" w:eastAsia="Times New Roman" w:hAnsi="Times New Roman"/>
          <w:sz w:val="18"/>
          <w:szCs w:val="18"/>
          <w:i w:val="1"/>
          <w:iCs w:val="1"/>
          <w:color w:val="auto"/>
        </w:rPr>
        <w:t xml:space="preserve"> Redemption </w:t>
      </w:r>
      <w:r>
        <w:rPr>
          <w:rFonts w:ascii="Times New Roman" w:cs="Times New Roman" w:eastAsia="Times New Roman" w:hAnsi="Times New Roman"/>
          <w:sz w:val="18"/>
          <w:szCs w:val="18"/>
          <w:color w:val="auto"/>
        </w:rPr>
        <w:t>before the Close of Business on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immediately before August 1, 2031, then the Holder of such Note may convert such Note at any time during the related Redemption Conversion Period.</w:t>
      </w:r>
    </w:p>
    <w:p>
      <w:pPr>
        <w:spacing w:after="0" w:line="173" w:lineRule="exact"/>
        <w:rPr>
          <w:rFonts w:ascii="Times New Roman" w:cs="Times New Roman" w:eastAsia="Times New Roman" w:hAnsi="Times New Roman"/>
          <w:sz w:val="18"/>
          <w:szCs w:val="18"/>
          <w:color w:val="auto"/>
        </w:rPr>
      </w:pPr>
    </w:p>
    <w:p>
      <w:pPr>
        <w:jc w:val="both"/>
        <w:ind w:left="640" w:firstLine="652"/>
        <w:spacing w:after="0" w:line="267" w:lineRule="auto"/>
        <w:tabs>
          <w:tab w:leader="none" w:pos="17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Conversions During Free Convertibility Period</w:t>
      </w:r>
      <w:r>
        <w:rPr>
          <w:rFonts w:ascii="Times New Roman" w:cs="Times New Roman" w:eastAsia="Times New Roman" w:hAnsi="Times New Roman"/>
          <w:sz w:val="18"/>
          <w:szCs w:val="18"/>
          <w:color w:val="auto"/>
        </w:rPr>
        <w:t>. On or after August 1, 2031, a Holder may convert its Notes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until the Close of Business on the second (2nd) Scheduled Trading Day immediately before the Maturity Date regardless of the conditions set forth in </w:t>
      </w:r>
      <w:r>
        <w:rPr>
          <w:rFonts w:ascii="Times New Roman" w:cs="Times New Roman" w:eastAsia="Times New Roman" w:hAnsi="Times New Roman"/>
          <w:sz w:val="18"/>
          <w:szCs w:val="18"/>
          <w:b w:val="1"/>
          <w:bCs w:val="1"/>
          <w:color w:val="auto"/>
        </w:rPr>
        <w:t>sub-paragraphs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the avoidance of doubt, the Notes may become convertible pursuant to any one or more of the preceding sub-paragraphs of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5.01(C)(i) </w:t>
      </w:r>
      <w:r>
        <w:rPr>
          <w:rFonts w:ascii="Times New Roman" w:cs="Times New Roman" w:eastAsia="Times New Roman" w:hAnsi="Times New Roman"/>
          <w:sz w:val="18"/>
          <w:szCs w:val="18"/>
          <w:color w:val="auto"/>
        </w:rPr>
        <w:t>and the Notes ceasing to be convertible pursuant to a particular sub-paragraph of this</w:t>
      </w:r>
      <w:r>
        <w:rPr>
          <w:rFonts w:ascii="Times New Roman" w:cs="Times New Roman" w:eastAsia="Times New Roman" w:hAnsi="Times New Roman"/>
          <w:sz w:val="18"/>
          <w:szCs w:val="18"/>
          <w:b w:val="1"/>
          <w:bCs w:val="1"/>
          <w:color w:val="auto"/>
        </w:rPr>
        <w:t xml:space="preserve"> Section 5.01(C)(i) </w:t>
      </w:r>
      <w:r>
        <w:rPr>
          <w:rFonts w:ascii="Times New Roman" w:cs="Times New Roman" w:eastAsia="Times New Roman" w:hAnsi="Times New Roman"/>
          <w:sz w:val="18"/>
          <w:szCs w:val="18"/>
          <w:color w:val="auto"/>
        </w:rPr>
        <w:t>will not preclude the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being convertible pursuant to any other sub-paragraph of this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040" w:hanging="396"/>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and Closed Periods</w:t>
      </w:r>
      <w:r>
        <w:rPr>
          <w:rFonts w:ascii="Times New Roman" w:cs="Times New Roman" w:eastAsia="Times New Roman" w:hAnsi="Times New Roman"/>
          <w:sz w:val="18"/>
          <w:szCs w:val="18"/>
          <w:color w:val="auto"/>
        </w:rPr>
        <w:t>. Notwithstanding anything to the contrary in this Indenture or the Notes:</w:t>
      </w:r>
    </w:p>
    <w:p>
      <w:pPr>
        <w:spacing w:after="0" w:line="223" w:lineRule="exact"/>
        <w:rPr>
          <w:rFonts w:ascii="Times New Roman" w:cs="Times New Roman" w:eastAsia="Times New Roman" w:hAnsi="Times New Roman"/>
          <w:sz w:val="18"/>
          <w:szCs w:val="18"/>
          <w:color w:val="auto"/>
        </w:rPr>
      </w:pPr>
    </w:p>
    <w:p>
      <w:pPr>
        <w:ind w:left="640" w:firstLine="652"/>
        <w:spacing w:after="0" w:line="286" w:lineRule="auto"/>
        <w:tabs>
          <w:tab w:leader="none" w:pos="16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Notes may be surrendered for conversion during a period where the Notes are convertible pursuant to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xml:space="preserve"> only after the Open of Business and before the Close of Business on a Business Day;</w:t>
      </w:r>
    </w:p>
    <w:p>
      <w:pPr>
        <w:spacing w:after="0" w:line="158" w:lineRule="exact"/>
        <w:rPr>
          <w:rFonts w:ascii="Times New Roman" w:cs="Times New Roman" w:eastAsia="Times New Roman" w:hAnsi="Times New Roman"/>
          <w:sz w:val="18"/>
          <w:szCs w:val="18"/>
          <w:color w:val="auto"/>
        </w:rPr>
      </w:pPr>
    </w:p>
    <w:p>
      <w:pPr>
        <w:ind w:left="640" w:firstLine="652"/>
        <w:spacing w:after="0" w:line="282" w:lineRule="auto"/>
        <w:tabs>
          <w:tab w:leader="none" w:pos="183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any Note be converted after the Close of Business on the second (2nd) Scheduled Trading Day immediately before the Maturity Date;</w:t>
      </w:r>
    </w:p>
    <w:p>
      <w:pPr>
        <w:spacing w:after="0" w:line="157" w:lineRule="exact"/>
        <w:rPr>
          <w:rFonts w:ascii="Times New Roman" w:cs="Times New Roman" w:eastAsia="Times New Roman" w:hAnsi="Times New Roman"/>
          <w:sz w:val="18"/>
          <w:szCs w:val="18"/>
          <w:color w:val="auto"/>
        </w:rPr>
      </w:pPr>
    </w:p>
    <w:p>
      <w:pPr>
        <w:jc w:val="both"/>
        <w:ind w:left="640" w:firstLine="652"/>
        <w:spacing w:after="0" w:line="268" w:lineRule="auto"/>
        <w:tabs>
          <w:tab w:leader="none" w:pos="172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calls any Note for Redemption pursuant to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then the Holder of such Note may not convert such Note after the Close of Business on the second (2nd) Scheduled Trading Day immediately before the applicable Redemption Date, except to the extent the Company fails to pay the Redemption Price for such Note in accordance with this Indenture;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- 46 -</w:t>
      </w:r>
    </w:p>
    <w:p>
      <w:pPr>
        <w:sectPr>
          <w:pgSz w:w="11900" w:h="16838" w:orient="portrait"/>
          <w:cols w:equalWidth="0" w:num="1">
            <w:col w:w="10580"/>
          </w:cols>
          <w:pgMar w:left="980" w:top="1415" w:right="339" w:bottom="1440" w:gutter="0" w:footer="0" w:header="0"/>
        </w:sectPr>
      </w:pPr>
    </w:p>
    <w:bookmarkStart w:id="56" w:name="page57"/>
    <w:bookmarkEnd w:id="56"/>
    <w:p>
      <w:pPr>
        <w:jc w:val="both"/>
        <w:ind w:left="1300" w:firstLine="652"/>
        <w:spacing w:after="0" w:line="257" w:lineRule="auto"/>
        <w:tabs>
          <w:tab w:leader="none" w:pos="23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Fundamental Change Repurchase Notice is validly delivered pursuant to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xml:space="preserve"> or an Optional Repurchase Notice is validly delivered pursuant to </w:t>
      </w:r>
      <w:r>
        <w:rPr>
          <w:rFonts w:ascii="Times New Roman" w:cs="Times New Roman" w:eastAsia="Times New Roman" w:hAnsi="Times New Roman"/>
          <w:sz w:val="18"/>
          <w:szCs w:val="18"/>
          <w:b w:val="1"/>
          <w:bCs w:val="1"/>
          <w:color w:val="auto"/>
        </w:rPr>
        <w:t>Section 4.04(E)</w:t>
      </w:r>
      <w:r>
        <w:rPr>
          <w:rFonts w:ascii="Times New Roman" w:cs="Times New Roman" w:eastAsia="Times New Roman" w:hAnsi="Times New Roman"/>
          <w:sz w:val="18"/>
          <w:szCs w:val="18"/>
          <w:color w:val="auto"/>
        </w:rPr>
        <w:t xml:space="preserve"> with respect to any Note, then, in either case, such Note may not be converted, except to the extent (a) such Note is not subject to such notice; (b) such notice is withdrawn in accordance with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4.04(E)</w:t>
      </w:r>
      <w:r>
        <w:rPr>
          <w:rFonts w:ascii="Times New Roman" w:cs="Times New Roman" w:eastAsia="Times New Roman" w:hAnsi="Times New Roman"/>
          <w:sz w:val="18"/>
          <w:szCs w:val="18"/>
          <w:color w:val="auto"/>
        </w:rPr>
        <w:t>, as applicable; or (c) the Company fails to pay the Fundamental Change Repurchase Price or the Optional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Price, as the case may be, for such Note in accordance with this Indenture (or, in the case of a Repurchase Upon Fundamental Change, a third party fails to make such payment in lieu of the Company in accordance with </w:t>
      </w:r>
      <w:r>
        <w:rPr>
          <w:rFonts w:ascii="Times New Roman" w:cs="Times New Roman" w:eastAsia="Times New Roman" w:hAnsi="Times New Roman"/>
          <w:sz w:val="18"/>
          <w:szCs w:val="18"/>
          <w:b w:val="1"/>
          <w:bCs w:val="1"/>
          <w:color w:val="auto"/>
        </w:rPr>
        <w:t>Section 4.02(H)</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5.02. Conversion Procedures.</w:t>
      </w:r>
    </w:p>
    <w:p>
      <w:pPr>
        <w:spacing w:after="0" w:line="227"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69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To convert a beneficial interest in a Global Note that is convertible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the owner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beneficial interest must (1) comply with the Depositary Procedures for converting such beneficial interest (at which time such conversion will become irrevocable); and (2) pay any amounts due pursuant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left="660" w:firstLine="644"/>
        <w:spacing w:after="0" w:line="259" w:lineRule="auto"/>
        <w:tabs>
          <w:tab w:leader="none" w:pos="174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To convert all or a portion of a Physical Note that is convertible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the Holder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Converting a Note</w:t>
      </w:r>
      <w:r>
        <w:rPr>
          <w:rFonts w:ascii="Times New Roman" w:cs="Times New Roman" w:eastAsia="Times New Roman" w:hAnsi="Times New Roman"/>
          <w:sz w:val="18"/>
          <w:szCs w:val="18"/>
          <w:color w:val="auto"/>
        </w:rPr>
        <w:t>. At the Close of Business on the Conversion Date for a Note (or any portion thereof) to be converted, such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such portion) will (unless there occurs a Default in the delivery of the Conversion Consideration or interest due, pursuant to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xml:space="preserve">, as the case may be, upon such conversion) be deemed to cease to be outstanding (and, for the avoidance of doubt, no Person will be deemed to be a Holder of such Note (or such portion thereof) as of the Close of Business on such Conversion Date), except to the extent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110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 of Record of Conversion Shares</w:t>
      </w:r>
      <w:r>
        <w:rPr>
          <w:rFonts w:ascii="Times New Roman" w:cs="Times New Roman" w:eastAsia="Times New Roman" w:hAnsi="Times New Roman"/>
          <w:sz w:val="18"/>
          <w:szCs w:val="18"/>
          <w:color w:val="auto"/>
        </w:rPr>
        <w:t>. The Person in whose name any share of Common Stock is issuable upon conversion of any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6"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ectPr>
          <w:pgSz w:w="11900" w:h="16838" w:orient="portrait"/>
          <w:cols w:equalWidth="0" w:num="1">
            <w:col w:w="11240"/>
          </w:cols>
          <w:pgMar w:left="320" w:top="1413" w:right="339" w:bottom="1440" w:gutter="0" w:footer="0" w:header="0"/>
        </w:sectPr>
      </w:pPr>
    </w:p>
    <w:bookmarkStart w:id="57" w:name="page58"/>
    <w:bookmarkEnd w:id="57"/>
    <w:p>
      <w:pPr>
        <w:jc w:val="both"/>
        <w:ind w:firstLine="656"/>
        <w:spacing w:after="0" w:line="254" w:lineRule="auto"/>
        <w:tabs>
          <w:tab w:leader="none" w:pos="107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Payable upon Conversion in Certain Circumstances</w:t>
      </w:r>
      <w:r>
        <w:rPr>
          <w:rFonts w:ascii="Times New Roman" w:cs="Times New Roman" w:eastAsia="Times New Roman" w:hAnsi="Times New Roman"/>
          <w:sz w:val="18"/>
          <w:szCs w:val="18"/>
          <w:color w:val="auto"/>
        </w:rPr>
        <w:t>. If the Conversion Date of a Note is after a Regular Record Date and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w:t>
      </w:r>
      <w:r>
        <w:rPr>
          <w:rFonts w:ascii="Times New Roman" w:cs="Times New Roman" w:eastAsia="Times New Roman" w:hAnsi="Times New Roman"/>
          <w:sz w:val="18"/>
          <w:szCs w:val="18"/>
          <w:b w:val="1"/>
          <w:bCs w:val="1"/>
          <w:color w:val="auto"/>
        </w:rPr>
        <w:t>clause</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2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Holder surrendering such Note for conversion need not deliver such cash (w) if such Note is called (or deemed, pursuant to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 xml:space="preserve">, to be called) for Redemption and the Company has specified a Redemption Date that is after such Regular Record Date and on or before the second Business Day immediately after such Interest Payment Date; (x) if such Conversion Date occurs after the Regular Record Date immediately before the Maturity Date; (y) if the Company has specified a Fundamental Change Repurchase Date that is after such Regular Record Date and on or before the Business Day immediately after such Interest Payment Date; or (z) to the extent of any overdue interest or interest that has accrued on any overdue interest. For the avoidance of doubt, as a result of, and without limiting the generality of, the foregoing, if (i) a Note is converted with a Conversion Date that is after the Regular Record Date immediately before the Maturity Date, (ii) a Note is called (or deemed called) for Redemption and the Company has specified a Redemption Date that is after a Regular Record Date and on or before the second Business Day immediately after the next Interest Payment Date or (iii) the Company has specified a Fundamental Change Repurchase Date that is after a Regular Record Date and on or before the Business Day immediately after the next Interest Payment Date, then the Company will pay, as provided above, the interest that would have accrued on such Note to, but excluding, the Maturity Date or other applicable Interest Payment Date regardless of whether the Holder has converted its Notes after such Regular Record Date, and such converting Holder will not be required to make a corresponding cash payment pursuant to the first sentence of this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For the avoidance of doubt, if the Conversion Date of a Note to be converted is on an Interest Payment Date, then the Holder of such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107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 and Duties</w:t>
      </w:r>
      <w:r>
        <w:rPr>
          <w:rFonts w:ascii="Times New Roman" w:cs="Times New Roman" w:eastAsia="Times New Roman" w:hAnsi="Times New Roman"/>
          <w:sz w:val="18"/>
          <w:szCs w:val="18"/>
          <w:color w:val="auto"/>
        </w:rPr>
        <w:t>. If a Holder converts a Note, the Company will pay any documentary, stamp or similar issue or transfer tax or duty due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issue or delivery of any shares of Common Stock upon such conversion;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08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Agent to Notify Company of Conversions</w:t>
      </w:r>
      <w:r>
        <w:rPr>
          <w:rFonts w:ascii="Times New Roman" w:cs="Times New Roman" w:eastAsia="Times New Roman" w:hAnsi="Times New Roman"/>
          <w:sz w:val="18"/>
          <w:szCs w:val="18"/>
          <w:color w:val="auto"/>
        </w:rPr>
        <w:t>. If any Note is submitted for conversion to the Conversion Agent or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receives any notice of conversion with respect to a Note, then the Conversion Agent will promptly (and, in any event, no later than the date the Conversion Agent receives such Note or notice if received prior to the Close of Business on such date) notify the Company and the Trustee of such occurrence, together with any other information reasonably requested by the Company, and will cooperate with the Company to determine the Conversion Date for such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ectPr>
          <w:pgSz w:w="11900" w:h="16838" w:orient="portrait"/>
          <w:cols w:equalWidth="0" w:num="1">
            <w:col w:w="11240"/>
          </w:cols>
          <w:pgMar w:left="320" w:top="141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Section 5.03. Settlement upon Conversion.</w:t>
      </w:r>
    </w:p>
    <w:p>
      <w:pPr>
        <w:spacing w:after="0" w:line="227" w:lineRule="exact"/>
        <w:rPr>
          <w:sz w:val="20"/>
          <w:szCs w:val="20"/>
          <w:color w:val="auto"/>
        </w:rPr>
      </w:pPr>
    </w:p>
    <w:p>
      <w:pPr>
        <w:jc w:val="both"/>
        <w:ind w:firstLine="656"/>
        <w:spacing w:after="0" w:line="261" w:lineRule="auto"/>
        <w:tabs>
          <w:tab w:leader="none" w:pos="10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Method</w:t>
      </w:r>
      <w:r>
        <w:rPr>
          <w:rFonts w:ascii="Times New Roman" w:cs="Times New Roman" w:eastAsia="Times New Roman" w:hAnsi="Times New Roman"/>
          <w:sz w:val="18"/>
          <w:szCs w:val="18"/>
          <w:color w:val="auto"/>
        </w:rPr>
        <w:t>. Upon the conversion of any Note, the Company will settle such conversion by paying or delivering, as applicable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either (x) shares of Common Stock, together, if applicable, with cash in lieu of fractional shares as provided in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(i)(1)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(y) solely cash as provided in</w:t>
      </w:r>
      <w:r>
        <w:rPr>
          <w:rFonts w:ascii="Times New Roman" w:cs="Times New Roman" w:eastAsia="Times New Roman" w:hAnsi="Times New Roman"/>
          <w:sz w:val="18"/>
          <w:szCs w:val="18"/>
          <w:b w:val="1"/>
          <w:bCs w:val="1"/>
          <w:color w:val="auto"/>
        </w:rPr>
        <w:t xml:space="preserve"> Section 5.03(B)(i)(2)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or (z) a combination of cash and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Common Stock, together, if applicable, with cash in lieu of fractional shares as provided in </w:t>
      </w:r>
      <w:r>
        <w:rPr>
          <w:rFonts w:ascii="Times New Roman" w:cs="Times New Roman" w:eastAsia="Times New Roman" w:hAnsi="Times New Roman"/>
          <w:sz w:val="18"/>
          <w:szCs w:val="18"/>
          <w:b w:val="1"/>
          <w:bCs w:val="1"/>
          <w:color w:val="auto"/>
        </w:rPr>
        <w:t>Section 5.03(B)(i)(3)</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4" w:lineRule="auto"/>
        <w:tabs>
          <w:tab w:leader="none" w:pos="165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Right to Elect Settlement Method</w:t>
      </w:r>
      <w:r>
        <w:rPr>
          <w:rFonts w:ascii="Times New Roman" w:cs="Times New Roman" w:eastAsia="Times New Roman" w:hAnsi="Times New Roman"/>
          <w:sz w:val="18"/>
          <w:szCs w:val="18"/>
          <w:color w:val="auto"/>
        </w:rPr>
        <w:t>. The Company will have the right to elect the Settlement Method applicable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conversion of a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56" w:lineRule="exact"/>
        <w:rPr>
          <w:rFonts w:ascii="Times New Roman" w:cs="Times New Roman" w:eastAsia="Times New Roman" w:hAnsi="Times New Roman"/>
          <w:sz w:val="18"/>
          <w:szCs w:val="18"/>
          <w:color w:val="auto"/>
        </w:rPr>
      </w:pPr>
    </w:p>
    <w:p>
      <w:pPr>
        <w:jc w:val="both"/>
        <w:ind w:left="1300" w:firstLine="652"/>
        <w:spacing w:after="0" w:line="268" w:lineRule="auto"/>
        <w:tabs>
          <w:tab w:leader="none" w:pos="2347"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clause (3)</w:t>
      </w:r>
      <w:r>
        <w:rPr>
          <w:rFonts w:ascii="Times New Roman" w:cs="Times New Roman" w:eastAsia="Times New Roman" w:hAnsi="Times New Roman"/>
          <w:sz w:val="18"/>
          <w:szCs w:val="18"/>
          <w:color w:val="auto"/>
        </w:rPr>
        <w:t xml:space="preserve"> below, all conversions of Notes with a Conversion Date that occurs on or after August 1, 2031 will be settled using the same Settlement Method, and the Company will send written notice of such Settlement Method to Holders, the Trustee and the Conversion Agent no later than the Open of Business on August 1, 2031;</w:t>
      </w:r>
    </w:p>
    <w:p>
      <w:pPr>
        <w:spacing w:after="0" w:line="170" w:lineRule="exact"/>
        <w:rPr>
          <w:rFonts w:ascii="Times New Roman" w:cs="Times New Roman" w:eastAsia="Times New Roman" w:hAnsi="Times New Roman"/>
          <w:sz w:val="18"/>
          <w:szCs w:val="18"/>
          <w:color w:val="auto"/>
        </w:rPr>
      </w:pPr>
    </w:p>
    <w:p>
      <w:pPr>
        <w:jc w:val="both"/>
        <w:ind w:left="1300" w:firstLine="652"/>
        <w:spacing w:after="0" w:line="262" w:lineRule="auto"/>
        <w:tabs>
          <w:tab w:leader="none" w:pos="2356"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clause (3)</w:t>
      </w:r>
      <w:r>
        <w:rPr>
          <w:rFonts w:ascii="Times New Roman" w:cs="Times New Roman" w:eastAsia="Times New Roman" w:hAnsi="Times New Roman"/>
          <w:sz w:val="18"/>
          <w:szCs w:val="18"/>
          <w:color w:val="auto"/>
        </w:rPr>
        <w:t xml:space="preserve"> below, if the Company elects a Settlement Method with respect to the conversion of any Note whose Conversion Date occurs before August 1, 2031, then the Company will send notice of such Settlement Method to the Holder of such Note, the Trustee and the Conversion Agent (if other than the Trustee) no later than the Close of Business on the Business Day immediately after such Conversion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ectPr>
          <w:pgSz w:w="11900" w:h="16838" w:orient="portrait"/>
          <w:cols w:equalWidth="0" w:num="1">
            <w:col w:w="11240"/>
          </w:cols>
          <w:pgMar w:left="320" w:top="1413" w:right="339" w:bottom="1440" w:gutter="0" w:footer="0" w:header="0"/>
        </w:sectPr>
      </w:pPr>
    </w:p>
    <w:bookmarkStart w:id="59" w:name="page60"/>
    <w:bookmarkEnd w:id="59"/>
    <w:p>
      <w:pPr>
        <w:jc w:val="both"/>
        <w:ind w:left="644" w:firstLine="652"/>
        <w:spacing w:after="0" w:line="258" w:lineRule="auto"/>
        <w:tabs>
          <w:tab w:leader="none" w:pos="1696"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Notes are called for Redemption, then (a) the Company will specify, in the related Redemption Notice sent pursuant to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 xml:space="preserve">, the Settlement Method that will apply to all conversions of Notes with a Conversion Date that occurs during the related Redemption Conversion Period; and (b) if such Redemption Date occurs on or after August 1, 2031, then such Settlement Method must be the same Settlement Method that,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applies to all conversions of Notes with a Conversion Date that occurs on or after August 1, 2031;</w:t>
      </w:r>
    </w:p>
    <w:p>
      <w:pPr>
        <w:spacing w:after="0" w:line="183" w:lineRule="exact"/>
        <w:rPr>
          <w:rFonts w:ascii="Times New Roman" w:cs="Times New Roman" w:eastAsia="Times New Roman" w:hAnsi="Times New Roman"/>
          <w:sz w:val="18"/>
          <w:szCs w:val="18"/>
          <w:color w:val="auto"/>
        </w:rPr>
      </w:pPr>
    </w:p>
    <w:p>
      <w:pPr>
        <w:jc w:val="both"/>
        <w:ind w:left="644" w:right="20" w:firstLine="652"/>
        <w:spacing w:after="0" w:line="266" w:lineRule="auto"/>
        <w:tabs>
          <w:tab w:leader="none" w:pos="1717"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above);</w:t>
      </w:r>
    </w:p>
    <w:p>
      <w:pPr>
        <w:spacing w:after="0" w:line="175"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68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 and</w:t>
      </w:r>
    </w:p>
    <w:p>
      <w:pPr>
        <w:spacing w:after="0" w:line="175"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715"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w:t>
      </w:r>
    </w:p>
    <w:p>
      <w:pPr>
        <w:spacing w:after="0" w:line="175" w:lineRule="exact"/>
        <w:rPr>
          <w:rFonts w:ascii="Times New Roman" w:cs="Times New Roman" w:eastAsia="Times New Roman" w:hAnsi="Times New Roman"/>
          <w:sz w:val="18"/>
          <w:szCs w:val="18"/>
          <w:color w:val="auto"/>
        </w:rPr>
      </w:pPr>
    </w:p>
    <w:p>
      <w:pPr>
        <w:ind w:left="1684" w:hanging="388"/>
        <w:spacing w:after="0"/>
        <w:tabs>
          <w:tab w:leader="none" w:pos="168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Settlement Method will be subject to </w:t>
      </w:r>
      <w:r>
        <w:rPr>
          <w:rFonts w:ascii="Times New Roman" w:cs="Times New Roman" w:eastAsia="Times New Roman" w:hAnsi="Times New Roman"/>
          <w:sz w:val="18"/>
          <w:szCs w:val="18"/>
          <w:b w:val="1"/>
          <w:bCs w:val="1"/>
          <w:color w:val="auto"/>
        </w:rPr>
        <w:t>Section 4.03(E)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5.01(C)(i)(3)(a)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5.07(D)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5.09(A).</w:t>
      </w:r>
    </w:p>
    <w:p>
      <w:pPr>
        <w:spacing w:after="0" w:line="227" w:lineRule="exact"/>
        <w:rPr>
          <w:rFonts w:ascii="Times New Roman" w:cs="Times New Roman" w:eastAsia="Times New Roman" w:hAnsi="Times New Roman"/>
          <w:sz w:val="18"/>
          <w:szCs w:val="18"/>
          <w:color w:val="auto"/>
        </w:rPr>
      </w:pPr>
    </w:p>
    <w:p>
      <w:pPr>
        <w:ind w:left="1104" w:hanging="456"/>
        <w:spacing w:after="0"/>
        <w:tabs>
          <w:tab w:leader="none" w:pos="110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Right to Irrevocably Fix the Settlement Method</w:t>
      </w:r>
      <w:r>
        <w:rPr>
          <w:rFonts w:ascii="Times New Roman" w:cs="Times New Roman" w:eastAsia="Times New Roman" w:hAnsi="Times New Roman"/>
          <w:sz w:val="18"/>
          <w:szCs w:val="18"/>
          <w:color w:val="auto"/>
        </w:rPr>
        <w:t>. The Company will have the right, exercisable at its election by</w:t>
      </w:r>
    </w:p>
    <w:p>
      <w:pPr>
        <w:spacing w:after="0" w:line="29"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sending notice of such exercise to the Holders (with a copy to the Trustee and the Conversion Agent) and (y) disclosing such exercise on the Company’s website or in a Current Report on Form 8-K (or any successor form) filed with, or furnished to, the SEC, to (1) irrevocably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Settlement Method so elected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or the Settlement Method(s) remaining after any elimination pursuant to </w:t>
      </w:r>
      <w:r>
        <w:rPr>
          <w:rFonts w:ascii="Times New Roman" w:cs="Times New Roman" w:eastAsia="Times New Roman" w:hAnsi="Times New Roman"/>
          <w:sz w:val="18"/>
          <w:szCs w:val="18"/>
          <w:b w:val="1"/>
          <w:bCs w:val="1"/>
          <w:color w:val="auto"/>
        </w:rPr>
        <w:t>clause (2)</w:t>
      </w:r>
      <w:r>
        <w:rPr>
          <w:rFonts w:ascii="Times New Roman" w:cs="Times New Roman" w:eastAsia="Times New Roman" w:hAnsi="Times New Roman"/>
          <w:sz w:val="18"/>
          <w:szCs w:val="18"/>
          <w:color w:val="auto"/>
        </w:rPr>
        <w:t xml:space="preserve"> above, as applicable, must be a Settlement Method or Settlement Method(s), as applicable, that the Company is then permitted to elect (for the avoidance of doubt, including pursuant to, and subject to, the other provisions of this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xml:space="preserve">). Such notice, if sent, must set forth the Settlement Method so elected, or the Settlement Method(s) so eliminated, as applicable, and expressly state that the election is irrevocable and applicable to all conversions of Notes with a Conversion Date that occurs on or after the date such notice is sent to Holders. Upon any such irrevocable election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the Default Settlement Method will automatically be deemed to be set to the Settlement Method so elected; and upon any such irrevocable election pursuant to </w:t>
      </w:r>
      <w:r>
        <w:rPr>
          <w:rFonts w:ascii="Times New Roman" w:cs="Times New Roman" w:eastAsia="Times New Roman" w:hAnsi="Times New Roman"/>
          <w:sz w:val="18"/>
          <w:szCs w:val="18"/>
          <w:b w:val="1"/>
          <w:bCs w:val="1"/>
          <w:color w:val="auto"/>
        </w:rPr>
        <w:t>clause (2)</w:t>
      </w:r>
      <w:r>
        <w:rPr>
          <w:rFonts w:ascii="Times New Roman" w:cs="Times New Roman" w:eastAsia="Times New Roman" w:hAnsi="Times New Roman"/>
          <w:sz w:val="18"/>
          <w:szCs w:val="18"/>
          <w:color w:val="auto"/>
        </w:rPr>
        <w:t xml:space="preserve"> above, the Company will, if needed, simultaneously change the Default Settlement Method to a Settlement Method that is consistent with such irrevocable election. Notwithstanding anything to the contrary in the preceding sentences of this paragraph, no such change in the Default Settlement Method or irrevocable election will affect any Settlement Method theretofore elected (or deemed to be elected) with respect to any Note pursuant to this Indenture (including pursuant to this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xml:space="preserve">). For the avoidance of doubt, such an irrevocable election, if made, will be effective without the need to amend this Indenture or the Notes, including pursuant to </w:t>
      </w:r>
      <w:r>
        <w:rPr>
          <w:rFonts w:ascii="Times New Roman" w:cs="Times New Roman" w:eastAsia="Times New Roman" w:hAnsi="Times New Roman"/>
          <w:sz w:val="18"/>
          <w:szCs w:val="18"/>
          <w:b w:val="1"/>
          <w:bCs w:val="1"/>
          <w:color w:val="auto"/>
        </w:rPr>
        <w:t>Section 8.01(G)</w:t>
      </w:r>
      <w:r>
        <w:rPr>
          <w:rFonts w:ascii="Times New Roman" w:cs="Times New Roman" w:eastAsia="Times New Roman" w:hAnsi="Times New Roman"/>
          <w:sz w:val="18"/>
          <w:szCs w:val="18"/>
          <w:color w:val="auto"/>
        </w:rPr>
        <w:t xml:space="preserve"> (it being understood, however, that the Company may nonetheless choose to execute such an amendment at its option).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0"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ectPr>
          <w:pgSz w:w="11900" w:h="16838" w:orient="portrait"/>
          <w:cols w:equalWidth="0" w:num="1">
            <w:col w:w="10584"/>
          </w:cols>
          <w:pgMar w:left="976" w:top="1417" w:right="339" w:bottom="1440" w:gutter="0" w:footer="0" w:header="0"/>
        </w:sectPr>
      </w:pPr>
    </w:p>
    <w:bookmarkStart w:id="60" w:name="page61"/>
    <w:bookmarkEnd w:id="60"/>
    <w:p>
      <w:pPr>
        <w:ind w:left="424" w:hanging="424"/>
        <w:spacing w:after="0"/>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Consideration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 w:firstLine="644"/>
        <w:spacing w:after="0" w:line="286" w:lineRule="auto"/>
        <w:tabs>
          <w:tab w:leader="none" w:pos="108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5.03(B)(ii)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5.03(B)(iii)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5.09(A)(2)</w:t>
      </w:r>
      <w:r>
        <w:rPr>
          <w:rFonts w:ascii="Times New Roman" w:cs="Times New Roman" w:eastAsia="Times New Roman" w:hAnsi="Times New Roman"/>
          <w:sz w:val="18"/>
          <w:szCs w:val="18"/>
          <w:color w:val="auto"/>
        </w:rPr>
        <w:t>, the type and amount of consideration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due in respect of each $1,000 principal amount of a Note to be converted will be as follows:</w:t>
      </w:r>
    </w:p>
    <w:p>
      <w:pPr>
        <w:spacing w:after="0" w:line="158" w:lineRule="exact"/>
        <w:rPr>
          <w:rFonts w:ascii="Times New Roman" w:cs="Times New Roman" w:eastAsia="Times New Roman" w:hAnsi="Times New Roman"/>
          <w:sz w:val="18"/>
          <w:szCs w:val="18"/>
          <w:color w:val="auto"/>
        </w:rPr>
      </w:pPr>
    </w:p>
    <w:p>
      <w:pPr>
        <w:ind w:left="644" w:firstLine="652"/>
        <w:spacing w:after="0" w:line="282" w:lineRule="auto"/>
        <w:tabs>
          <w:tab w:leader="none" w:pos="1722"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Physical Settlement applies to such conversion, a number of shares of Common Stock equal to the Conversion Rate in effect on the Conversion Date for such conversion;</w:t>
      </w:r>
    </w:p>
    <w:p>
      <w:pPr>
        <w:spacing w:after="0" w:line="161" w:lineRule="exact"/>
        <w:rPr>
          <w:rFonts w:ascii="Times New Roman" w:cs="Times New Roman" w:eastAsia="Times New Roman" w:hAnsi="Times New Roman"/>
          <w:sz w:val="18"/>
          <w:szCs w:val="18"/>
          <w:color w:val="auto"/>
        </w:rPr>
      </w:pPr>
    </w:p>
    <w:p>
      <w:pPr>
        <w:ind w:left="644" w:firstLine="652"/>
        <w:spacing w:after="0" w:line="282" w:lineRule="auto"/>
        <w:tabs>
          <w:tab w:leader="none" w:pos="169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Cash Settlement applies to such conversion, cash in an amount equal to the sum of the Daily Conversion Values for each VWAP Trading Day in the Observation Period for such conversion; or</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771"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- 51 -</w:t>
      </w:r>
    </w:p>
    <w:p>
      <w:pPr>
        <w:sectPr>
          <w:pgSz w:w="11900" w:h="16838" w:orient="portrait"/>
          <w:cols w:equalWidth="0" w:num="1">
            <w:col w:w="10584"/>
          </w:cols>
          <w:pgMar w:left="976" w:top="1415" w:right="339" w:bottom="1440" w:gutter="0" w:footer="0" w:header="0"/>
        </w:sectPr>
      </w:pPr>
    </w:p>
    <w:bookmarkStart w:id="61" w:name="page62"/>
    <w:bookmarkEnd w:id="61"/>
    <w:p>
      <w:pPr>
        <w:jc w:val="both"/>
        <w:ind w:left="660" w:firstLine="644"/>
        <w:spacing w:after="0" w:line="256" w:lineRule="auto"/>
        <w:tabs>
          <w:tab w:leader="none" w:pos="172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in Lieu of Fractional Shares</w:t>
      </w:r>
      <w:r>
        <w:rPr>
          <w:rFonts w:ascii="Times New Roman" w:cs="Times New Roman" w:eastAsia="Times New Roman" w:hAnsi="Times New Roman"/>
          <w:sz w:val="18"/>
          <w:szCs w:val="18"/>
          <w:color w:val="auto"/>
        </w:rPr>
        <w:t>. If Physical Settlement or Combination Settlement applies to the conversion of any Note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number of shares of Common Stock deliverable pursuant to </w:t>
      </w:r>
      <w:r>
        <w:rPr>
          <w:rFonts w:ascii="Times New Roman" w:cs="Times New Roman" w:eastAsia="Times New Roman" w:hAnsi="Times New Roman"/>
          <w:sz w:val="18"/>
          <w:szCs w:val="18"/>
          <w:b w:val="1"/>
          <w:bCs w:val="1"/>
          <w:color w:val="auto"/>
        </w:rPr>
        <w:t>Section 5.03(B)(i)</w:t>
      </w:r>
      <w:r>
        <w:rPr>
          <w:rFonts w:ascii="Times New Roman" w:cs="Times New Roman" w:eastAsia="Times New Roman" w:hAnsi="Times New Roman"/>
          <w:sz w:val="18"/>
          <w:szCs w:val="18"/>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applicable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spacing w:after="0" w:line="182" w:lineRule="exact"/>
        <w:rPr>
          <w:rFonts w:ascii="Times New Roman" w:cs="Times New Roman" w:eastAsia="Times New Roman" w:hAnsi="Times New Roman"/>
          <w:sz w:val="18"/>
          <w:szCs w:val="18"/>
          <w:color w:val="auto"/>
        </w:rPr>
      </w:pPr>
    </w:p>
    <w:p>
      <w:pPr>
        <w:jc w:val="both"/>
        <w:ind w:left="660" w:firstLine="644"/>
        <w:spacing w:after="0" w:line="267" w:lineRule="auto"/>
        <w:tabs>
          <w:tab w:leader="none" w:pos="178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Multiple Notes by a Single Holder</w:t>
      </w:r>
      <w:r>
        <w:rPr>
          <w:rFonts w:ascii="Times New Roman" w:cs="Times New Roman" w:eastAsia="Times New Roman" w:hAnsi="Times New Roman"/>
          <w:sz w:val="18"/>
          <w:szCs w:val="18"/>
          <w:color w:val="auto"/>
        </w:rPr>
        <w:t>. If a Holder converts more than one (1) Note on a single Conversion Date,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spacing w:after="0" w:line="173" w:lineRule="exact"/>
        <w:rPr>
          <w:rFonts w:ascii="Times New Roman" w:cs="Times New Roman" w:eastAsia="Times New Roman" w:hAnsi="Times New Roman"/>
          <w:sz w:val="18"/>
          <w:szCs w:val="18"/>
          <w:color w:val="auto"/>
        </w:rPr>
      </w:pPr>
    </w:p>
    <w:p>
      <w:pPr>
        <w:jc w:val="both"/>
        <w:ind w:left="660" w:right="20" w:firstLine="644"/>
        <w:spacing w:after="0" w:line="261" w:lineRule="auto"/>
        <w:tabs>
          <w:tab w:leader="none" w:pos="174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Calculation of Conversion Consideration</w:t>
      </w:r>
      <w:r>
        <w:rPr>
          <w:rFonts w:ascii="Times New Roman" w:cs="Times New Roman" w:eastAsia="Times New Roman" w:hAnsi="Times New Roman"/>
          <w:sz w:val="18"/>
          <w:szCs w:val="18"/>
          <w:color w:val="auto"/>
        </w:rPr>
        <w:t>. If Cash Settlement or Combination Settlement applies to the conversion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the Conversion Agent nor the Paying Agent will have any duty to make any such determination.</w:t>
      </w:r>
    </w:p>
    <w:p>
      <w:pPr>
        <w:spacing w:after="0" w:line="177" w:lineRule="exact"/>
        <w:rPr>
          <w:rFonts w:ascii="Times New Roman" w:cs="Times New Roman" w:eastAsia="Times New Roman" w:hAnsi="Times New Roman"/>
          <w:sz w:val="18"/>
          <w:szCs w:val="18"/>
          <w:color w:val="auto"/>
        </w:rPr>
      </w:pPr>
    </w:p>
    <w:p>
      <w:pPr>
        <w:jc w:val="both"/>
        <w:ind w:firstLine="656"/>
        <w:spacing w:after="0" w:line="255" w:lineRule="auto"/>
        <w:tabs>
          <w:tab w:leader="none" w:pos="110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the Conversion Consideration</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5.05(D)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5.07(D)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5.09</w:t>
      </w:r>
      <w:r>
        <w:rPr>
          <w:rFonts w:ascii="Times New Roman" w:cs="Times New Roman" w:eastAsia="Times New Roman" w:hAnsi="Times New Roman"/>
          <w:sz w:val="18"/>
          <w:szCs w:val="18"/>
          <w:color w:val="auto"/>
        </w:rPr>
        <w:t>, the Company will pay or deliver,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the Conversion Consideration due upon the conversion of any Note to the Holder as follows: (i) if Cash Settlement or Combination Settlement applies to such conversion, on or before the second (2nd) Business Day immediately after the last VWAP Trading Day of the Observation Period for such conversion; and (ii) if Physical Settlement applies to such conversion, on or before the second (2nd) Business Day immediately after the Conversion Date for such conversion;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Physical Settlement applies to the conversion of any Note with a Conversion Date that is after the Regular Record Date immediately before the Maturity Date, then, solely for purposes of such conversion, (x) the Company will pay or deliver, as applicable, the Conversion Consideration due upon such conversion no later than the Maturity Date (or, if the Maturity Date is not a Business Day, the next Business Day); and (y) the Conversion Date will instead be deemed to be the second (2nd) Business Day immediately before the Maturity Date.</w:t>
      </w:r>
    </w:p>
    <w:p>
      <w:pPr>
        <w:spacing w:after="0" w:line="186" w:lineRule="exact"/>
        <w:rPr>
          <w:rFonts w:ascii="Times New Roman" w:cs="Times New Roman" w:eastAsia="Times New Roman" w:hAnsi="Times New Roman"/>
          <w:sz w:val="18"/>
          <w:szCs w:val="18"/>
          <w:color w:val="auto"/>
        </w:rPr>
      </w:pPr>
    </w:p>
    <w:p>
      <w:pPr>
        <w:jc w:val="both"/>
        <w:ind w:firstLine="656"/>
        <w:spacing w:after="0" w:line="256" w:lineRule="auto"/>
        <w:tabs>
          <w:tab w:leader="none" w:pos="11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Deemed Payment of Principal and Interest; Settlement of Accrued Interest Notwithstanding Conversion</w:t>
      </w:r>
      <w:r>
        <w:rPr>
          <w:rFonts w:ascii="Times New Roman" w:cs="Times New Roman" w:eastAsia="Times New Roman" w:hAnsi="Times New Roman"/>
          <w:sz w:val="18"/>
          <w:szCs w:val="18"/>
          <w:color w:val="auto"/>
        </w:rPr>
        <w:t>. If a Holder converts a Note,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will not adjust the Conversion Rate to account for any accrued and unpaid interest on such Note, and, except as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the Company’s delivery of the Conversion Consideration due in respect of such conversion will be deemed to fully satisfy and discharge the Company’s obligation to pay the principal of, and accrued and unpaid interest, if any, on, such Note to, but excluding the Conversion Date. As a result, except as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any accrued and unpaid interest on a converted Note will be deemed to be paid in full rather than cancelled, extinguished or forfeited. In addition, subject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if the Conversion Consideration for a Note consists of both cash and shares of Common Stock, then accrued and unpaid interest that is deemed to be paid therewith will be deemed to be paid first out of such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ectPr>
          <w:pgSz w:w="11900" w:h="16838" w:orient="portrait"/>
          <w:cols w:equalWidth="0" w:num="1">
            <w:col w:w="11240"/>
          </w:cols>
          <w:pgMar w:left="320" w:top="141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Section 5.04. Reserve and Status of Common Stock Issued upon Conversion.</w:t>
      </w:r>
    </w:p>
    <w:p>
      <w:pPr>
        <w:spacing w:after="0" w:line="227" w:lineRule="exact"/>
        <w:rPr>
          <w:sz w:val="20"/>
          <w:szCs w:val="20"/>
          <w:color w:val="auto"/>
        </w:rPr>
      </w:pPr>
    </w:p>
    <w:p>
      <w:pPr>
        <w:jc w:val="both"/>
        <w:ind w:firstLine="656"/>
        <w:spacing w:after="0" w:line="257" w:lineRule="auto"/>
        <w:tabs>
          <w:tab w:leader="none" w:pos="10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Reserve</w:t>
      </w:r>
      <w:r>
        <w:rPr>
          <w:rFonts w:ascii="Times New Roman" w:cs="Times New Roman" w:eastAsia="Times New Roman" w:hAnsi="Times New Roman"/>
          <w:sz w:val="18"/>
          <w:szCs w:val="18"/>
          <w:color w:val="auto"/>
        </w:rPr>
        <w:t>. At all times when any Notes are outstanding, the Company will reserve, out of its authorized, unreserved and not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of Common Stock, a number of shares of Common Stock sufficient to permit the conversion of all then-outstanding Notes, assuming (x) Physical Settlement will apply to such conversion; and (y) the Conversion Rate is increased by the maximum amount pursuant to which the Conversion Rate may be increased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To the extent the Company delivers shares of Common Stock held in its treasury in settlement of the conversion of any Notes, each reference in this Indenture or the Notes to the issuance of shares of Common Stock in connection therewith will be deemed to include such delivery,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114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Conversion Shares; Listing</w:t>
      </w:r>
      <w:r>
        <w:rPr>
          <w:rFonts w:ascii="Times New Roman" w:cs="Times New Roman" w:eastAsia="Times New Roman" w:hAnsi="Times New Roman"/>
          <w:sz w:val="18"/>
          <w:szCs w:val="18"/>
          <w:color w:val="auto"/>
        </w:rPr>
        <w:t>. Each Conversion Share, if any, delivered upon conversion of any Note will be a newly issued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treasury share (except that any Conversion Share delivered by a designated financial institution pursuant to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 xml:space="preserve"> need not be a newly issued or treasury share) and will be duly and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5.05. Adjustments to the Conversion Rate.</w:t>
      </w:r>
    </w:p>
    <w:p>
      <w:pPr>
        <w:spacing w:after="0" w:line="227"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Requiring an Adjustment to the Conversion Rate</w:t>
      </w:r>
      <w:r>
        <w:rPr>
          <w:rFonts w:ascii="Times New Roman" w:cs="Times New Roman" w:eastAsia="Times New Roman" w:hAnsi="Times New Roman"/>
          <w:sz w:val="18"/>
          <w:szCs w:val="18"/>
          <w:color w:val="auto"/>
        </w:rPr>
        <w:t>. The Conversion Rate will be adjusted from time to time as follows: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5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Dividends, Splits and Combinations</w:t>
      </w:r>
      <w:r>
        <w:rPr>
          <w:rFonts w:ascii="Times New Roman" w:cs="Times New Roman" w:eastAsia="Times New Roman" w:hAnsi="Times New Roman"/>
          <w:sz w:val="18"/>
          <w:szCs w:val="18"/>
          <w:color w:val="auto"/>
        </w:rPr>
        <w:t>. If the Company issues solely shares of Common Stock as a dividend or distribution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substantially all shares of the Common Stock, or if the Company effects a stock split or a stock combination of the Common Stock (in each case excluding an issuance solely pursuant to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38049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8049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240"/>
          </w:cols>
          <w:pgMar w:left="320" w:top="1413" w:right="339" w:bottom="1440" w:gutter="0" w:footer="0" w:header="0"/>
        </w:sect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10"/>
          <w:szCs w:val="10"/>
          <w:i w:val="1"/>
          <w:iCs w:val="1"/>
          <w:color w:val="auto"/>
        </w:rPr>
        <w:t>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hanging="480"/>
        <w:spacing w:after="0" w:line="282" w:lineRule="auto"/>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dividend or distribution, or immediately before the Open of Business on the effective date of such stock split or stock combination, as applicable;</w:t>
      </w:r>
    </w:p>
    <w:p>
      <w:pPr>
        <w:spacing w:after="0" w:line="160" w:lineRule="exact"/>
        <w:rPr>
          <w:sz w:val="20"/>
          <w:szCs w:val="20"/>
          <w:color w:val="auto"/>
        </w:rPr>
      </w:pPr>
    </w:p>
    <w:p>
      <w:pPr>
        <w:sectPr>
          <w:pgSz w:w="11900" w:h="16838" w:orient="portrait"/>
          <w:cols w:equalWidth="0" w:num="3">
            <w:col w:w="940" w:space="220"/>
            <w:col w:w="100" w:space="700"/>
            <w:col w:w="9280"/>
          </w:cols>
          <w:pgMar w:left="320" w:top="1413"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10"/>
          <w:szCs w:val="10"/>
          <w:i w:val="1"/>
          <w:iCs w:val="1"/>
          <w:color w:val="auto"/>
        </w:rPr>
        <w:t>1</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the Conversion Rate in effect immediately after the Open of Business on such Ex-Dividend Date or effective date, as applicable;</w:t>
      </w:r>
    </w:p>
    <w:p>
      <w:pPr>
        <w:spacing w:after="0" w:line="200" w:lineRule="exact"/>
        <w:rPr>
          <w:sz w:val="20"/>
          <w:szCs w:val="20"/>
          <w:color w:val="auto"/>
        </w:rPr>
      </w:pPr>
    </w:p>
    <w:p>
      <w:pPr>
        <w:sectPr>
          <w:pgSz w:w="11900" w:h="16838" w:orient="portrait"/>
          <w:cols w:equalWidth="0" w:num="2">
            <w:col w:w="940" w:space="180"/>
            <w:col w:w="10120"/>
          </w:cols>
          <w:pgMar w:left="320" w:top="1413" w:right="339" w:bottom="1440" w:gutter="0" w:footer="0" w:header="0"/>
          <w:type w:val="continuous"/>
        </w:sectPr>
      </w:pP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11"/>
          <w:szCs w:val="11"/>
          <w:i w:val="1"/>
          <w:iCs w:val="1"/>
          <w:color w:val="auto"/>
        </w:rPr>
        <w:t>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hanging="803"/>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shares of Common Stock outstanding immediately before the Open of Business on such Ex-Dividend Date or effective date, as applicable, without giving effect to such dividend, distribution, stock split or stock combination; and</w:t>
      </w:r>
    </w:p>
    <w:p>
      <w:pPr>
        <w:spacing w:after="0" w:line="160" w:lineRule="exact"/>
        <w:rPr>
          <w:sz w:val="20"/>
          <w:szCs w:val="20"/>
          <w:color w:val="auto"/>
        </w:rPr>
      </w:pPr>
    </w:p>
    <w:p>
      <w:pPr>
        <w:sectPr>
          <w:pgSz w:w="11900" w:h="16838" w:orient="portrait"/>
          <w:cols w:equalWidth="0" w:num="2">
            <w:col w:w="940" w:space="520"/>
            <w:col w:w="9780"/>
          </w:cols>
          <w:pgMar w:left="320" w:top="1413"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11"/>
          <w:szCs w:val="11"/>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hanging="491"/>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stock split or stock combination.</w:t>
      </w:r>
    </w:p>
    <w:p>
      <w:pPr>
        <w:spacing w:after="0" w:line="200" w:lineRule="exact"/>
        <w:rPr>
          <w:sz w:val="20"/>
          <w:szCs w:val="20"/>
          <w:color w:val="auto"/>
        </w:rPr>
      </w:pPr>
    </w:p>
    <w:p>
      <w:pPr>
        <w:sectPr>
          <w:pgSz w:w="11900" w:h="16838" w:orient="portrait"/>
          <w:cols w:equalWidth="0" w:num="3">
            <w:col w:w="940" w:space="200"/>
            <w:col w:w="100" w:space="720"/>
            <w:col w:w="928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ectPr>
          <w:pgSz w:w="11900" w:h="16838" w:orient="portrait"/>
          <w:cols w:equalWidth="0" w:num="1">
            <w:col w:w="11240"/>
          </w:cols>
          <w:pgMar w:left="320" w:top="1413" w:right="339" w:bottom="1440" w:gutter="0" w:footer="0" w:header="0"/>
          <w:type w:val="continuous"/>
        </w:sectPr>
      </w:pPr>
    </w:p>
    <w:bookmarkStart w:id="63" w:name="page64"/>
    <w:bookmarkEnd w:id="63"/>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 xml:space="preserve">If any dividend or distribution of the type described in this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is declared, but not so paid, then the Conversion Rate will be readjusted, effective as of the date the Board of Directors determines not to pay such dividend or distribution, to the Conversion Rate that would then be in effect had such dividend or distribution not been declared.</w:t>
      </w:r>
    </w:p>
    <w:p>
      <w:pPr>
        <w:spacing w:after="0" w:line="173" w:lineRule="exact"/>
        <w:rPr>
          <w:sz w:val="20"/>
          <w:szCs w:val="20"/>
          <w:color w:val="auto"/>
        </w:rPr>
      </w:pPr>
    </w:p>
    <w:p>
      <w:pPr>
        <w:jc w:val="both"/>
        <w:ind w:left="4" w:firstLine="644"/>
        <w:spacing w:after="0" w:line="257" w:lineRule="auto"/>
        <w:tabs>
          <w:tab w:leader="none" w:pos="10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Options and Warrants</w:t>
      </w:r>
      <w:r>
        <w:rPr>
          <w:rFonts w:ascii="Times New Roman" w:cs="Times New Roman" w:eastAsia="Times New Roman" w:hAnsi="Times New Roman"/>
          <w:sz w:val="18"/>
          <w:szCs w:val="18"/>
          <w:color w:val="auto"/>
        </w:rPr>
        <w:t>. If the Company distributes, to all or substantially all holders of Common Stock, rights,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warrants (other than rights issued or otherwise distributed pursuant to a stockholder rights plan, as to which </w:t>
      </w:r>
      <w:r>
        <w:rPr>
          <w:rFonts w:ascii="Times New Roman" w:cs="Times New Roman" w:eastAsia="Times New Roman" w:hAnsi="Times New Roman"/>
          <w:sz w:val="18"/>
          <w:szCs w:val="18"/>
          <w:b w:val="1"/>
          <w:bCs w:val="1"/>
          <w:color w:val="auto"/>
        </w:rPr>
        <w:t>Sections 5.05(A)(iii)(1)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5.05(F)</w:t>
      </w:r>
      <w:r>
        <w:rPr>
          <w:rFonts w:ascii="Times New Roman" w:cs="Times New Roman" w:eastAsia="Times New Roman" w:hAnsi="Times New Roman"/>
          <w:sz w:val="18"/>
          <w:szCs w:val="18"/>
          <w:color w:val="auto"/>
        </w:rPr>
        <w:t xml:space="preserve"> will apply) entitling such holders,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128270</wp:posOffset>
            </wp:positionV>
            <wp:extent cx="1440180"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1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8840" w:type="dxa"/>
            <w:vAlign w:val="bottom"/>
          </w:tcPr>
          <w:p>
            <w:pPr>
              <w:spacing w:after="0"/>
              <w:rPr>
                <w:sz w:val="20"/>
                <w:szCs w:val="20"/>
                <w:color w:val="auto"/>
              </w:rPr>
            </w:pPr>
          </w:p>
        </w:tc>
      </w:tr>
      <w:tr>
        <w:trPr>
          <w:trHeight w:val="439"/>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3"/>
                <w:szCs w:val="23"/>
                <w:i w:val="1"/>
                <w:iCs w:val="1"/>
                <w:color w:val="auto"/>
                <w:vertAlign w:val="subscript"/>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distribution;</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3"/>
                <w:szCs w:val="23"/>
                <w:i w:val="1"/>
                <w:iCs w:val="1"/>
                <w:color w:val="auto"/>
                <w:vertAlign w:val="subscript"/>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425"/>
        </w:trPr>
        <w:tc>
          <w:tcPr>
            <w:tcW w:w="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before the Open of Business on such Ex-Dividend Date;</w:t>
            </w:r>
          </w:p>
        </w:tc>
      </w:tr>
    </w:tbl>
    <w:p>
      <w:pPr>
        <w:spacing w:after="0" w:line="198" w:lineRule="exact"/>
        <w:rPr>
          <w:sz w:val="20"/>
          <w:szCs w:val="20"/>
          <w:color w:val="auto"/>
        </w:rPr>
      </w:pPr>
    </w:p>
    <w:p>
      <w:pPr>
        <w:ind w:left="284" w:hanging="284"/>
        <w:spacing w:after="0"/>
        <w:tabs>
          <w:tab w:leader="none" w:pos="284" w:val="left"/>
        </w:tabs>
        <w:numPr>
          <w:ilvl w:val="0"/>
          <w:numId w:val="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the total number of shares of Common Stock issuable pursuant to such rights, options or warrants; and</w:t>
      </w:r>
    </w:p>
    <w:p>
      <w:pPr>
        <w:spacing w:after="0" w:line="225" w:lineRule="exact"/>
        <w:rPr>
          <w:sz w:val="20"/>
          <w:szCs w:val="20"/>
          <w:color w:val="auto"/>
        </w:rPr>
      </w:pPr>
    </w:p>
    <w:p>
      <w:pPr>
        <w:ind w:left="304" w:hanging="304"/>
        <w:spacing w:after="0"/>
        <w:tabs>
          <w:tab w:leader="none" w:pos="304"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a number of shares of Common Stock obtained by dividing (x) the aggregate price payable to exercise such rights, options or warrants by</w:t>
      </w:r>
    </w:p>
    <w:p>
      <w:pPr>
        <w:spacing w:after="0" w:line="27" w:lineRule="exact"/>
        <w:rPr>
          <w:rFonts w:ascii="Times New Roman" w:cs="Times New Roman" w:eastAsia="Times New Roman" w:hAnsi="Times New Roman"/>
          <w:sz w:val="18"/>
          <w:szCs w:val="18"/>
          <w:i w:val="1"/>
          <w:iCs w:val="1"/>
          <w:color w:val="auto"/>
        </w:rPr>
      </w:pPr>
    </w:p>
    <w:p>
      <w:pPr>
        <w:ind w:left="1304" w:hanging="8"/>
        <w:spacing w:after="0" w:line="260" w:lineRule="auto"/>
        <w:tabs>
          <w:tab w:leader="none" w:pos="156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Last Reported Sale Prices per share of Common Stock for the ten (10) consecutive Trading Days ending on, and including, the Trading Day immediately before the date such distribution is announced.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- 54 -</w:t>
      </w:r>
    </w:p>
    <w:p>
      <w:pPr>
        <w:sectPr>
          <w:pgSz w:w="11900" w:h="16838" w:orient="portrait"/>
          <w:cols w:equalWidth="0" w:num="1">
            <w:col w:w="10584"/>
          </w:cols>
          <w:pgMar w:left="976" w:top="1413" w:right="339" w:bottom="1440" w:gutter="0" w:footer="0" w:header="0"/>
        </w:sectPr>
      </w:pPr>
    </w:p>
    <w:bookmarkStart w:id="64" w:name="page65"/>
    <w:bookmarkEnd w:id="64"/>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options or warrants. To the extent such rights, options or warrants are not so distributed, the Conversion Rate will be readjusted to the Conversion Rate that would then be in effect had the Ex-Dividend Date for the distribution of such rights, options or warrants not occurred.</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5.01(C)(i)(3)(a)(I)</w:t>
      </w:r>
      <w:r>
        <w:rPr>
          <w:rFonts w:ascii="Times New Roman" w:cs="Times New Roman" w:eastAsia="Times New Roman" w:hAnsi="Times New Roman"/>
          <w:sz w:val="18"/>
          <w:szCs w:val="18"/>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w:t>
      </w:r>
    </w:p>
    <w:p>
      <w:pPr>
        <w:spacing w:after="0" w:line="184" w:lineRule="exact"/>
        <w:rPr>
          <w:sz w:val="20"/>
          <w:szCs w:val="20"/>
          <w:color w:val="auto"/>
        </w:rPr>
      </w:pPr>
    </w:p>
    <w:p>
      <w:pPr>
        <w:ind w:left="1100" w:hanging="456"/>
        <w:spacing w:after="0"/>
        <w:tabs>
          <w:tab w:leader="none" w:pos="11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Spin-Offs and Other Distributed Property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7" w:lineRule="auto"/>
        <w:tabs>
          <w:tab w:leader="none" w:pos="169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 Other than Spin-Offs</w:t>
      </w:r>
      <w:r>
        <w:rPr>
          <w:rFonts w:ascii="Times New Roman" w:cs="Times New Roman" w:eastAsia="Times New Roman" w:hAnsi="Times New Roman"/>
          <w:sz w:val="18"/>
          <w:szCs w:val="18"/>
          <w:color w:val="auto"/>
        </w:rPr>
        <w:t>. If the Company distributes shares of its Capital Stock, evidences of its indebtedness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or property of the Company, or rights, options or warrants to acquire Capital Stock of the Company or other securities, to all or substantially all holders of the Common Stock, excluding:</w:t>
      </w:r>
    </w:p>
    <w:p>
      <w:pPr>
        <w:spacing w:after="0" w:line="175" w:lineRule="exact"/>
        <w:rPr>
          <w:rFonts w:ascii="Times New Roman" w:cs="Times New Roman" w:eastAsia="Times New Roman" w:hAnsi="Times New Roman"/>
          <w:sz w:val="18"/>
          <w:szCs w:val="18"/>
          <w:color w:val="auto"/>
        </w:rPr>
      </w:pPr>
    </w:p>
    <w:p>
      <w:pPr>
        <w:ind w:left="1300" w:firstLine="640"/>
        <w:spacing w:after="0" w:line="282" w:lineRule="auto"/>
        <w:tabs>
          <w:tab w:leader="none" w:pos="2343"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distributions, rights, options or warrants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xml:space="preserve">) pursuant to Section </w:t>
      </w:r>
      <w:r>
        <w:rPr>
          <w:rFonts w:ascii="Times New Roman" w:cs="Times New Roman" w:eastAsia="Times New Roman" w:hAnsi="Times New Roman"/>
          <w:sz w:val="18"/>
          <w:szCs w:val="18"/>
          <w:b w:val="1"/>
          <w:bCs w:val="1"/>
          <w:color w:val="auto"/>
        </w:rPr>
        <w:t>5.05(A)(i)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5.05(A)(ii)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firstLine="640"/>
        <w:spacing w:after="0" w:line="282" w:lineRule="auto"/>
        <w:tabs>
          <w:tab w:leader="none" w:pos="2353"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paid exclusively in cash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5.05(A)(iv)</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firstLine="640"/>
        <w:spacing w:after="0" w:line="282" w:lineRule="auto"/>
        <w:tabs>
          <w:tab w:leader="none" w:pos="248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rights issued or otherwise distributed pursuant to a stockholder rights plan, except to the extent provided in </w:t>
      </w:r>
      <w:r>
        <w:rPr>
          <w:rFonts w:ascii="Times New Roman" w:cs="Times New Roman" w:eastAsia="Times New Roman" w:hAnsi="Times New Roman"/>
          <w:sz w:val="18"/>
          <w:szCs w:val="18"/>
          <w:b w:val="1"/>
          <w:bCs w:val="1"/>
          <w:color w:val="auto"/>
        </w:rPr>
        <w:t>Section 5.05(F)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firstLine="640"/>
        <w:spacing w:after="0" w:line="282" w:lineRule="auto"/>
        <w:tabs>
          <w:tab w:leader="none" w:pos="2405"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Spin-Offs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Section 5.05(A)(iii)(2)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- 55 -</w:t>
      </w:r>
    </w:p>
    <w:p>
      <w:pPr>
        <w:sectPr>
          <w:pgSz w:w="11900" w:h="16838" w:orient="portrait"/>
          <w:cols w:equalWidth="0" w:num="1">
            <w:col w:w="10580"/>
          </w:cols>
          <w:pgMar w:left="980" w:top="1417" w:right="339" w:bottom="1440" w:gutter="0" w:footer="0" w:header="0"/>
        </w:sectPr>
      </w:pPr>
    </w:p>
    <w:bookmarkStart w:id="65" w:name="page66"/>
    <w:bookmarkEnd w:id="65"/>
    <w:p>
      <w:pPr>
        <w:ind w:left="840" w:firstLine="640"/>
        <w:spacing w:after="0" w:line="286" w:lineRule="auto"/>
        <w:tabs>
          <w:tab w:leader="none" w:pos="18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 solely pursuant to a tender offer or exchange offer for shares of Common Stock, as to which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5.05(A)(v) </w:t>
      </w:r>
      <w:r>
        <w:rPr>
          <w:rFonts w:ascii="Times New Roman" w:cs="Times New Roman" w:eastAsia="Times New Roman" w:hAnsi="Times New Roman"/>
          <w:sz w:val="18"/>
          <w:szCs w:val="18"/>
          <w:color w:val="auto"/>
        </w:rPr>
        <w:t>will apply; and</w:t>
      </w:r>
    </w:p>
    <w:p>
      <w:pPr>
        <w:spacing w:after="0" w:line="154" w:lineRule="exact"/>
        <w:rPr>
          <w:rFonts w:ascii="Times New Roman" w:cs="Times New Roman" w:eastAsia="Times New Roman" w:hAnsi="Times New Roman"/>
          <w:sz w:val="18"/>
          <w:szCs w:val="18"/>
          <w:color w:val="auto"/>
        </w:rPr>
      </w:pPr>
    </w:p>
    <w:p>
      <w:pPr>
        <w:ind w:left="1860" w:hanging="380"/>
        <w:spacing w:after="0"/>
        <w:tabs>
          <w:tab w:leader="none" w:pos="18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 solely pursuant to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308610</wp:posOffset>
            </wp:positionV>
            <wp:extent cx="1637030" cy="394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70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0120"/>
          </w:cols>
          <w:pgMar w:left="1440" w:top="1413" w:right="339" w:bottom="1440" w:gutter="0" w:footer="0" w:header="0"/>
        </w:sectPr>
      </w:pPr>
    </w:p>
    <w:p>
      <w:pPr>
        <w:spacing w:after="0" w:line="223"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11"/>
          <w:szCs w:val="11"/>
          <w:i w:val="1"/>
          <w:iCs w:val="1"/>
          <w:color w:val="auto"/>
        </w:rPr>
        <w:t>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Conversion Rate in effect immediately prior to the Open of Business on the Ex-Dividend Date for such distribution;</w:t>
      </w:r>
    </w:p>
    <w:p>
      <w:pPr>
        <w:spacing w:after="0" w:line="200" w:lineRule="exact"/>
        <w:rPr>
          <w:sz w:val="20"/>
          <w:szCs w:val="20"/>
          <w:color w:val="auto"/>
        </w:rPr>
      </w:pPr>
    </w:p>
    <w:p>
      <w:pPr>
        <w:sectPr>
          <w:pgSz w:w="11900" w:h="16838" w:orient="portrait"/>
          <w:cols w:equalWidth="0" w:num="2">
            <w:col w:w="480" w:space="180"/>
            <w:col w:w="9460"/>
          </w:cols>
          <w:pgMar w:left="1440" w:top="1413" w:right="339" w:bottom="1440" w:gutter="0" w:footer="0" w:header="0"/>
          <w:type w:val="continuous"/>
        </w:sectPr>
      </w:pPr>
    </w:p>
    <w:p>
      <w:pPr>
        <w:spacing w:after="0" w:line="23"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11"/>
          <w:szCs w:val="11"/>
          <w:i w:val="1"/>
          <w:iCs w:val="1"/>
          <w:color w:val="auto"/>
        </w:rPr>
        <w:t>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2">
            <w:col w:w="480" w:space="180"/>
            <w:col w:w="9460"/>
          </w:cols>
          <w:pgMar w:left="1440" w:top="1413" w:right="339" w:bottom="1440" w:gutter="0" w:footer="0" w:header="0"/>
          <w:type w:val="continuous"/>
        </w:sectPr>
      </w:pPr>
    </w:p>
    <w:p>
      <w:pPr>
        <w:spacing w:after="0" w:line="23"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i w:val="1"/>
          <w:iCs w:val="1"/>
          <w:color w:val="auto"/>
        </w:rPr>
        <w:t>SP</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hanging="626"/>
        <w:spacing w:after="0" w:line="282" w:lineRule="auto"/>
        <w:rPr>
          <w:sz w:val="20"/>
          <w:szCs w:val="20"/>
          <w:color w:val="auto"/>
        </w:rPr>
      </w:pPr>
      <w:r>
        <w:rPr>
          <w:rFonts w:ascii="Times New Roman" w:cs="Times New Roman" w:eastAsia="Times New Roman" w:hAnsi="Times New Roman"/>
          <w:sz w:val="18"/>
          <w:szCs w:val="18"/>
          <w:color w:val="auto"/>
        </w:rPr>
        <w:t>the average of the Last Reported Sale Prices of Common Stock over the ten (10) consecutive Trading Day period ending on, and including, the Trading Day immediately prior to such Ex-Dividend Date for such distribution; and</w:t>
      </w:r>
    </w:p>
    <w:p>
      <w:pPr>
        <w:spacing w:after="0" w:line="160" w:lineRule="exact"/>
        <w:rPr>
          <w:sz w:val="20"/>
          <w:szCs w:val="20"/>
          <w:color w:val="auto"/>
        </w:rPr>
      </w:pPr>
    </w:p>
    <w:p>
      <w:pPr>
        <w:sectPr>
          <w:pgSz w:w="11900" w:h="16838" w:orient="portrait"/>
          <w:cols w:equalWidth="0" w:num="3">
            <w:col w:w="380" w:space="180"/>
            <w:col w:w="200" w:space="720"/>
            <w:col w:w="8640"/>
          </w:cols>
          <w:pgMar w:left="1440" w:top="1413"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i w:val="1"/>
          <w:iCs w:val="1"/>
          <w:color w:val="auto"/>
        </w:rPr>
        <w:t>FMV</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hanging="378"/>
        <w:spacing w:after="0" w:line="266" w:lineRule="auto"/>
        <w:rPr>
          <w:sz w:val="20"/>
          <w:szCs w:val="20"/>
          <w:color w:val="auto"/>
        </w:rPr>
      </w:pPr>
      <w:r>
        <w:rPr>
          <w:rFonts w:ascii="Times New Roman" w:cs="Times New Roman" w:eastAsia="Times New Roman" w:hAnsi="Times New Roman"/>
          <w:sz w:val="18"/>
          <w:szCs w:val="18"/>
          <w:color w:val="auto"/>
        </w:rPr>
        <w:t>the fair market value (as determined by the Company in good faith), as of such Ex-Dividend Date, of the shares of Capital Stock, evidences of indebtedness, assets, property, rights, options or warrants distributed per share of Common Stock pursuant to such distribution;</w:t>
      </w:r>
    </w:p>
    <w:p>
      <w:pPr>
        <w:spacing w:after="0" w:line="174" w:lineRule="exact"/>
        <w:rPr>
          <w:sz w:val="20"/>
          <w:szCs w:val="20"/>
          <w:color w:val="auto"/>
        </w:rPr>
      </w:pPr>
    </w:p>
    <w:p>
      <w:pPr>
        <w:sectPr>
          <w:pgSz w:w="11900" w:h="16838" w:orient="portrait"/>
          <w:cols w:equalWidth="0" w:num="3">
            <w:col w:w="560" w:space="220"/>
            <w:col w:w="100" w:space="600"/>
            <w:col w:w="8640"/>
          </w:cols>
          <w:pgMar w:left="1440" w:top="1413" w:right="339" w:bottom="1440" w:gutter="0" w:footer="0" w:header="0"/>
          <w:type w:val="continuous"/>
        </w:sectPr>
      </w:pPr>
    </w:p>
    <w:p>
      <w:pPr>
        <w:jc w:val="both"/>
        <w:ind w:left="180"/>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i w:val="1"/>
          <w:iCs w:val="1"/>
          <w:color w:val="auto"/>
        </w:rPr>
        <w:t xml:space="preserve"> FMV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SP</w:t>
      </w:r>
      <w:r>
        <w:rPr>
          <w:rFonts w:ascii="Times New Roman" w:cs="Times New Roman" w:eastAsia="Times New Roman" w:hAnsi="Times New Roman"/>
          <w:sz w:val="18"/>
          <w:szCs w:val="18"/>
          <w:color w:val="auto"/>
        </w:rPr>
        <w:t>, then, in lieu of the foregoing adjustment to the Conversion Rate,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receive, for each $1,000 principal amount of Notes held by such Holder on the record date for such distribution, at the same time and on the same terms as holders of Common Stock, without having to convert its Notes, the amount and kind of shares of Capital Stock, evidences of indebtedness, assets, property, rights, options or warrants that such Holder would have received if such Holder had owned, on such record date, a number of shares of Common Stock equal to the Conversion Rate in effect on such record date.</w:t>
      </w:r>
    </w:p>
    <w:p>
      <w:pPr>
        <w:spacing w:after="0" w:line="185"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- 56 -</w:t>
      </w:r>
    </w:p>
    <w:p>
      <w:pPr>
        <w:sectPr>
          <w:pgSz w:w="11900" w:h="16838" w:orient="portrait"/>
          <w:cols w:equalWidth="0" w:num="1">
            <w:col w:w="10120"/>
          </w:cols>
          <w:pgMar w:left="1440" w:top="1413" w:right="339" w:bottom="1440" w:gutter="0" w:footer="0" w:header="0"/>
          <w:type w:val="continuous"/>
        </w:sectPr>
      </w:pPr>
    </w:p>
    <w:bookmarkStart w:id="66" w:name="page67"/>
    <w:bookmarkEnd w:id="66"/>
    <w:p>
      <w:pPr>
        <w:jc w:val="both"/>
        <w:ind w:left="180" w:firstLine="652"/>
        <w:spacing w:after="0" w:line="257" w:lineRule="auto"/>
        <w:tabs>
          <w:tab w:leader="none" w:pos="12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Spin-Offs</w:t>
      </w:r>
      <w:r>
        <w:rPr>
          <w:rFonts w:ascii="Times New Roman" w:cs="Times New Roman" w:eastAsia="Times New Roman" w:hAnsi="Times New Roman"/>
          <w:sz w:val="18"/>
          <w:szCs w:val="18"/>
          <w:color w:val="auto"/>
        </w:rPr>
        <w:t>. If the Company distributes or dividends shares of Capital Stock of any class or series, or similar equity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or relating to an Affiliate, a Subsidiary or other business unit of the Company to all or substantially all holders of the Common Stock (other than solely pursuant to (x)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or (y) a tender offer or exchange offer for shares of Common Stock, as to which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xml:space="preserve"> will apply), and such Capital Stock or equity interests are listed or quoted (or will be listed or quoted upon the consummation of the transaction)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282575</wp:posOffset>
            </wp:positionV>
            <wp:extent cx="1757045" cy="394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5704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0120"/>
          </w:cols>
          <w:pgMar w:left="1440" w:top="1415" w:right="339" w:bottom="1440" w:gutter="0" w:footer="0" w:header="0"/>
        </w:sectPr>
      </w:pP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11"/>
          <w:szCs w:val="11"/>
          <w:i w:val="1"/>
          <w:iCs w:val="1"/>
          <w:color w:val="auto"/>
        </w:rPr>
        <w:t>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hanging="422"/>
        <w:spacing w:after="0" w:line="282" w:lineRule="auto"/>
        <w:rPr>
          <w:sz w:val="20"/>
          <w:szCs w:val="20"/>
          <w:color w:val="auto"/>
        </w:rPr>
      </w:pPr>
      <w:r>
        <w:rPr>
          <w:rFonts w:ascii="Times New Roman" w:cs="Times New Roman" w:eastAsia="Times New Roman" w:hAnsi="Times New Roman"/>
          <w:sz w:val="18"/>
          <w:szCs w:val="18"/>
          <w:color w:val="auto"/>
        </w:rPr>
        <w:t>the Conversion Rate in effect immediately before the Close of Business on the last Trading Day of the Spin-Off Valuation Period for such Spin-Off;</w:t>
      </w:r>
    </w:p>
    <w:p>
      <w:pPr>
        <w:spacing w:after="0" w:line="160" w:lineRule="exact"/>
        <w:rPr>
          <w:sz w:val="20"/>
          <w:szCs w:val="20"/>
          <w:color w:val="auto"/>
        </w:rPr>
      </w:pPr>
    </w:p>
    <w:p>
      <w:pPr>
        <w:sectPr>
          <w:pgSz w:w="11900" w:h="16838" w:orient="portrait"/>
          <w:cols w:equalWidth="0" w:num="3">
            <w:col w:w="480" w:space="240"/>
            <w:col w:w="100" w:space="660"/>
            <w:col w:w="8640"/>
          </w:cols>
          <w:pgMar w:left="1440" w:top="1415"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11"/>
          <w:szCs w:val="11"/>
          <w:i w:val="1"/>
          <w:iCs w:val="1"/>
          <w:color w:val="auto"/>
        </w:rPr>
        <w:t>1</w:t>
      </w:r>
    </w:p>
    <w:p>
      <w:pPr>
        <w:spacing w:after="0" w:line="20" w:lineRule="exact"/>
        <w:rPr>
          <w:sz w:val="20"/>
          <w:szCs w:val="20"/>
          <w:color w:val="auto"/>
        </w:rPr>
      </w:pPr>
      <w:r>
        <w:rPr>
          <w:sz w:val="20"/>
          <w:szCs w:val="20"/>
          <w:color w:val="auto"/>
        </w:rPr>
        <w:br w:type="column"/>
      </w:r>
    </w:p>
    <w:p>
      <w:pPr>
        <w:ind w:hanging="747"/>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Conversion Rate in effect immediately after the Close of Business on the last Trading Day of the Spin-Off Valuation Period;</w:t>
      </w:r>
    </w:p>
    <w:p>
      <w:pPr>
        <w:spacing w:after="0" w:line="160" w:lineRule="exact"/>
        <w:rPr>
          <w:sz w:val="20"/>
          <w:szCs w:val="20"/>
          <w:color w:val="auto"/>
        </w:rPr>
      </w:pPr>
    </w:p>
    <w:p>
      <w:pPr>
        <w:sectPr>
          <w:pgSz w:w="11900" w:h="16838" w:orient="portrait"/>
          <w:cols w:equalWidth="0" w:num="2">
            <w:col w:w="480" w:space="620"/>
            <w:col w:w="9020"/>
          </w:cols>
          <w:pgMar w:left="1440" w:top="1415"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i w:val="1"/>
          <w:iCs w:val="1"/>
          <w:color w:val="auto"/>
        </w:rPr>
        <w:t>FMV</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hanging="309"/>
        <w:spacing w:after="0" w:line="256" w:lineRule="auto"/>
        <w:rPr>
          <w:sz w:val="20"/>
          <w:szCs w:val="20"/>
          <w:color w:val="auto"/>
        </w:rPr>
      </w:pPr>
      <w:r>
        <w:rPr>
          <w:rFonts w:ascii="Times New Roman" w:cs="Times New Roman" w:eastAsia="Times New Roman" w:hAnsi="Times New Roman"/>
          <w:sz w:val="18"/>
          <w:szCs w:val="18"/>
          <w:color w:val="auto"/>
        </w:rPr>
        <w:t>the product of (x) the average of the Last Reported Sale Prices per share or unit of the Capital Stock or equity interests distributed in such Spin-Off over the ten (10) consecutive Trading Day period (the “</w:t>
      </w:r>
      <w:r>
        <w:rPr>
          <w:rFonts w:ascii="Times New Roman" w:cs="Times New Roman" w:eastAsia="Times New Roman" w:hAnsi="Times New Roman"/>
          <w:sz w:val="18"/>
          <w:szCs w:val="18"/>
          <w:b w:val="1"/>
          <w:bCs w:val="1"/>
          <w:color w:val="auto"/>
        </w:rPr>
        <w:t>Spin-Off Valuation Period</w:t>
      </w:r>
      <w:r>
        <w:rPr>
          <w:rFonts w:ascii="Times New Roman" w:cs="Times New Roman" w:eastAsia="Times New Roman" w:hAnsi="Times New Roman"/>
          <w:sz w:val="18"/>
          <w:szCs w:val="18"/>
          <w:color w:val="auto"/>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w:t>
      </w:r>
    </w:p>
    <w:p>
      <w:pPr>
        <w:spacing w:after="0" w:line="185" w:lineRule="exact"/>
        <w:rPr>
          <w:sz w:val="20"/>
          <w:szCs w:val="20"/>
          <w:color w:val="auto"/>
        </w:rPr>
      </w:pPr>
    </w:p>
    <w:p>
      <w:pPr>
        <w:sectPr>
          <w:pgSz w:w="11900" w:h="16838" w:orient="portrait"/>
          <w:cols w:equalWidth="0" w:num="3">
            <w:col w:w="560" w:space="260"/>
            <w:col w:w="100" w:space="560"/>
            <w:col w:w="8640"/>
          </w:cols>
          <w:pgMar w:left="1440" w:top="1415" w:right="339" w:bottom="1440" w:gutter="0" w:footer="0" w:header="0"/>
          <w:type w:val="continuous"/>
        </w:sectPr>
      </w:pPr>
    </w:p>
    <w:p>
      <w:pPr>
        <w:jc w:val="center"/>
        <w:ind w:left="180"/>
        <w:spacing w:after="0"/>
        <w:rPr>
          <w:sz w:val="20"/>
          <w:szCs w:val="20"/>
          <w:color w:val="auto"/>
        </w:rPr>
      </w:pPr>
      <w:r>
        <w:rPr>
          <w:rFonts w:ascii="Times New Roman" w:cs="Times New Roman" w:eastAsia="Times New Roman" w:hAnsi="Times New Roman"/>
          <w:sz w:val="18"/>
          <w:szCs w:val="18"/>
          <w:i w:val="1"/>
          <w:iCs w:val="1"/>
          <w:color w:val="auto"/>
        </w:rPr>
        <w:t>SP</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average of the Last Reported Sale Prices per share of Common Stock for each Trading Day in the Spin-Off Valuation Period.</w:t>
      </w:r>
    </w:p>
    <w:p>
      <w:pPr>
        <w:spacing w:after="0" w:line="209" w:lineRule="exact"/>
        <w:rPr>
          <w:sz w:val="20"/>
          <w:szCs w:val="20"/>
          <w:color w:val="auto"/>
        </w:rPr>
      </w:pPr>
    </w:p>
    <w:p>
      <w:pPr>
        <w:sectPr>
          <w:pgSz w:w="11900" w:h="16838" w:orient="portrait"/>
          <w:cols w:equalWidth="0" w:num="3">
            <w:col w:w="380" w:space="180"/>
            <w:col w:w="100" w:space="180"/>
            <w:col w:w="9280"/>
          </w:cols>
          <w:pgMar w:left="1440" w:top="1415" w:right="339" w:bottom="1440" w:gutter="0" w:footer="0" w:header="0"/>
          <w:type w:val="continuous"/>
        </w:sectPr>
      </w:pPr>
    </w:p>
    <w:p>
      <w:pPr>
        <w:spacing w:after="0" w:line="23"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5.05(A)(iii)(2)</w:t>
      </w:r>
      <w:r>
        <w:rPr>
          <w:rFonts w:ascii="Times New Roman" w:cs="Times New Roman" w:eastAsia="Times New Roman" w:hAnsi="Times New Roman"/>
          <w:sz w:val="18"/>
          <w:szCs w:val="18"/>
          <w:color w:val="auto"/>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- 57 -</w:t>
      </w:r>
    </w:p>
    <w:p>
      <w:pPr>
        <w:sectPr>
          <w:pgSz w:w="11900" w:h="16838" w:orient="portrait"/>
          <w:cols w:equalWidth="0" w:num="1">
            <w:col w:w="10120"/>
          </w:cols>
          <w:pgMar w:left="1440" w:top="1415" w:right="339" w:bottom="1440" w:gutter="0" w:footer="0" w:header="0"/>
          <w:type w:val="continuous"/>
        </w:sectPr>
      </w:pPr>
    </w:p>
    <w:bookmarkStart w:id="67" w:name="page68"/>
    <w:bookmarkEnd w:id="67"/>
    <w:p>
      <w:pPr>
        <w:jc w:val="both"/>
        <w:ind w:left="644"/>
        <w:spacing w:after="0" w:line="268" w:lineRule="auto"/>
        <w:rPr>
          <w:sz w:val="20"/>
          <w:szCs w:val="20"/>
          <w:color w:val="auto"/>
        </w:rPr>
      </w:pPr>
      <w:r>
        <w:rPr>
          <w:rFonts w:ascii="Times New Roman" w:cs="Times New Roman" w:eastAsia="Times New Roman" w:hAnsi="Times New Roman"/>
          <w:sz w:val="18"/>
          <w:szCs w:val="18"/>
          <w:color w:val="auto"/>
        </w:rPr>
        <w:t xml:space="preserve">To the extent any dividend or distribution of the type set forth in this </w:t>
      </w:r>
      <w:r>
        <w:rPr>
          <w:rFonts w:ascii="Times New Roman" w:cs="Times New Roman" w:eastAsia="Times New Roman" w:hAnsi="Times New Roman"/>
          <w:sz w:val="18"/>
          <w:szCs w:val="18"/>
          <w:b w:val="1"/>
          <w:bCs w:val="1"/>
          <w:color w:val="auto"/>
        </w:rPr>
        <w:t>Section 5.05(A)(iii)(2)</w:t>
      </w:r>
      <w:r>
        <w:rPr>
          <w:rFonts w:ascii="Times New Roman" w:cs="Times New Roman" w:eastAsia="Times New Roman" w:hAnsi="Times New Roman"/>
          <w:sz w:val="18"/>
          <w:szCs w:val="18"/>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173" w:lineRule="exact"/>
        <w:rPr>
          <w:sz w:val="20"/>
          <w:szCs w:val="20"/>
          <w:color w:val="auto"/>
        </w:rPr>
      </w:pPr>
    </w:p>
    <w:p>
      <w:pPr>
        <w:ind w:left="4" w:right="20" w:firstLine="644"/>
        <w:spacing w:after="0" w:line="284" w:lineRule="auto"/>
        <w:tabs>
          <w:tab w:leader="none" w:pos="110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Dividends or Distributions</w:t>
      </w:r>
      <w:r>
        <w:rPr>
          <w:rFonts w:ascii="Times New Roman" w:cs="Times New Roman" w:eastAsia="Times New Roman" w:hAnsi="Times New Roman"/>
          <w:sz w:val="18"/>
          <w:szCs w:val="18"/>
          <w:color w:val="auto"/>
        </w:rPr>
        <w:t>. If any cash dividend or distribution is made to all or substantially all holders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267335</wp:posOffset>
            </wp:positionV>
            <wp:extent cx="1757045" cy="419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5704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0584"/>
          </w:cols>
          <w:pgMar w:left="976" w:top="1413" w:right="339" w:bottom="1440" w:gutter="0" w:footer="0" w:header="0"/>
        </w:sectPr>
      </w:pP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10"/>
          <w:szCs w:val="10"/>
          <w:i w:val="1"/>
          <w:iCs w:val="1"/>
          <w:color w:val="auto"/>
        </w:rPr>
        <w:t>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the Conversion Rate in effect immediately before the Open of Business on the Ex-Dividend Date for such dividend or distribution;</w:t>
      </w:r>
    </w:p>
    <w:p>
      <w:pPr>
        <w:spacing w:after="0" w:line="200" w:lineRule="exact"/>
        <w:rPr>
          <w:sz w:val="20"/>
          <w:szCs w:val="20"/>
          <w:color w:val="auto"/>
        </w:rPr>
      </w:pPr>
    </w:p>
    <w:p>
      <w:pPr>
        <w:sectPr>
          <w:pgSz w:w="11900" w:h="16838" w:orient="portrait"/>
          <w:cols w:equalWidth="0" w:num="2">
            <w:col w:w="284" w:space="180"/>
            <w:col w:w="10120"/>
          </w:cols>
          <w:pgMar w:left="976" w:top="1413" w:right="339" w:bottom="1440" w:gutter="0" w:footer="0" w:header="0"/>
          <w:type w:val="continuous"/>
        </w:sectPr>
      </w:pPr>
    </w:p>
    <w:p>
      <w:pPr>
        <w:spacing w:after="0" w:line="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i w:val="1"/>
          <w:iCs w:val="1"/>
          <w:color w:val="auto"/>
        </w:rPr>
        <w:t>CR</w:t>
      </w:r>
      <w:r>
        <w:rPr>
          <w:rFonts w:ascii="Times New Roman" w:cs="Times New Roman" w:eastAsia="Times New Roman" w:hAnsi="Times New Roman"/>
          <w:sz w:val="10"/>
          <w:szCs w:val="10"/>
          <w:i w:val="1"/>
          <w:iCs w:val="1"/>
          <w:color w:val="auto"/>
        </w:rPr>
        <w:t>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2">
            <w:col w:w="284" w:space="180"/>
            <w:col w:w="10120"/>
          </w:cols>
          <w:pgMar w:left="976" w:top="1413" w:right="339" w:bottom="1440" w:gutter="0" w:footer="0" w:header="0"/>
          <w:type w:val="continuous"/>
        </w:sectPr>
      </w:pPr>
    </w:p>
    <w:p>
      <w:pPr>
        <w:spacing w:after="0" w:line="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SP</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Last Reported Sale Price per share of Common Stock on the Trading Day immediately before such Ex-Dividend Date; and</w:t>
      </w:r>
    </w:p>
    <w:p>
      <w:pPr>
        <w:spacing w:after="0" w:line="209" w:lineRule="exact"/>
        <w:rPr>
          <w:sz w:val="20"/>
          <w:szCs w:val="20"/>
          <w:color w:val="auto"/>
        </w:rPr>
      </w:pPr>
    </w:p>
    <w:p>
      <w:pPr>
        <w:sectPr>
          <w:pgSz w:w="11900" w:h="16838" w:orient="portrait"/>
          <w:cols w:equalWidth="0" w:num="3">
            <w:col w:w="204" w:space="180"/>
            <w:col w:w="100" w:space="180"/>
            <w:col w:w="9920"/>
          </w:cols>
          <w:pgMar w:left="976" w:top="1413" w:right="339" w:bottom="1440" w:gutter="0" w:footer="0" w:header="0"/>
          <w:type w:val="continuous"/>
        </w:sectPr>
      </w:pPr>
    </w:p>
    <w:p>
      <w:pPr>
        <w:spacing w:after="0" w:line="27" w:lineRule="exact"/>
        <w:rPr>
          <w:sz w:val="20"/>
          <w:szCs w:val="20"/>
          <w:color w:val="auto"/>
        </w:rPr>
      </w:pPr>
    </w:p>
    <w:p>
      <w:pPr>
        <w:ind w:left="304" w:hanging="304"/>
        <w:spacing w:after="0"/>
        <w:tabs>
          <w:tab w:leader="none" w:pos="304" w:val="left"/>
        </w:tabs>
        <w:numPr>
          <w:ilvl w:val="0"/>
          <w:numId w:val="8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the cash amount distributed per share of Common Stock in such dividend or distribution;</w:t>
      </w:r>
    </w:p>
    <w:p>
      <w:pPr>
        <w:spacing w:after="0" w:line="223"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i w:val="1"/>
          <w:iCs w:val="1"/>
          <w:color w:val="auto"/>
        </w:rPr>
        <w:t xml:space="preserve"> D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SP</w:t>
      </w:r>
      <w:r>
        <w:rPr>
          <w:rFonts w:ascii="Times New Roman" w:cs="Times New Roman" w:eastAsia="Times New Roman" w:hAnsi="Times New Roman"/>
          <w:sz w:val="18"/>
          <w:szCs w:val="18"/>
          <w:color w:val="auto"/>
        </w:rPr>
        <w:t>, then, in lieu of the foregoing adjustment to the Conversion Rate, each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for each $1,000 principal amount of Notes held by such Holder on the record date for such dividend or distribution, at the same time and on the same terms as holders of Common Stock, without having to convert its Notes, the amount of cash that such Holder would have received if such Holder had owned, on such record date, a number of shares of Common Stock equal to the Conversion Rate in effect on such record date.</w:t>
      </w:r>
    </w:p>
    <w:p>
      <w:pPr>
        <w:spacing w:after="0" w:line="182"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- 58 -</w:t>
      </w:r>
    </w:p>
    <w:p>
      <w:pPr>
        <w:sectPr>
          <w:pgSz w:w="11900" w:h="16838" w:orient="portrait"/>
          <w:cols w:equalWidth="0" w:num="1">
            <w:col w:w="10584"/>
          </w:cols>
          <w:pgMar w:left="976" w:top="1413" w:right="339" w:bottom="1440" w:gutter="0" w:footer="0" w:header="0"/>
          <w:type w:val="continuous"/>
        </w:sectPr>
      </w:pPr>
    </w:p>
    <w:bookmarkStart w:id="68" w:name="page69"/>
    <w:bookmarkEnd w:id="68"/>
    <w:p>
      <w:pPr>
        <w:jc w:val="both"/>
        <w:ind w:firstLine="644"/>
        <w:spacing w:after="0" w:line="257" w:lineRule="auto"/>
        <w:tabs>
          <w:tab w:leader="none" w:pos="113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Tender Offers or Exchange Offers</w:t>
      </w:r>
      <w:r>
        <w:rPr>
          <w:rFonts w:ascii="Times New Roman" w:cs="Times New Roman" w:eastAsia="Times New Roman" w:hAnsi="Times New Roman"/>
          <w:sz w:val="18"/>
          <w:szCs w:val="18"/>
          <w:color w:val="auto"/>
        </w:rPr>
        <w:t>. If the Company or any of its Subsidiaries makes a payment in respect of a tender offer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offer for shares of Common Stock (other than solely pursuant to an odd-lot tender offer pursuant to Rule 13e-4(h)(5) under the Exchange Act (or any successor rule)), and the value (determined as of the Expiration Time by the Company in good faith) of the cash and other consideration paid per share of Common Stock in such tender or exchange offer exceeds the Last Reported Sale Price per share of Common Stock on the Trading Day immediately after the last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on which tenders or exchanges may be made pursuant to such tender or exchange offer (as it may be amended),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282575</wp:posOffset>
            </wp:positionV>
            <wp:extent cx="2134235" cy="462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42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9900" w:type="dxa"/>
            <w:vAlign w:val="bottom"/>
          </w:tcPr>
          <w:p>
            <w:pPr>
              <w:spacing w:after="0"/>
              <w:rPr>
                <w:sz w:val="20"/>
                <w:szCs w:val="20"/>
                <w:color w:val="auto"/>
              </w:rPr>
            </w:pPr>
          </w:p>
        </w:tc>
      </w:tr>
      <w:tr>
        <w:trPr>
          <w:trHeight w:val="414"/>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3"/>
                <w:szCs w:val="23"/>
                <w:i w:val="1"/>
                <w:iCs w:val="1"/>
                <w:color w:val="auto"/>
                <w:vertAlign w:val="subscript"/>
              </w:rPr>
              <w:t>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Conversion Rate in effect immediately before the Close of Business on the last Trading Day of the Tender/Exchange Offer Valuation</w:t>
            </w:r>
          </w:p>
        </w:tc>
      </w:tr>
      <w:tr>
        <w:trPr>
          <w:trHeight w:val="234"/>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Period for such tender or exchange offer;</w:t>
            </w:r>
          </w:p>
        </w:tc>
      </w:tr>
      <w:tr>
        <w:trPr>
          <w:trHeight w:val="414"/>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3"/>
                <w:szCs w:val="23"/>
                <w:i w:val="1"/>
                <w:iCs w:val="1"/>
                <w:color w:val="auto"/>
                <w:vertAlign w:val="subscript"/>
              </w:rPr>
              <w:t>1</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Conversion Rate in effect immediately after the Close of Business on the last Trading Day of the Tender/Exchange Offer Valuation</w:t>
            </w:r>
          </w:p>
        </w:tc>
      </w:tr>
      <w:tr>
        <w:trPr>
          <w:trHeight w:val="234"/>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Period;</w:t>
            </w:r>
          </w:p>
        </w:tc>
      </w:tr>
      <w:tr>
        <w:trPr>
          <w:trHeight w:val="414"/>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aggregate value, as of the time such tender or exchange offer expires (the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of all cash and other consideration</w:t>
            </w:r>
          </w:p>
        </w:tc>
      </w:tr>
      <w:tr>
        <w:trPr>
          <w:trHeight w:val="216"/>
        </w:trPr>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paid for shares of Common Stock purchased or exchanged in such tender or exchange offer (such aggregate value to be</w:t>
            </w:r>
          </w:p>
        </w:tc>
      </w:tr>
      <w:tr>
        <w:trPr>
          <w:trHeight w:val="234"/>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determined, other than with respect to cash, by the Company in good faith);</w:t>
            </w:r>
          </w:p>
        </w:tc>
      </w:tr>
      <w:tr>
        <w:trPr>
          <w:trHeight w:val="414"/>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3"/>
                <w:szCs w:val="23"/>
                <w:i w:val="1"/>
                <w:iCs w:val="1"/>
                <w:color w:val="auto"/>
                <w:vertAlign w:val="subscript"/>
              </w:rPr>
              <w:t>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before the Expiration Time (including all shares of Common Stock</w:t>
            </w:r>
          </w:p>
        </w:tc>
      </w:tr>
      <w:tr>
        <w:trPr>
          <w:trHeight w:val="234"/>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accepted for purchase or exchange in such tender or exchange offer);</w:t>
            </w:r>
          </w:p>
        </w:tc>
      </w:tr>
      <w:tr>
        <w:trPr>
          <w:trHeight w:val="414"/>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3"/>
                <w:szCs w:val="23"/>
                <w:i w:val="1"/>
                <w:iCs w:val="1"/>
                <w:color w:val="auto"/>
                <w:vertAlign w:val="subscript"/>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the Expiration Time (excluding all shares of Common Stock</w:t>
            </w:r>
          </w:p>
        </w:tc>
      </w:tr>
      <w:tr>
        <w:trPr>
          <w:trHeight w:val="234"/>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accepted for purchase or exchange in such tender or exchange offer); and</w:t>
            </w:r>
          </w:p>
        </w:tc>
      </w:tr>
      <w:tr>
        <w:trPr>
          <w:trHeight w:val="410"/>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average of the Last Reported Sale Prices per share of Common Stock over the ten (10) consecutive Trading Day period (the</w:t>
            </w:r>
          </w:p>
        </w:tc>
      </w:tr>
      <w:tr>
        <w:trPr>
          <w:trHeight w:val="220"/>
        </w:trPr>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Tender/Exchange Offer Valuation Period</w:t>
            </w:r>
            <w:r>
              <w:rPr>
                <w:rFonts w:ascii="Times New Roman" w:cs="Times New Roman" w:eastAsia="Times New Roman" w:hAnsi="Times New Roman"/>
                <w:sz w:val="18"/>
                <w:szCs w:val="18"/>
                <w:color w:val="auto"/>
              </w:rPr>
              <w:t>”) beginning on, and including, the Trading Day immediately after the Expiration</w:t>
            </w:r>
          </w:p>
        </w:tc>
      </w:tr>
      <w:tr>
        <w:trPr>
          <w:trHeight w:val="234"/>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Conversion Rate will in no event be adjusted down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except to the extent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immediately following paragraph. Notwithstanding anything to the contrary in this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- 59 -</w:t>
      </w:r>
    </w:p>
    <w:p>
      <w:pPr>
        <w:sectPr>
          <w:pgSz w:w="11900" w:h="16838" w:orient="portrait"/>
          <w:cols w:equalWidth="0" w:num="1">
            <w:col w:w="10580"/>
          </w:cols>
          <w:pgMar w:left="980" w:top="1415" w:right="339" w:bottom="1440" w:gutter="0" w:footer="0" w:header="0"/>
        </w:sectPr>
      </w:pPr>
    </w:p>
    <w:bookmarkStart w:id="69" w:name="page70"/>
    <w:bookmarkEnd w:id="69"/>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consist of the Trading Days occurring in the period from, and including, the Trading Day immediately after the Expiration Date to, and including, such Conversion Date.</w:t>
      </w:r>
    </w:p>
    <w:p>
      <w:pPr>
        <w:spacing w:after="0" w:line="162"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178" w:lineRule="exact"/>
        <w:rPr>
          <w:sz w:val="20"/>
          <w:szCs w:val="20"/>
          <w:color w:val="auto"/>
        </w:rPr>
      </w:pPr>
    </w:p>
    <w:p>
      <w:pPr>
        <w:ind w:left="424" w:hanging="424"/>
        <w:spacing w:after="0"/>
        <w:tabs>
          <w:tab w:leader="none" w:pos="4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Adjustments in Certain Cases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05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Where Holders Participate in the Transaction or Event Without Conversion</w:t>
      </w:r>
      <w:r>
        <w:rPr>
          <w:rFonts w:ascii="Times New Roman" w:cs="Times New Roman" w:eastAsia="Times New Roman" w:hAnsi="Times New Roman"/>
          <w:sz w:val="18"/>
          <w:szCs w:val="18"/>
          <w:color w:val="auto"/>
        </w:rPr>
        <w:t>. Notwithstanding anything to the contrary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5.05(A)</w:t>
      </w:r>
      <w:r>
        <w:rPr>
          <w:rFonts w:ascii="Times New Roman" w:cs="Times New Roman" w:eastAsia="Times New Roman" w:hAnsi="Times New Roman"/>
          <w:sz w:val="18"/>
          <w:szCs w:val="18"/>
          <w:color w:val="auto"/>
        </w:rPr>
        <w:t>, the Company will not be obligated to adjust the Conversion Rate on account of a transaction or other event otherwise requiring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adjustment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(other than a stock split or combination of the type set forth in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or a tender or exchange offer of the type set forth in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spacing w:after="0" w:line="182" w:lineRule="exact"/>
        <w:rPr>
          <w:rFonts w:ascii="Times New Roman" w:cs="Times New Roman" w:eastAsia="Times New Roman" w:hAnsi="Times New Roman"/>
          <w:sz w:val="18"/>
          <w:szCs w:val="18"/>
          <w:color w:val="auto"/>
        </w:rPr>
      </w:pPr>
    </w:p>
    <w:p>
      <w:pPr>
        <w:ind w:left="1104" w:hanging="456"/>
        <w:spacing w:after="0"/>
        <w:tabs>
          <w:tab w:leader="none" w:pos="110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Events</w:t>
      </w:r>
      <w:r>
        <w:rPr>
          <w:rFonts w:ascii="Times New Roman" w:cs="Times New Roman" w:eastAsia="Times New Roman" w:hAnsi="Times New Roman"/>
          <w:sz w:val="18"/>
          <w:szCs w:val="18"/>
          <w:color w:val="auto"/>
        </w:rPr>
        <w:t>. The Company will not be required to adjust the Conversion Rate 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5.07</w:t>
      </w:r>
      <w:r>
        <w:rPr>
          <w:rFonts w:ascii="Times New Roman" w:cs="Times New Roman" w:eastAsia="Times New Roman" w:hAnsi="Times New Roman"/>
          <w:sz w:val="18"/>
          <w:szCs w:val="18"/>
          <w:color w:val="auto"/>
        </w:rPr>
        <w:t>. Without limiting the foregoing, the Company will not be obligated to adjust the Conversion Rate on account of:</w:t>
      </w:r>
    </w:p>
    <w:p>
      <w:pPr>
        <w:spacing w:after="0" w:line="202" w:lineRule="exact"/>
        <w:rPr>
          <w:rFonts w:ascii="Times New Roman" w:cs="Times New Roman" w:eastAsia="Times New Roman" w:hAnsi="Times New Roman"/>
          <w:sz w:val="18"/>
          <w:szCs w:val="18"/>
          <w:color w:val="auto"/>
        </w:rPr>
      </w:pPr>
    </w:p>
    <w:p>
      <w:pPr>
        <w:ind w:left="644" w:firstLine="652"/>
        <w:spacing w:after="0" w:line="286" w:lineRule="auto"/>
        <w:tabs>
          <w:tab w:leader="none" w:pos="1694"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color w:val="auto"/>
        </w:rPr>
        <w:t>, the sale of shares of Common Stock for a purchase price that is less than the market price per share of Common Stock or less than the Conversion Price;</w:t>
      </w:r>
    </w:p>
    <w:p>
      <w:pPr>
        <w:spacing w:after="0" w:line="158"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766"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- 60 -</w:t>
      </w:r>
    </w:p>
    <w:p>
      <w:pPr>
        <w:sectPr>
          <w:pgSz w:w="11900" w:h="16838" w:orient="portrait"/>
          <w:cols w:equalWidth="0" w:num="1">
            <w:col w:w="10584"/>
          </w:cols>
          <w:pgMar w:left="976" w:top="1417" w:right="339" w:bottom="1440" w:gutter="0" w:footer="0" w:header="0"/>
        </w:sectPr>
      </w:pPr>
    </w:p>
    <w:bookmarkStart w:id="70" w:name="page71"/>
    <w:bookmarkEnd w:id="70"/>
    <w:p>
      <w:pPr>
        <w:ind w:left="1300" w:right="20" w:firstLine="652"/>
        <w:spacing w:after="0" w:line="282" w:lineRule="auto"/>
        <w:tabs>
          <w:tab w:leader="none" w:pos="2396"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or options or rights to purchase shares of Common Stock pursuant to any present or future employee, director or consultant benefit plan or program of, or assumed by, the Company or any of its Subsidiaries;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348"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pursuant to any option, warrant, right or convertible or exchangeable security of the Company outstanding as of the Issue Date;</w:t>
      </w:r>
    </w:p>
    <w:p>
      <w:pPr>
        <w:spacing w:after="0" w:line="161"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 change in the par value of the Common Stock; or</w:t>
      </w:r>
    </w:p>
    <w:p>
      <w:pPr>
        <w:spacing w:after="0" w:line="22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the Notes.</w:t>
      </w:r>
    </w:p>
    <w:p>
      <w:pPr>
        <w:spacing w:after="0" w:line="221" w:lineRule="exact"/>
        <w:rPr>
          <w:rFonts w:ascii="Times New Roman" w:cs="Times New Roman" w:eastAsia="Times New Roman" w:hAnsi="Times New Roman"/>
          <w:sz w:val="18"/>
          <w:szCs w:val="18"/>
          <w:color w:val="auto"/>
        </w:rPr>
      </w:pPr>
    </w:p>
    <w:p>
      <w:pPr>
        <w:jc w:val="both"/>
        <w:ind w:firstLine="656"/>
        <w:spacing w:after="0" w:line="257" w:lineRule="auto"/>
        <w:tabs>
          <w:tab w:leader="none" w:pos="108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Deferral</w:t>
      </w:r>
      <w:r>
        <w:rPr>
          <w:rFonts w:ascii="Times New Roman" w:cs="Times New Roman" w:eastAsia="Times New Roman" w:hAnsi="Times New Roman"/>
          <w:sz w:val="18"/>
          <w:szCs w:val="18"/>
          <w:color w:val="auto"/>
        </w:rPr>
        <w:t>. If an adjustment to the Conversion Rate otherwise required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result in a change of less than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percent (1%) to the Conversion Rate, then, notwithstanding anything to the contrary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the Company may, at its election, defer such adjustment, except that all such deferred adjustments must be given effect immediately upon the earliest of the following: (i) when all such deferred adjustments would result in an aggregate change of at least one percent (1%) to the Conversion Rate; (ii) the Conversion Date of, or any VWAP Trading Day of an Observation Period for, any Note; (iii) the effective date of a Fundamental Change or a Make-Whole Fundamental Change Effective Date; (iv) any Redemption Notice Date; and (v) August 1, 2031.</w:t>
      </w:r>
    </w:p>
    <w:p>
      <w:pPr>
        <w:spacing w:after="0" w:line="18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Not Yet Effective</w:t>
      </w:r>
      <w:r>
        <w:rPr>
          <w:rFonts w:ascii="Times New Roman" w:cs="Times New Roman" w:eastAsia="Times New Roman" w:hAnsi="Times New Roman"/>
          <w:sz w:val="18"/>
          <w:szCs w:val="18"/>
          <w:color w:val="auto"/>
        </w:rPr>
        <w:t>. Notwithstanding anything to the contrary in this Indenture or the Notes, if:</w:t>
      </w:r>
    </w:p>
    <w:p>
      <w:pPr>
        <w:spacing w:after="0" w:line="227"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is to be converted pursuant to Physical Settlement or Combination Settlement;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8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record date, effective date or Expiration Time for any event that requires an adjustment to the Conversion Rate pursuant to </w:t>
      </w:r>
      <w:r>
        <w:rPr>
          <w:rFonts w:ascii="Times New Roman" w:cs="Times New Roman" w:eastAsia="Times New Roman" w:hAnsi="Times New Roman"/>
          <w:sz w:val="18"/>
          <w:szCs w:val="18"/>
          <w:b w:val="1"/>
          <w:bCs w:val="1"/>
          <w:color w:val="auto"/>
        </w:rPr>
        <w:t xml:space="preserve">Section 5.05(A) </w:t>
      </w:r>
      <w:r>
        <w:rPr>
          <w:rFonts w:ascii="Times New Roman" w:cs="Times New Roman" w:eastAsia="Times New Roman" w:hAnsi="Times New Roman"/>
          <w:sz w:val="18"/>
          <w:szCs w:val="18"/>
          <w:color w:val="auto"/>
        </w:rPr>
        <w:t>has occurred on or before the Conversion Date for such conversion (in the case of Physical Settlement) or on or before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VWAP Trading Day in the Observation Period for such conversion (in the case of Combination Settlement), but an adjustment to the Conversion Rate for such event has not yet become effective as of such Conversion Date or VWAP Trading Day, as applicable;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9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Consideration due upon such conversion (in the case of Physical Settlement) includes any whole shares of Common Stock or due in respect of such VWAP Trading Day (in the case of Combination Settlement) includes any whole or fractional shares of Common Stock; and</w:t>
      </w:r>
    </w:p>
    <w:p>
      <w:pPr>
        <w:spacing w:after="0" w:line="17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not entitled to participate in such event (because they were not held on the related record date or otherwise),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determination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ectPr>
          <w:pgSz w:w="11900" w:h="16838" w:orient="portrait"/>
          <w:cols w:equalWidth="0" w:num="1">
            <w:col w:w="11240"/>
          </w:cols>
          <w:pgMar w:left="320" w:top="1417" w:right="339" w:bottom="1440" w:gutter="0" w:footer="0" w:header="0"/>
        </w:sectPr>
      </w:pPr>
    </w:p>
    <w:bookmarkStart w:id="71" w:name="page72"/>
    <w:bookmarkEnd w:id="71"/>
    <w:p>
      <w:pPr>
        <w:ind w:firstLine="656"/>
        <w:spacing w:after="0" w:line="284" w:lineRule="auto"/>
        <w:tabs>
          <w:tab w:leader="none" w:pos="107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Rate Adjustments where Converting Holders Participate in the Relevant Transaction or Event</w:t>
      </w:r>
      <w:r>
        <w:rPr>
          <w:rFonts w:ascii="Times New Roman" w:cs="Times New Roman" w:eastAsia="Times New Roman" w:hAnsi="Times New Roman"/>
          <w:sz w:val="18"/>
          <w:szCs w:val="18"/>
          <w:color w:val="auto"/>
        </w:rPr>
        <w:t>. Notwithstanding anything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contrary in this Indenture or the Notes, if:</w:t>
      </w:r>
    </w:p>
    <w:p>
      <w:pPr>
        <w:spacing w:after="0" w:line="156"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Conversion Rate adjustment for any dividend or distribution becomes effective on any Ex-Dividend Date pursuant to </w:t>
      </w:r>
      <w:r>
        <w:rPr>
          <w:rFonts w:ascii="Times New Roman" w:cs="Times New Roman" w:eastAsia="Times New Roman" w:hAnsi="Times New Roman"/>
          <w:sz w:val="18"/>
          <w:szCs w:val="18"/>
          <w:b w:val="1"/>
          <w:bCs w:val="1"/>
          <w:color w:val="auto"/>
        </w:rPr>
        <w:t>Section</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5.05(A)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is to be converted pursuant to Physical Settlement or Combination Settlement;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76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4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Consideration due upon such conversion (in the case of Physical Settlement) includes any whole shares of Common Stock or due in respect of such VWAP Trading Day (in the case of Combination Settlement) includes any whole or fractional shares of Common Stock, in each case based on a Conversion Rate that is adjusted for such dividend or distribution; and</w:t>
      </w:r>
    </w:p>
    <w:p>
      <w:pPr>
        <w:spacing w:after="0" w:line="17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shares would be entitled to participate in such dividend or distribution (including pursuant to </w:t>
      </w:r>
      <w:r>
        <w:rPr>
          <w:rFonts w:ascii="Times New Roman" w:cs="Times New Roman" w:eastAsia="Times New Roman" w:hAnsi="Times New Roman"/>
          <w:sz w:val="18"/>
          <w:szCs w:val="18"/>
          <w:b w:val="1"/>
          <w:bCs w:val="1"/>
          <w:color w:val="auto"/>
        </w:rPr>
        <w:t>Section 5.02(C)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then (x) 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consideration otherwise due upon such conversion, the same kind and amount of consideration that would have been delivered in such dividend or distribution with respect to such shares of Common Stock had such shares been entitled to participate in such dividend or distribution; and (y) 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187" w:lineRule="exact"/>
        <w:rPr>
          <w:sz w:val="20"/>
          <w:szCs w:val="20"/>
          <w:color w:val="auto"/>
        </w:rPr>
      </w:pPr>
    </w:p>
    <w:p>
      <w:pPr>
        <w:jc w:val="both"/>
        <w:ind w:firstLine="656"/>
        <w:spacing w:after="0" w:line="256" w:lineRule="auto"/>
        <w:tabs>
          <w:tab w:leader="none" w:pos="106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Rights Plans</w:t>
      </w:r>
      <w:r>
        <w:rPr>
          <w:rFonts w:ascii="Times New Roman" w:cs="Times New Roman" w:eastAsia="Times New Roman" w:hAnsi="Times New Roman"/>
          <w:sz w:val="18"/>
          <w:szCs w:val="18"/>
          <w:color w:val="auto"/>
        </w:rPr>
        <w:t>. If any shares of Common Stock are to be issued upon conversion of any Note and, at the time of such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has in effect any stockholder rights plan, then the Holder of such Note will be entitled to receive, in addition to, and concurrently with the delivery of, the Conversion Consideration otherwise payable under this Indenture upon such conversion, the rights set forth in such stockholder rights plan, unless such rights have separated from the Common Stock at such time, in which case, and only in such case, the Conversion Rate will be adjusted pursuant to </w:t>
      </w: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 xml:space="preserve"> on account of such separation as if, at the time of such separation, the Company had made a distribution of the type referred to in such Section to all holders of the Common Stock, subject to readjustment in accordance with such Section if such rights expire, terminate or are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ectPr>
          <w:pgSz w:w="11900" w:h="16838" w:orient="portrait"/>
          <w:cols w:equalWidth="0" w:num="1">
            <w:col w:w="11240"/>
          </w:cols>
          <w:pgMar w:left="320" w:top="1415" w:right="339" w:bottom="1440" w:gutter="0" w:footer="0" w:header="0"/>
        </w:sectPr>
      </w:pPr>
    </w:p>
    <w:bookmarkStart w:id="72" w:name="page73"/>
    <w:bookmarkEnd w:id="72"/>
    <w:p>
      <w:pPr>
        <w:jc w:val="both"/>
        <w:ind w:right="20" w:firstLine="656"/>
        <w:spacing w:after="0" w:line="267" w:lineRule="auto"/>
        <w:tabs>
          <w:tab w:leader="none" w:pos="109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Effecting Transactions Resulting in Certain Adjustments</w:t>
      </w:r>
      <w:r>
        <w:rPr>
          <w:rFonts w:ascii="Times New Roman" w:cs="Times New Roman" w:eastAsia="Times New Roman" w:hAnsi="Times New Roman"/>
          <w:sz w:val="18"/>
          <w:szCs w:val="18"/>
          <w:color w:val="auto"/>
        </w:rPr>
        <w:t>. The Company will not engage in or be a party to any transaction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event that would require the Conversion Rate to be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to an amount that would result in the Conversion Price per share of Common Stock being less than the par value per share of Common Stock.</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107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Equitable Adjustments to Prices</w:t>
      </w:r>
      <w:r>
        <w:rPr>
          <w:rFonts w:ascii="Times New Roman" w:cs="Times New Roman" w:eastAsia="Times New Roman" w:hAnsi="Times New Roman"/>
          <w:sz w:val="18"/>
          <w:szCs w:val="18"/>
          <w:color w:val="auto"/>
        </w:rPr>
        <w:t>. Whenever any provision of this Indenture requires the Company to calculate the Last Reported Sale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Daily VWAPs, the Daily Conversion Values, the Daily Cash Amounts or the Daily Share Amounts over a period of multiple days (including over an Observation Period and the period, if any, for determining the Stock Price for purposes of a Make-Whole Fundamental Change), the Company will, acting in good faith and in a commercially reasonable manner, make appropriate adjustments, if any, to each to account for any adjustment to the Conversion Rate that becomes effective, or any event requiring an adjustment to the Conversion Rate where the Ex-Dividend Date, effective date, or Expiration Date of the event occurs, at any time during such period.</w:t>
      </w:r>
    </w:p>
    <w:p>
      <w:pPr>
        <w:spacing w:after="0" w:line="180" w:lineRule="exact"/>
        <w:rPr>
          <w:rFonts w:ascii="Times New Roman" w:cs="Times New Roman" w:eastAsia="Times New Roman" w:hAnsi="Times New Roman"/>
          <w:sz w:val="18"/>
          <w:szCs w:val="18"/>
          <w:color w:val="auto"/>
        </w:rPr>
      </w:pPr>
    </w:p>
    <w:p>
      <w:pPr>
        <w:jc w:val="both"/>
        <w:ind w:firstLine="656"/>
        <w:spacing w:after="0" w:line="262" w:lineRule="auto"/>
        <w:tabs>
          <w:tab w:leader="none" w:pos="10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Calculation of Number of Outstanding Shares of Common Stock</w:t>
      </w:r>
      <w:r>
        <w:rPr>
          <w:rFonts w:ascii="Times New Roman" w:cs="Times New Roman" w:eastAsia="Times New Roman" w:hAnsi="Times New Roman"/>
          <w:sz w:val="18"/>
          <w:szCs w:val="18"/>
          <w:color w:val="auto"/>
        </w:rPr>
        <w:t>.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 number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178" w:lineRule="exact"/>
        <w:rPr>
          <w:rFonts w:ascii="Times New Roman" w:cs="Times New Roman" w:eastAsia="Times New Roman" w:hAnsi="Times New Roman"/>
          <w:sz w:val="18"/>
          <w:szCs w:val="18"/>
          <w:color w:val="auto"/>
        </w:rPr>
      </w:pPr>
    </w:p>
    <w:p>
      <w:pPr>
        <w:ind w:firstLine="656"/>
        <w:spacing w:after="0" w:line="284" w:lineRule="auto"/>
        <w:tabs>
          <w:tab w:leader="none" w:pos="103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Calculations</w:t>
      </w:r>
      <w:r>
        <w:rPr>
          <w:rFonts w:ascii="Times New Roman" w:cs="Times New Roman" w:eastAsia="Times New Roman" w:hAnsi="Times New Roman"/>
          <w:sz w:val="18"/>
          <w:szCs w:val="18"/>
          <w:color w:val="auto"/>
        </w:rPr>
        <w:t>. All calculations with respect to the Conversion Rate and adjustments thereto will be made to the nearest 1/10,000th of a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(with 5/100,000ths rounded upward).</w:t>
      </w:r>
    </w:p>
    <w:p>
      <w:pPr>
        <w:spacing w:after="0" w:line="156" w:lineRule="exact"/>
        <w:rPr>
          <w:rFonts w:ascii="Times New Roman" w:cs="Times New Roman" w:eastAsia="Times New Roman" w:hAnsi="Times New Roman"/>
          <w:sz w:val="18"/>
          <w:szCs w:val="18"/>
          <w:color w:val="auto"/>
        </w:rPr>
      </w:pPr>
    </w:p>
    <w:p>
      <w:pPr>
        <w:jc w:val="both"/>
        <w:ind w:firstLine="656"/>
        <w:spacing w:after="0" w:line="262" w:lineRule="auto"/>
        <w:tabs>
          <w:tab w:leader="none" w:pos="110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Conversion Rate Adjustments</w:t>
      </w:r>
      <w:r>
        <w:rPr>
          <w:rFonts w:ascii="Times New Roman" w:cs="Times New Roman" w:eastAsia="Times New Roman" w:hAnsi="Times New Roman"/>
          <w:sz w:val="18"/>
          <w:szCs w:val="18"/>
          <w:color w:val="auto"/>
        </w:rPr>
        <w:t>. Upon the effectiveness of any adjustment to the Conversion Rate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5.06. Voluntary Adjustments.</w:t>
      </w:r>
    </w:p>
    <w:p>
      <w:pPr>
        <w:spacing w:after="0" w:line="227" w:lineRule="exact"/>
        <w:rPr>
          <w:sz w:val="20"/>
          <w:szCs w:val="20"/>
          <w:color w:val="auto"/>
        </w:rPr>
      </w:pPr>
    </w:p>
    <w:p>
      <w:pPr>
        <w:jc w:val="both"/>
        <w:ind w:firstLine="656"/>
        <w:spacing w:after="0" w:line="262" w:lineRule="auto"/>
        <w:tabs>
          <w:tab w:leader="none" w:pos="107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To the extent permitted by law and applicable stock exchange rules, the Company, from time to time, may (but is not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the Conversion Rate by any amount if (i) the Board of Directors determines that such increase is either (x) in the best interest of the Company; or</w:t>
      </w:r>
    </w:p>
    <w:p>
      <w:pPr>
        <w:jc w:val="both"/>
        <w:ind w:firstLine="8"/>
        <w:spacing w:after="0" w:line="255" w:lineRule="auto"/>
        <w:tabs>
          <w:tab w:leader="none" w:pos="2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advisable to avoid or diminish any income tax imposed on holders of Common Stock or rights to purchase Common Stock as a result of any dividend or distribution of shares (or rights to acquire shares) of Common Stock or any similar event; and (ii) such increase is irrevocably in effect for a period of at least twenty (20) Business Days.</w:t>
      </w:r>
    </w:p>
    <w:p>
      <w:pPr>
        <w:spacing w:after="0" w:line="181"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110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Voluntary Increases</w:t>
      </w:r>
      <w:r>
        <w:rPr>
          <w:rFonts w:ascii="Times New Roman" w:cs="Times New Roman" w:eastAsia="Times New Roman" w:hAnsi="Times New Roman"/>
          <w:sz w:val="18"/>
          <w:szCs w:val="18"/>
          <w:color w:val="auto"/>
        </w:rPr>
        <w:t>. If the Board of Directors determines to increase the Conversion Rate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5.06(A)</w:t>
      </w:r>
      <w:r>
        <w:rPr>
          <w:rFonts w:ascii="Times New Roman" w:cs="Times New Roman" w:eastAsia="Times New Roman" w:hAnsi="Times New Roman"/>
          <w:sz w:val="18"/>
          <w:szCs w:val="18"/>
          <w:color w:val="auto"/>
        </w:rPr>
        <w:t>, then,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later than the first Business Day of the related twenty (20) Business Day period referred to in </w:t>
      </w:r>
      <w:r>
        <w:rPr>
          <w:rFonts w:ascii="Times New Roman" w:cs="Times New Roman" w:eastAsia="Times New Roman" w:hAnsi="Times New Roman"/>
          <w:sz w:val="18"/>
          <w:szCs w:val="18"/>
          <w:b w:val="1"/>
          <w:bCs w:val="1"/>
          <w:color w:val="auto"/>
        </w:rPr>
        <w:t>Section 5.06(A)</w:t>
      </w:r>
      <w:r>
        <w:rPr>
          <w:rFonts w:ascii="Times New Roman" w:cs="Times New Roman" w:eastAsia="Times New Roman" w:hAnsi="Times New Roman"/>
          <w:sz w:val="18"/>
          <w:szCs w:val="18"/>
          <w:color w:val="auto"/>
        </w:rPr>
        <w:t>, the Company will send notice to each Holder, the Trustee and the Conversion Agent of such increase, the amount thereof and the period during which such increase will be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ectPr>
          <w:pgSz w:w="11900" w:h="16838" w:orient="portrait"/>
          <w:cols w:equalWidth="0" w:num="1">
            <w:col w:w="11240"/>
          </w:cols>
          <w:pgMar w:left="320" w:top="141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Section 5.07. Adjustments to the Conversion Rate in Connection with a Make-Whole Fundamental Change.</w:t>
      </w:r>
    </w:p>
    <w:p>
      <w:pPr>
        <w:spacing w:after="0" w:line="227" w:lineRule="exact"/>
        <w:rPr>
          <w:sz w:val="20"/>
          <w:szCs w:val="20"/>
          <w:color w:val="auto"/>
        </w:rPr>
      </w:pPr>
    </w:p>
    <w:p>
      <w:pPr>
        <w:jc w:val="both"/>
        <w:ind w:firstLine="656"/>
        <w:spacing w:after="0" w:line="261" w:lineRule="auto"/>
        <w:tabs>
          <w:tab w:leader="none" w:pos="11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a Make-Whole Fundamental Change occurs and the Conversion Date for the conversion of a Note occurs during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Make-Whole Fundamental Change Conversion Period, then, subject to this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the Conversion Rate applicable to such conversion will be increased by a number of shares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Stock Price</w:t>
            </w: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Make-Whole Fundamental</w:t>
            </w:r>
          </w:p>
        </w:tc>
        <w:tc>
          <w:tcPr>
            <w:tcW w:w="8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320" w:type="dxa"/>
            <w:vAlign w:val="bottom"/>
            <w:vMerge w:val="continue"/>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$16.99</w:t>
            </w:r>
          </w:p>
        </w:tc>
        <w:tc>
          <w:tcPr>
            <w:tcW w:w="8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$19.50</w:t>
            </w: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$20.81</w:t>
            </w:r>
          </w:p>
        </w:tc>
        <w:tc>
          <w:tcPr>
            <w:tcW w:w="8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$23.50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$27.06</w:t>
            </w:r>
          </w:p>
        </w:tc>
        <w:tc>
          <w:tcPr>
            <w:tcW w:w="10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$30.00</w:t>
            </w:r>
          </w:p>
        </w:tc>
        <w:tc>
          <w:tcPr>
            <w:tcW w:w="7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$40.00</w:t>
            </w:r>
          </w:p>
        </w:tc>
        <w:tc>
          <w:tcPr>
            <w:tcW w:w="8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$55.00</w:t>
            </w: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$125.00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$175.00</w:t>
            </w:r>
          </w:p>
        </w:tc>
        <w:tc>
          <w:tcPr>
            <w:tcW w:w="0" w:type="dxa"/>
            <w:vAlign w:val="bottom"/>
          </w:tcPr>
          <w:p>
            <w:pPr>
              <w:spacing w:after="0"/>
              <w:rPr>
                <w:sz w:val="1"/>
                <w:szCs w:val="1"/>
                <w:color w:val="auto"/>
              </w:rPr>
            </w:pPr>
          </w:p>
        </w:tc>
      </w:tr>
      <w:tr>
        <w:trPr>
          <w:trHeight w:val="250"/>
        </w:trPr>
        <w:tc>
          <w:tcPr>
            <w:tcW w:w="2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Change Effective Date</w:t>
            </w:r>
          </w:p>
        </w:tc>
        <w:tc>
          <w:tcPr>
            <w:tcW w:w="88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17, 2025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10.8106</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9.0749</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8.3537</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7.1409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5.9205</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5.1363</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3.3518</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1.9362</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0.7219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0.1734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r>
        <w:trPr>
          <w:trHeight w:val="27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 2026</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10.8106</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8.5123</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7.8251</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6.6906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5.5636</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4.8423</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3.1965</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1.8775</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0.7216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0.1734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r>
        <w:trPr>
          <w:trHeight w:val="27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 2027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10.8106</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7.7231</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7.0567</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6.0106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4.3707</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2.9193</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1.7464</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0.6956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0.1734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r>
        <w:trPr>
          <w:trHeight w:val="27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 2028</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10.8106</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6.7513</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6.0543</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5.0945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4.2443</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3.7153</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2.5128</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1.5351</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0.6405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0.1734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r>
        <w:trPr>
          <w:trHeight w:val="27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 2029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10.8106</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5.1662</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4.6199</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3.8591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3.2084</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2.8143</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1.9260</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1.2024</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0.5287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0.1602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r>
        <w:trPr>
          <w:trHeight w:val="27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 2030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10.8106</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3.7169</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2.9851</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2.2494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1.6043</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1.1100</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0.7075</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0.3291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0.1120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r>
        <w:trPr>
          <w:trHeight w:val="27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 2031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10.8106</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3.2346</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0.0000</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0.0000</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0.0000</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0.0000</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0.0000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such Make-Whole Fundamental Change Effective Date or Stock Price is not set forth in the table above, then:</w:t>
      </w:r>
    </w:p>
    <w:p>
      <w:pPr>
        <w:spacing w:after="0" w:line="225" w:lineRule="exact"/>
        <w:rPr>
          <w:sz w:val="20"/>
          <w:szCs w:val="20"/>
          <w:color w:val="auto"/>
        </w:rPr>
      </w:pPr>
    </w:p>
    <w:p>
      <w:pPr>
        <w:jc w:val="both"/>
        <w:ind w:left="660" w:firstLine="644"/>
        <w:spacing w:after="0" w:line="261" w:lineRule="auto"/>
        <w:tabs>
          <w:tab w:leader="none" w:pos="175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7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 Price is greater than $175.00 (subject to adjustment in the same manner as the Stock Prices set forth in the column headings of the table above are adjusted pursuant to </w:t>
      </w:r>
      <w:r>
        <w:rPr>
          <w:rFonts w:ascii="Times New Roman" w:cs="Times New Roman" w:eastAsia="Times New Roman" w:hAnsi="Times New Roman"/>
          <w:sz w:val="18"/>
          <w:szCs w:val="18"/>
          <w:b w:val="1"/>
          <w:bCs w:val="1"/>
          <w:color w:val="auto"/>
        </w:rPr>
        <w:t>Section 5.07(B)</w:t>
      </w:r>
      <w:r>
        <w:rPr>
          <w:rFonts w:ascii="Times New Roman" w:cs="Times New Roman" w:eastAsia="Times New Roman" w:hAnsi="Times New Roman"/>
          <w:sz w:val="18"/>
          <w:szCs w:val="18"/>
          <w:color w:val="auto"/>
        </w:rPr>
        <w:t>), or less than $16.99 (subject to adjustment in the same manner), per share, then no Additional Shares will be added to the Conversion Rate.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or the Notes, in no event will the Conversion Rate be increased to an amount that exceeds 58.8581 shares of Common Stock per $1,000 principal amount of Notes, which amount is subject to adjustment in the same manner as, and at the same time and for the same events for which, the Conversion Rate is required to be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the avoidance of doubt, but subject to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 xml:space="preserve">, (x) the sending of a Redemption Notice will constitute a Make-Whole Fundamental Change only with respect to the Notes called for Redemption pursuant to such Redemption Notice, and not with respect to any other Notes; and (y) the Conversion Rate applicable to the Notes not so called for Redemption will not be subject to increase pursuant to this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on account of such Redemption Notice.</w:t>
      </w:r>
    </w:p>
    <w:p>
      <w:pPr>
        <w:spacing w:after="0" w:line="178" w:lineRule="exact"/>
        <w:rPr>
          <w:sz w:val="20"/>
          <w:szCs w:val="20"/>
          <w:color w:val="auto"/>
        </w:rPr>
      </w:pPr>
    </w:p>
    <w:p>
      <w:pPr>
        <w:jc w:val="both"/>
        <w:ind w:firstLine="656"/>
        <w:spacing w:after="0" w:line="261" w:lineRule="auto"/>
        <w:tabs>
          <w:tab w:leader="none" w:pos="108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of Stock Prices and Number of Additional Shares</w:t>
      </w:r>
      <w:r>
        <w:rPr>
          <w:rFonts w:ascii="Times New Roman" w:cs="Times New Roman" w:eastAsia="Times New Roman" w:hAnsi="Times New Roman"/>
          <w:sz w:val="18"/>
          <w:szCs w:val="18"/>
          <w:color w:val="auto"/>
        </w:rPr>
        <w:t>. The Stock Prices in the first row (that is, the column headers) of the table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xml:space="preserve"> will be adjusted in the same manner as, and at the same time and for the same events for which, the Conversion Price is adjusted as a result of the operation of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The numbers of Additional Shares in the table set forth in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xml:space="preserve"> will be adjusted in the same manner as, and at the same time and for the same events for which, the Conversion Rate is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ectPr>
          <w:pgSz w:w="11900" w:h="16838" w:orient="portrait"/>
          <w:cols w:equalWidth="0" w:num="1">
            <w:col w:w="11240"/>
          </w:cols>
          <w:pgMar w:left="320" w:top="1413" w:right="339" w:bottom="1440" w:gutter="0" w:footer="0" w:header="0"/>
        </w:sectPr>
      </w:pPr>
    </w:p>
    <w:bookmarkStart w:id="74" w:name="page75"/>
    <w:bookmarkEnd w:id="74"/>
    <w:p>
      <w:pPr>
        <w:ind w:firstLine="656"/>
        <w:spacing w:after="0" w:line="284" w:lineRule="auto"/>
        <w:tabs>
          <w:tab w:leader="none" w:pos="112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the Occurrence of a Make-Whole Fundamental Change</w:t>
      </w:r>
      <w:r>
        <w:rPr>
          <w:rFonts w:ascii="Times New Roman" w:cs="Times New Roman" w:eastAsia="Times New Roman" w:hAnsi="Times New Roman"/>
          <w:sz w:val="18"/>
          <w:szCs w:val="18"/>
          <w:color w:val="auto"/>
        </w:rPr>
        <w:t>. The Company will notify the Holders, the Trustee and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Agent of each Make-Whole Fundamental Change occurring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in accordance with </w:t>
      </w:r>
      <w:r>
        <w:rPr>
          <w:rFonts w:ascii="Times New Roman" w:cs="Times New Roman" w:eastAsia="Times New Roman" w:hAnsi="Times New Roman"/>
          <w:sz w:val="18"/>
          <w:szCs w:val="18"/>
          <w:b w:val="1"/>
          <w:bCs w:val="1"/>
          <w:color w:val="auto"/>
        </w:rPr>
        <w:t>Section 5.01(C)(i)(3)(b)</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5" w:right="339" w:bottom="1440" w:gutter="0" w:footer="0" w:header="0"/>
        </w:sectPr>
      </w:pPr>
    </w:p>
    <w:p>
      <w:pPr>
        <w:spacing w:after="0" w:line="158" w:lineRule="exact"/>
        <w:rPr>
          <w:sz w:val="20"/>
          <w:szCs w:val="20"/>
          <w:color w:val="auto"/>
        </w:rPr>
      </w:pPr>
    </w:p>
    <w:p>
      <w:pPr>
        <w:jc w:val="both"/>
        <w:ind w:firstLine="656"/>
        <w:spacing w:after="0" w:line="267" w:lineRule="auto"/>
        <w:tabs>
          <w:tab w:leader="none" w:pos="114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of Cash Make-Whole Fundamental Changes</w:t>
      </w:r>
      <w:r>
        <w:rPr>
          <w:rFonts w:ascii="Times New Roman" w:cs="Times New Roman" w:eastAsia="Times New Roman" w:hAnsi="Times New Roman"/>
          <w:sz w:val="18"/>
          <w:szCs w:val="18"/>
          <w:color w:val="auto"/>
        </w:rPr>
        <w:t>. For the avoidance of doubt, if holders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 Common Stock Change Event that also constitutes a Make-Whole Fundamental Change, then, pursuant to Notes will thereafter be settled no later than the second (2nd) Business Day after the relevant Conversion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5.08. Exchange in Lieu of Conversion.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firstLine="15"/>
        <w:spacing w:after="0" w:line="282" w:lineRule="auto"/>
        <w:rPr>
          <w:sz w:val="20"/>
          <w:szCs w:val="20"/>
          <w:color w:val="auto"/>
        </w:rPr>
      </w:pPr>
      <w:r>
        <w:rPr>
          <w:rFonts w:ascii="Times New Roman" w:cs="Times New Roman" w:eastAsia="Times New Roman" w:hAnsi="Times New Roman"/>
          <w:sz w:val="18"/>
          <w:szCs w:val="18"/>
          <w:color w:val="auto"/>
        </w:rPr>
        <w:t xml:space="preserve">Stock receive solely cash in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conversions of</w:t>
      </w:r>
    </w:p>
    <w:p>
      <w:pPr>
        <w:spacing w:after="0" w:line="780" w:lineRule="exact"/>
        <w:rPr>
          <w:sz w:val="20"/>
          <w:szCs w:val="20"/>
          <w:color w:val="auto"/>
        </w:rPr>
      </w:pPr>
    </w:p>
    <w:p>
      <w:pPr>
        <w:sectPr>
          <w:pgSz w:w="11900" w:h="16838" w:orient="portrait"/>
          <w:cols w:equalWidth="0" w:num="2">
            <w:col w:w="9100" w:space="60"/>
            <w:col w:w="2080"/>
          </w:cols>
          <w:pgMar w:left="320" w:top="1415" w:right="339" w:bottom="1440" w:gutter="0" w:footer="0" w:header="0"/>
          <w:type w:val="continuous"/>
        </w:sectPr>
      </w:pPr>
    </w:p>
    <w:p>
      <w:pPr>
        <w:spacing w:after="0" w:line="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and subject to the terms of this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 if a Note is submitted for conversion, the Company may elect to arrange to have such Note exchanged in lieu of conversion by a financial institution designated by the Company. To make such election, the Company must send written notice of such election to the Holder of such Note, the Trustee and the Conversion Agent before the Close of Business on the Business Day immediately following the Conversion Date for such Note. If the Company has made such election, then:</w:t>
      </w:r>
    </w:p>
    <w:p>
      <w:pPr>
        <w:spacing w:after="0" w:line="180" w:lineRule="exact"/>
        <w:rPr>
          <w:sz w:val="20"/>
          <w:szCs w:val="20"/>
          <w:color w:val="auto"/>
        </w:rPr>
      </w:pPr>
    </w:p>
    <w:p>
      <w:pPr>
        <w:jc w:val="both"/>
        <w:ind w:firstLine="656"/>
        <w:spacing w:after="0" w:line="258" w:lineRule="auto"/>
        <w:tabs>
          <w:tab w:leader="none" w:pos="11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pay and/or deliver such Conversion Consideration (or such other amount agreed to by the Holder and the financial institution) in the manner and at the time the Company would have had to pay and/or deliver the same pursuant to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12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Global Note, then (i) such designated institution will send written confirmation to the Conversion Agent promptly after wiring the cash Conversion Consideration, if any, and delivering any other Conversion Consideration (or such other consideration agreed to by the Holder and the financial institution), due upon such conversion to the Holder of such Note; and (ii) the Conversion Agent will as soon as reasonably practicable thereafter contact such Holder’s custodian with the Depositary to confirm receipt of the same; and</w:t>
      </w:r>
    </w:p>
    <w:p>
      <w:pPr>
        <w:spacing w:after="0" w:line="17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will not cease to be outstanding by reason of such exchange in lieu of conversion;</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financial institution does not accept such Note or fails to timely deliver the Conversion Consideration (or such other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agreed to by the Holder and the financial institution) as set forth in </w:t>
      </w:r>
      <w:r>
        <w:rPr>
          <w:rFonts w:ascii="Times New Roman" w:cs="Times New Roman" w:eastAsia="Times New Roman" w:hAnsi="Times New Roman"/>
          <w:sz w:val="18"/>
          <w:szCs w:val="18"/>
          <w:b w:val="1"/>
          <w:bCs w:val="1"/>
          <w:color w:val="auto"/>
        </w:rPr>
        <w:t>Section 5.08(A)</w:t>
      </w:r>
      <w:r>
        <w:rPr>
          <w:rFonts w:ascii="Times New Roman" w:cs="Times New Roman" w:eastAsia="Times New Roman" w:hAnsi="Times New Roman"/>
          <w:sz w:val="18"/>
          <w:szCs w:val="18"/>
          <w:color w:val="auto"/>
        </w:rPr>
        <w:t xml:space="preserve">, then the Company will be responsible for delivering the Conversion Consideration in the manner and at the time provided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as if the Company had not elected to make an exchange in lieu of conversion. The Conversion Agent will be entitled to conclusively rely upon the Company’s instruction in connection with effecting such exchange election and will have no liability in respect of such exchange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ectPr>
          <w:pgSz w:w="11900" w:h="16838" w:orient="portrait"/>
          <w:cols w:equalWidth="0" w:num="1">
            <w:col w:w="11240"/>
          </w:cols>
          <w:pgMar w:left="320" w:top="1415"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Section 5.09. Effect of Common Stock Change Event.</w:t>
      </w:r>
    </w:p>
    <w:p>
      <w:pPr>
        <w:spacing w:after="0" w:line="227" w:lineRule="exact"/>
        <w:rPr>
          <w:sz w:val="20"/>
          <w:szCs w:val="20"/>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there occurs any:</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4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Company;</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Company and its Subsidiaries, taken as a whole, to 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or</w:t>
      </w:r>
    </w:p>
    <w:p>
      <w:pPr>
        <w:spacing w:after="0" w:line="206"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event,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as a result of which, the Common Stock is converted into, or is exchanged for, or represents solely the right to receive, other securities, cash or other property, or any combination of the foregoing (such an event, a “</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and such other securities, cash or property,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then, notwithstanding anything to the contrary in this Indenture or the Notes,</w:t>
      </w:r>
    </w:p>
    <w:p>
      <w:pPr>
        <w:spacing w:after="0" w:line="183" w:lineRule="exact"/>
        <w:rPr>
          <w:sz w:val="20"/>
          <w:szCs w:val="20"/>
          <w:color w:val="auto"/>
        </w:rPr>
      </w:pPr>
    </w:p>
    <w:p>
      <w:pPr>
        <w:jc w:val="both"/>
        <w:ind w:left="1300" w:firstLine="652"/>
        <w:spacing w:after="0" w:line="255" w:lineRule="auto"/>
        <w:tabs>
          <w:tab w:leader="none" w:pos="245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in any related definitions) were instead a reference to the same number of Reference Property Units; (II) for purposes of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each reference to any number of shares of Common Stock in such Section (or in any related definitions) will instead be deemed to be a reference to the same number of Reference Property Units; and (III) for purposes of the definitions of “Fundamental Change” and “Make-Whole Fundamental Change,” references to “Common Stock” and the Company’s “common equity” will be deemed to mean the common equity, if any, forming part of such Reference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- 66 -</w:t>
      </w:r>
    </w:p>
    <w:p>
      <w:pPr>
        <w:sectPr>
          <w:pgSz w:w="11900" w:h="16838" w:orient="portrait"/>
          <w:cols w:equalWidth="0" w:num="1">
            <w:col w:w="11240"/>
          </w:cols>
          <w:pgMar w:left="320" w:top="1413" w:right="339" w:bottom="1440" w:gutter="0" w:footer="0" w:header="0"/>
        </w:sectPr>
      </w:pPr>
    </w:p>
    <w:bookmarkStart w:id="76" w:name="page77"/>
    <w:bookmarkEnd w:id="76"/>
    <w:p>
      <w:pPr>
        <w:jc w:val="both"/>
        <w:ind w:left="1300" w:firstLine="652"/>
        <w:spacing w:after="0" w:line="256" w:lineRule="auto"/>
        <w:tabs>
          <w:tab w:leader="none" w:pos="234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if applicable); and (y) the amount of cash constituting such Reference Property Unit; and (II) the Company will settle each such conversion no later than the second (2nd) Business Day after the relevant Conversion Date; and</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43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Conversion Agent (if other than the Trustee) in writing of such weighted average as soon as practicable after such determination is made.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or before the effective time of such Common Stock Change Event, the Company and the resulting, surviving or transferee Person (if not the Company) of such Common Stock Change Event (the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will execute and deliver to the Trustee a supplemental indenture pursuant to </w:t>
      </w:r>
      <w:r>
        <w:rPr>
          <w:rFonts w:ascii="Times New Roman" w:cs="Times New Roman" w:eastAsia="Times New Roman" w:hAnsi="Times New Roman"/>
          <w:sz w:val="18"/>
          <w:szCs w:val="18"/>
          <w:b w:val="1"/>
          <w:bCs w:val="1"/>
          <w:color w:val="auto"/>
        </w:rPr>
        <w:t>Section 8.01(F)</w:t>
      </w:r>
      <w:r>
        <w:rPr>
          <w:rFonts w:ascii="Times New Roman" w:cs="Times New Roman" w:eastAsia="Times New Roman" w:hAnsi="Times New Roman"/>
          <w:sz w:val="18"/>
          <w:szCs w:val="18"/>
          <w:color w:val="auto"/>
        </w:rPr>
        <w:t>, which supplemental indenture will (x) provide for subsequent conversions of Notes in the manner set forth in this</w:t>
      </w:r>
      <w:r>
        <w:rPr>
          <w:rFonts w:ascii="Times New Roman" w:cs="Times New Roman" w:eastAsia="Times New Roman" w:hAnsi="Times New Roman"/>
          <w:sz w:val="18"/>
          <w:szCs w:val="18"/>
          <w:b w:val="1"/>
          <w:bCs w:val="1"/>
          <w:color w:val="auto"/>
        </w:rPr>
        <w:t xml:space="preserve"> Section 5.09</w:t>
      </w:r>
      <w:r>
        <w:rPr>
          <w:rFonts w:ascii="Times New Roman" w:cs="Times New Roman" w:eastAsia="Times New Roman" w:hAnsi="Times New Roman"/>
          <w:sz w:val="18"/>
          <w:szCs w:val="18"/>
          <w:color w:val="auto"/>
        </w:rPr>
        <w:t>; (y)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for subsequent adjustments to the Conversion Rate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in a manner consistent with this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and (z) contain such other provisions, if any, that the Company reasonably determines are appropriate to preserve the economic interests of the Holders and to give effect to the provisions of this </w:t>
      </w:r>
      <w:r>
        <w:rPr>
          <w:rFonts w:ascii="Times New Roman" w:cs="Times New Roman" w:eastAsia="Times New Roman" w:hAnsi="Times New Roman"/>
          <w:sz w:val="18"/>
          <w:szCs w:val="18"/>
          <w:b w:val="1"/>
          <w:bCs w:val="1"/>
          <w:color w:val="auto"/>
        </w:rPr>
        <w:t>Section 5.09(A)</w:t>
      </w:r>
      <w:r>
        <w:rPr>
          <w:rFonts w:ascii="Times New Roman" w:cs="Times New Roman" w:eastAsia="Times New Roman" w:hAnsi="Times New Roman"/>
          <w:sz w:val="18"/>
          <w:szCs w:val="18"/>
          <w:color w:val="auto"/>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w:t>
      </w:r>
    </w:p>
    <w:p>
      <w:pPr>
        <w:spacing w:after="0" w:line="190" w:lineRule="exact"/>
        <w:rPr>
          <w:sz w:val="20"/>
          <w:szCs w:val="20"/>
          <w:color w:val="auto"/>
        </w:rPr>
      </w:pPr>
    </w:p>
    <w:p>
      <w:pPr>
        <w:ind w:firstLine="656"/>
        <w:spacing w:after="0" w:line="284" w:lineRule="auto"/>
        <w:tabs>
          <w:tab w:leader="none" w:pos="11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Common Stock Change Events</w:t>
      </w:r>
      <w:r>
        <w:rPr>
          <w:rFonts w:ascii="Times New Roman" w:cs="Times New Roman" w:eastAsia="Times New Roman" w:hAnsi="Times New Roman"/>
          <w:sz w:val="18"/>
          <w:szCs w:val="18"/>
          <w:color w:val="auto"/>
        </w:rPr>
        <w:t>. The Company will provide notice of each Common Stock Change Event to Holders, the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Conversion Agent no later than the Business Day after the effective date of such Common Stock Change Event.</w:t>
      </w:r>
    </w:p>
    <w:p>
      <w:pPr>
        <w:spacing w:after="0" w:line="15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Covenant</w:t>
      </w:r>
      <w:r>
        <w:rPr>
          <w:rFonts w:ascii="Times New Roman" w:cs="Times New Roman" w:eastAsia="Times New Roman" w:hAnsi="Times New Roman"/>
          <w:sz w:val="18"/>
          <w:szCs w:val="18"/>
          <w:color w:val="auto"/>
        </w:rPr>
        <w:t>. The Company will not become a party to any Common Stock Change Event unless its terms are consistent with this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ectPr>
          <w:pgSz w:w="11900" w:h="16838" w:orient="portrait"/>
          <w:cols w:equalWidth="0" w:num="1">
            <w:col w:w="11240"/>
          </w:cols>
          <w:pgMar w:left="320" w:top="1417" w:right="339" w:bottom="1440" w:gutter="0" w:footer="0" w:header="0"/>
        </w:sectPr>
      </w:pPr>
    </w:p>
    <w:bookmarkStart w:id="77" w:name="page78"/>
    <w:bookmarkEnd w:id="77"/>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Article 6</w:t>
      </w:r>
      <w:r>
        <w:rPr>
          <w:sz w:val="20"/>
          <w:szCs w:val="20"/>
          <w:color w:val="auto"/>
        </w:rPr>
        <w:tab/>
      </w:r>
      <w:r>
        <w:rPr>
          <w:rFonts w:ascii="Times New Roman" w:cs="Times New Roman" w:eastAsia="Times New Roman" w:hAnsi="Times New Roman"/>
          <w:sz w:val="17"/>
          <w:szCs w:val="17"/>
          <w:b w:val="1"/>
          <w:bCs w:val="1"/>
          <w:color w:val="auto"/>
        </w:rPr>
        <w:t>SUCCESSORS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6.01. When the Company May Merge, Etc.</w:t>
      </w:r>
    </w:p>
    <w:p>
      <w:pPr>
        <w:spacing w:after="0" w:line="227" w:lineRule="exact"/>
        <w:rPr>
          <w:sz w:val="20"/>
          <w:szCs w:val="20"/>
          <w:color w:val="auto"/>
        </w:rPr>
      </w:pPr>
    </w:p>
    <w:p>
      <w:pPr>
        <w:jc w:val="both"/>
        <w:ind w:firstLine="656"/>
        <w:spacing w:after="0" w:line="267" w:lineRule="auto"/>
        <w:tabs>
          <w:tab w:leader="none" w:pos="109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not consolidate with or merge with or into, or (directly, or indirectly through one or more of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lease or otherwise transfer, in one transaction or a series of transactions, all or substantially all of the assets of the Company and its Subsidiaries, taken as a whole, to another Person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5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either (x) is the Company or (y) if not the Company, is a corporation (or, if such Business Combination Event is an Exempted Fundamental Change, is a corporation, limited liability company, limited partnership or other similar entity)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xml:space="preserve">”)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Times New Roman" w:cs="Times New Roman" w:eastAsia="Times New Roman" w:hAnsi="Times New Roman"/>
          <w:sz w:val="18"/>
          <w:szCs w:val="18"/>
          <w:b w:val="1"/>
          <w:bCs w:val="1"/>
          <w:color w:val="auto"/>
        </w:rPr>
        <w:t>Section 8.01(E)</w:t>
      </w:r>
      <w:r>
        <w:rPr>
          <w:rFonts w:ascii="Times New Roman" w:cs="Times New Roman" w:eastAsia="Times New Roman" w:hAnsi="Times New Roman"/>
          <w:sz w:val="18"/>
          <w:szCs w:val="18"/>
          <w:color w:val="auto"/>
        </w:rPr>
        <w:t>) all of the Company’s obligations under this Indenture and the Notes; and</w:t>
      </w:r>
    </w:p>
    <w:p>
      <w:pPr>
        <w:spacing w:after="0" w:line="183"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Default or Event of Default will have occurred and be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4" w:lineRule="exact"/>
        <w:rPr>
          <w:rFonts w:ascii="Times New Roman" w:cs="Times New Roman" w:eastAsia="Times New Roman" w:hAnsi="Times New Roman"/>
          <w:sz w:val="18"/>
          <w:szCs w:val="18"/>
          <w:color w:val="auto"/>
        </w:rPr>
      </w:pPr>
    </w:p>
    <w:p>
      <w:pPr>
        <w:jc w:val="both"/>
        <w:ind w:firstLine="656"/>
        <w:spacing w:after="0" w:line="261" w:lineRule="auto"/>
        <w:tabs>
          <w:tab w:leader="none" w:pos="110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Officer’s Certificate and Opinion of Counsel to the Trustee</w:t>
      </w:r>
      <w:r>
        <w:rPr>
          <w:rFonts w:ascii="Times New Roman" w:cs="Times New Roman" w:eastAsia="Times New Roman" w:hAnsi="Times New Roman"/>
          <w:sz w:val="18"/>
          <w:szCs w:val="18"/>
          <w:color w:val="auto"/>
        </w:rPr>
        <w:t>. Before the effective time of any Business Combination Event,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will deliver to the Trustee an Officer’s Certificate and Opinion of Counsel, each stating that (i) such Business Combination Event (and, if applicable, the related supplemental indenture) comply with </w:t>
      </w:r>
      <w:r>
        <w:rPr>
          <w:rFonts w:ascii="Times New Roman" w:cs="Times New Roman" w:eastAsia="Times New Roman" w:hAnsi="Times New Roman"/>
          <w:sz w:val="18"/>
          <w:szCs w:val="18"/>
          <w:b w:val="1"/>
          <w:bCs w:val="1"/>
          <w:color w:val="auto"/>
        </w:rPr>
        <w:t>Section 6.01(A)</w:t>
      </w:r>
      <w:r>
        <w:rPr>
          <w:rFonts w:ascii="Times New Roman" w:cs="Times New Roman" w:eastAsia="Times New Roman" w:hAnsi="Times New Roman"/>
          <w:sz w:val="18"/>
          <w:szCs w:val="18"/>
          <w:color w:val="auto"/>
        </w:rPr>
        <w:t>; and (ii) all conditions precedent to such Business Combination Event provided in this Indenture have been satisfied.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6.02. Successor Entity Substituted.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At the effective time of any Business Combination Event that complies with </w:t>
      </w:r>
      <w:r>
        <w:rPr>
          <w:rFonts w:ascii="Times New Roman" w:cs="Times New Roman" w:eastAsia="Times New Roman" w:hAnsi="Times New Roman"/>
          <w:sz w:val="18"/>
          <w:szCs w:val="18"/>
          <w:b w:val="1"/>
          <w:bCs w:val="1"/>
          <w:color w:val="auto"/>
        </w:rPr>
        <w:t>Section 6.01</w:t>
      </w:r>
      <w:r>
        <w:rPr>
          <w:rFonts w:ascii="Times New Roman" w:cs="Times New Roman" w:eastAsia="Times New Roman" w:hAnsi="Times New Roman"/>
          <w:sz w:val="18"/>
          <w:szCs w:val="18"/>
          <w:color w:val="auto"/>
        </w:rPr>
        <w:t>,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- 68 -</w:t>
      </w:r>
    </w:p>
    <w:p>
      <w:pPr>
        <w:sectPr>
          <w:pgSz w:w="11900" w:h="16838" w:orient="portrait"/>
          <w:cols w:equalWidth="0" w:num="1">
            <w:col w:w="11240"/>
          </w:cols>
          <w:pgMar w:left="320" w:top="142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Section 6.03. Exclusion for Asset Transfers with Wholly Owned Subsidiaries.</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will not apply to any transfer of assets between or among the Company and any one or more of its Wholly Owned Subsidiaries not effected by merger or consolidation.</w:t>
      </w:r>
    </w:p>
    <w:p>
      <w:pPr>
        <w:spacing w:after="0" w:line="168"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Article 7</w:t>
      </w:r>
      <w:r>
        <w:rPr>
          <w:sz w:val="20"/>
          <w:szCs w:val="20"/>
          <w:color w:val="auto"/>
        </w:rPr>
        <w:tab/>
      </w:r>
      <w:r>
        <w:rPr>
          <w:rFonts w:ascii="Times New Roman" w:cs="Times New Roman" w:eastAsia="Times New Roman" w:hAnsi="Times New Roman"/>
          <w:sz w:val="17"/>
          <w:szCs w:val="17"/>
          <w:b w:val="1"/>
          <w:bCs w:val="1"/>
          <w:color w:val="auto"/>
        </w:rPr>
        <w:t>DEFAULTS AND REMEDIES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7.01. Events of Default.</w:t>
      </w:r>
    </w:p>
    <w:p>
      <w:pPr>
        <w:spacing w:after="0" w:line="225"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the occurrence of any of the following:</w:t>
      </w:r>
    </w:p>
    <w:p>
      <w:pPr>
        <w:spacing w:after="0" w:line="22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6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when due (whether at maturity, upon Redemption, Repurchase Upon Fundamental Change, Optional Repurchase or otherwise) of the principal of, or the Redemption Price, Fundamental Change Repurchase Price or Optional Repurchase Price for, any Note;</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for thirty (30) consecutive days in the payment when due of interest on any Note;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0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failure to deliver, when required by this Indenture, (x) a Fundamental Change Notice, or (y) a notice pursuant to </w:t>
      </w:r>
      <w:r>
        <w:rPr>
          <w:rFonts w:ascii="Times New Roman" w:cs="Times New Roman" w:eastAsia="Times New Roman" w:hAnsi="Times New Roman"/>
          <w:sz w:val="18"/>
          <w:szCs w:val="18"/>
          <w:b w:val="1"/>
          <w:bCs w:val="1"/>
          <w:color w:val="auto"/>
        </w:rPr>
        <w:t>Section 5.01(C)(i)(3)</w:t>
      </w:r>
      <w:r>
        <w:rPr>
          <w:rFonts w:ascii="Times New Roman" w:cs="Times New Roman" w:eastAsia="Times New Roman" w:hAnsi="Times New Roman"/>
          <w:sz w:val="18"/>
          <w:szCs w:val="18"/>
          <w:color w:val="auto"/>
        </w:rPr>
        <w:t>, or (z) a notice of a Make-Whole Fundamental Change (other than a Make-Whole Fundamental Change pursuant to</w:t>
      </w:r>
      <w:r>
        <w:rPr>
          <w:rFonts w:ascii="Times New Roman" w:cs="Times New Roman" w:eastAsia="Times New Roman" w:hAnsi="Times New Roman"/>
          <w:sz w:val="18"/>
          <w:szCs w:val="18"/>
          <w:b w:val="1"/>
          <w:bCs w:val="1"/>
          <w:color w:val="auto"/>
        </w:rPr>
        <w:t xml:space="preserve"> clause</w:t>
      </w:r>
    </w:p>
    <w:p>
      <w:pPr>
        <w:ind w:left="660" w:hanging="4"/>
        <w:spacing w:after="0" w:line="260" w:lineRule="auto"/>
        <w:tabs>
          <w:tab w:leader="none" w:pos="947"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of the definition thereof) pursuant to the provisions referred to in </w:t>
      </w:r>
      <w:r>
        <w:rPr>
          <w:rFonts w:ascii="Times New Roman" w:cs="Times New Roman" w:eastAsia="Times New Roman" w:hAnsi="Times New Roman"/>
          <w:sz w:val="18"/>
          <w:szCs w:val="18"/>
          <w:b w:val="1"/>
          <w:bCs w:val="1"/>
          <w:color w:val="auto"/>
        </w:rPr>
        <w:t>Section 5.07(C)</w:t>
      </w:r>
      <w:r>
        <w:rPr>
          <w:rFonts w:ascii="Times New Roman" w:cs="Times New Roman" w:eastAsia="Times New Roman" w:hAnsi="Times New Roman"/>
          <w:sz w:val="18"/>
          <w:szCs w:val="18"/>
          <w:color w:val="auto"/>
        </w:rPr>
        <w:t xml:space="preserve">, and, in the case of </w:t>
      </w:r>
      <w:r>
        <w:rPr>
          <w:rFonts w:ascii="Times New Roman" w:cs="Times New Roman" w:eastAsia="Times New Roman" w:hAnsi="Times New Roman"/>
          <w:sz w:val="18"/>
          <w:szCs w:val="18"/>
          <w:b w:val="1"/>
          <w:bCs w:val="1"/>
          <w:color w:val="auto"/>
        </w:rPr>
        <w:t>clause (x)</w:t>
      </w:r>
      <w:r>
        <w:rPr>
          <w:rFonts w:ascii="Times New Roman" w:cs="Times New Roman" w:eastAsia="Times New Roman" w:hAnsi="Times New Roman"/>
          <w:sz w:val="18"/>
          <w:szCs w:val="18"/>
          <w:color w:val="auto"/>
        </w:rPr>
        <w:t xml:space="preserve"> only, such failure is not cured within five (5) days after its occurrence;</w:t>
      </w:r>
    </w:p>
    <w:p>
      <w:pPr>
        <w:spacing w:after="0" w:line="177" w:lineRule="exact"/>
        <w:rPr>
          <w:rFonts w:ascii="Times New Roman" w:cs="Times New Roman" w:eastAsia="Times New Roman" w:hAnsi="Times New Roman"/>
          <w:sz w:val="18"/>
          <w:szCs w:val="18"/>
          <w:b w:val="1"/>
          <w:bCs w:val="1"/>
          <w:color w:val="auto"/>
        </w:rPr>
      </w:pPr>
    </w:p>
    <w:p>
      <w:pPr>
        <w:ind w:left="660" w:firstLine="644"/>
        <w:spacing w:after="0" w:line="286" w:lineRule="auto"/>
        <w:tabs>
          <w:tab w:leader="none" w:pos="175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 to convert a Note in accordance with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the exercise of the conversion right with respect thereto, if such default is not cured within five (5) days after its occurrence;</w:t>
      </w:r>
    </w:p>
    <w:p>
      <w:pPr>
        <w:spacing w:after="0" w:line="154"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obligations under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1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any of the Company’s obligations or agreements under this Indenture or the Notes (other than a default set forth in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(iv)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(v)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b w:val="1"/>
          <w:bCs w:val="1"/>
          <w:color w:val="auto"/>
        </w:rPr>
        <w:t xml:space="preserve"> Section 7.01(A)</w:t>
      </w:r>
      <w:r>
        <w:rPr>
          <w:rFonts w:ascii="Times New Roman" w:cs="Times New Roman" w:eastAsia="Times New Roman" w:hAnsi="Times New Roman"/>
          <w:sz w:val="18"/>
          <w:szCs w:val="18"/>
          <w:color w:val="auto"/>
        </w:rPr>
        <w:t>) where such default is not cured or waived within sixty (60) days after written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4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by the Company or any of its Significant Subsidiaries with respect to any one or more mortgages, agreements or other instruments under which there is outstanding, or by which there is secured or evidenced, any indebtedness for money borrowed of at least two hundred million dollars ($200,000,000) (or its foreign currency equivalent) in the aggregate of the Company or any of its Significant Subsidiaries, whether such indebtedness exists as of the Issue Date or is thereafter created, where such default:</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382"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failure to pay the principal of such indebtedness when due and payable at its stated maturity, upon required repurchase, upon declaration of acceleration or otherwise, in each case after the expiration of any applicable grace period; or</w:t>
      </w:r>
    </w:p>
    <w:p>
      <w:pPr>
        <w:spacing w:after="0" w:line="161"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such indebtedness becoming or being declared due and payable before its stated maturity,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6"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w:t>
      </w:r>
    </w:p>
    <w:p>
      <w:pPr>
        <w:sectPr>
          <w:pgSz w:w="11900" w:h="16838" w:orient="portrait"/>
          <w:cols w:equalWidth="0" w:num="1">
            <w:col w:w="11240"/>
          </w:cols>
          <w:pgMar w:left="320" w:top="1413" w:right="339" w:bottom="1440" w:gutter="0" w:footer="0" w:header="0"/>
        </w:sectPr>
      </w:pPr>
    </w:p>
    <w:bookmarkStart w:id="79" w:name="page80"/>
    <w:bookmarkEnd w:id="79"/>
    <w:p>
      <w:pPr>
        <w:ind w:left="640"/>
        <w:spacing w:after="0" w:line="282" w:lineRule="auto"/>
        <w:rPr>
          <w:sz w:val="20"/>
          <w:szCs w:val="20"/>
          <w:color w:val="auto"/>
        </w:rPr>
      </w:pPr>
      <w:r>
        <w:rPr>
          <w:rFonts w:ascii="Times New Roman" w:cs="Times New Roman" w:eastAsia="Times New Roman" w:hAnsi="Times New Roman"/>
          <w:sz w:val="18"/>
          <w:szCs w:val="18"/>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spacing w:after="0" w:line="162" w:lineRule="exact"/>
        <w:rPr>
          <w:sz w:val="20"/>
          <w:szCs w:val="20"/>
          <w:color w:val="auto"/>
        </w:rPr>
      </w:pPr>
    </w:p>
    <w:p>
      <w:pPr>
        <w:ind w:left="1820" w:hanging="536"/>
        <w:spacing w:after="0"/>
        <w:tabs>
          <w:tab w:leader="none" w:pos="1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Significant Subsidiaries, pursuant to or within the meaning of any Bankruptcy Law, either:</w:t>
      </w:r>
    </w:p>
    <w:p>
      <w:pPr>
        <w:spacing w:after="0" w:line="225"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225"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225"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any substantial part of its property;</w:t>
      </w:r>
    </w:p>
    <w:p>
      <w:pPr>
        <w:spacing w:after="0" w:line="225"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225"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comparable action under any foreign Bankruptcy Law; or</w:t>
      </w:r>
    </w:p>
    <w:p>
      <w:pPr>
        <w:spacing w:after="0" w:line="225"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or</w:t>
      </w:r>
    </w:p>
    <w:p>
      <w:pPr>
        <w:spacing w:after="0" w:line="225" w:lineRule="exact"/>
        <w:rPr>
          <w:rFonts w:ascii="Times New Roman" w:cs="Times New Roman" w:eastAsia="Times New Roman" w:hAnsi="Times New Roman"/>
          <w:sz w:val="18"/>
          <w:szCs w:val="18"/>
          <w:color w:val="auto"/>
        </w:rPr>
      </w:pPr>
    </w:p>
    <w:p>
      <w:pPr>
        <w:ind w:left="1720" w:hanging="436"/>
        <w:spacing w:after="0"/>
        <w:tabs>
          <w:tab w:leader="none" w:pos="1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either:</w:t>
      </w:r>
    </w:p>
    <w:p>
      <w:pPr>
        <w:spacing w:after="0" w:line="225"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any of its Significant Subsidiaries in an involuntary case or proceeding;</w:t>
      </w:r>
    </w:p>
    <w:p>
      <w:pPr>
        <w:spacing w:after="0" w:line="225" w:lineRule="exact"/>
        <w:rPr>
          <w:rFonts w:ascii="Times New Roman" w:cs="Times New Roman" w:eastAsia="Times New Roman" w:hAnsi="Times New Roman"/>
          <w:sz w:val="18"/>
          <w:szCs w:val="18"/>
          <w:color w:val="auto"/>
        </w:rPr>
      </w:pPr>
    </w:p>
    <w:p>
      <w:pPr>
        <w:ind w:left="1280" w:firstLine="652"/>
        <w:spacing w:after="0" w:line="282" w:lineRule="auto"/>
        <w:tabs>
          <w:tab w:leader="none" w:pos="232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of its Significant Subsidiaries, or for any substantial part of the property of the Company or any of its Significant Subsidiaries;</w:t>
      </w:r>
    </w:p>
    <w:p>
      <w:pPr>
        <w:spacing w:after="0" w:line="161"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the Company or any of its Significant Subsidiaries; or</w:t>
      </w:r>
    </w:p>
    <w:p>
      <w:pPr>
        <w:spacing w:after="0" w:line="225"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any similar relief under any foreign Bankruptcy Law,</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and, in each case under this </w:t>
      </w:r>
      <w:r>
        <w:rPr>
          <w:rFonts w:ascii="Times New Roman" w:cs="Times New Roman" w:eastAsia="Times New Roman" w:hAnsi="Times New Roman"/>
          <w:sz w:val="18"/>
          <w:szCs w:val="18"/>
          <w:b w:val="1"/>
          <w:bCs w:val="1"/>
          <w:color w:val="auto"/>
        </w:rPr>
        <w:t>Section 7.01(A)(ix)</w:t>
      </w:r>
      <w:r>
        <w:rPr>
          <w:rFonts w:ascii="Times New Roman" w:cs="Times New Roman" w:eastAsia="Times New Roman" w:hAnsi="Times New Roman"/>
          <w:sz w:val="18"/>
          <w:szCs w:val="18"/>
          <w:color w:val="auto"/>
        </w:rPr>
        <w:t>, such order or decree remains unstayed and in effect for at least sixty (60) days.</w:t>
      </w:r>
    </w:p>
    <w:p>
      <w:pPr>
        <w:spacing w:after="0" w:line="225" w:lineRule="exact"/>
        <w:rPr>
          <w:sz w:val="20"/>
          <w:szCs w:val="20"/>
          <w:color w:val="auto"/>
        </w:rPr>
      </w:pPr>
    </w:p>
    <w:p>
      <w:pPr>
        <w:jc w:val="both"/>
        <w:ind w:left="-20" w:firstLine="656"/>
        <w:spacing w:after="0" w:line="268" w:lineRule="auto"/>
        <w:tabs>
          <w:tab w:leader="none" w:pos="112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Cause Irrelevant</w:t>
      </w:r>
      <w:r>
        <w:rPr>
          <w:rFonts w:ascii="Times New Roman" w:cs="Times New Roman" w:eastAsia="Times New Roman" w:hAnsi="Times New Roman"/>
          <w:sz w:val="18"/>
          <w:szCs w:val="18"/>
          <w:color w:val="auto"/>
        </w:rPr>
        <w:t>. Each of the events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constitute an Event of Default regardless of the cause thereof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voluntary or involuntary or effected by operation of law or pursuant to any judgment, decree or order of any court or any order, rule or regulation of any administrative or governmental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- 70 -</w:t>
      </w:r>
    </w:p>
    <w:p>
      <w:pPr>
        <w:sectPr>
          <w:pgSz w:w="11900" w:h="16838" w:orient="portrait"/>
          <w:cols w:equalWidth="0" w:num="1">
            <w:col w:w="11220"/>
          </w:cols>
          <w:pgMar w:left="340" w:top="14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Section 7.02. Acceleration.</w:t>
      </w:r>
    </w:p>
    <w:p>
      <w:pPr>
        <w:spacing w:after="0" w:line="225" w:lineRule="exact"/>
        <w:rPr>
          <w:sz w:val="20"/>
          <w:szCs w:val="20"/>
          <w:color w:val="auto"/>
        </w:rPr>
      </w:pPr>
    </w:p>
    <w:p>
      <w:pPr>
        <w:jc w:val="both"/>
        <w:ind w:firstLine="656"/>
        <w:spacing w:after="0" w:line="268" w:lineRule="auto"/>
        <w:tabs>
          <w:tab w:leader="none" w:pos="117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Acceleration in Certain Circumstances</w:t>
      </w:r>
      <w:r>
        <w:rPr>
          <w:rFonts w:ascii="Times New Roman" w:cs="Times New Roman" w:eastAsia="Times New Roman" w:hAnsi="Times New Roman"/>
          <w:sz w:val="18"/>
          <w:szCs w:val="18"/>
          <w:color w:val="auto"/>
        </w:rPr>
        <w:t>. If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7.01(A)(ix)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Company (and not solely with respect to a Significant Subsidiary of the Company), then the principal amount of, and all accrued and unpaid interest on, all of the Notes then outstanding will immediately become due and payable without any further action or notice by any Person.</w:t>
      </w:r>
    </w:p>
    <w:p>
      <w:pPr>
        <w:spacing w:after="0" w:line="170" w:lineRule="exact"/>
        <w:rPr>
          <w:rFonts w:ascii="Times New Roman" w:cs="Times New Roman" w:eastAsia="Times New Roman" w:hAnsi="Times New Roman"/>
          <w:sz w:val="18"/>
          <w:szCs w:val="18"/>
          <w:color w:val="auto"/>
        </w:rPr>
      </w:pPr>
    </w:p>
    <w:p>
      <w:pPr>
        <w:jc w:val="both"/>
        <w:ind w:firstLine="656"/>
        <w:spacing w:after="0" w:line="259" w:lineRule="auto"/>
        <w:tabs>
          <w:tab w:leader="none" w:pos="10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Acceleration</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if an Event of Default (other than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7.01(A)(ix) </w:t>
      </w:r>
      <w:r>
        <w:rPr>
          <w:rFonts w:ascii="Times New Roman" w:cs="Times New Roman" w:eastAsia="Times New Roman" w:hAnsi="Times New Roman"/>
          <w:sz w:val="18"/>
          <w:szCs w:val="18"/>
          <w:color w:val="auto"/>
        </w:rPr>
        <w:t>with respect to the Company and not solely with respect to a Significant Subsidiary of the Company) occurs and is continuing, then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w:t>
      </w:r>
    </w:p>
    <w:p>
      <w:pPr>
        <w:spacing w:after="0" w:line="18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Rescission of Acceleration</w:t>
      </w:r>
      <w:r>
        <w:rPr>
          <w:rFonts w:ascii="Times New Roman" w:cs="Times New Roman" w:eastAsia="Times New Roman" w:hAnsi="Times New Roman"/>
          <w:sz w:val="18"/>
          <w:szCs w:val="18"/>
          <w:color w:val="auto"/>
        </w:rPr>
        <w:t>. Notwithstanding anything to the contrary in this Indenture or the Notes, the Holders of a majority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9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Cures</w:t>
      </w:r>
      <w:r>
        <w:rPr>
          <w:rFonts w:ascii="Times New Roman" w:cs="Times New Roman" w:eastAsia="Times New Roman" w:hAnsi="Times New Roman"/>
          <w:sz w:val="18"/>
          <w:szCs w:val="18"/>
          <w:color w:val="auto"/>
        </w:rPr>
        <w:t>. For the avoidance of doubt, any failure by the Company to provide any notice under this Indenture other than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Section 7.01(A)(iii) </w:t>
      </w:r>
      <w:r>
        <w:rPr>
          <w:rFonts w:ascii="Times New Roman" w:cs="Times New Roman" w:eastAsia="Times New Roman" w:hAnsi="Times New Roman"/>
          <w:sz w:val="18"/>
          <w:szCs w:val="18"/>
          <w:color w:val="auto"/>
        </w:rPr>
        <w:t>shall be subject to</w:t>
      </w:r>
      <w:r>
        <w:rPr>
          <w:rFonts w:ascii="Times New Roman" w:cs="Times New Roman" w:eastAsia="Times New Roman" w:hAnsi="Times New Roman"/>
          <w:sz w:val="18"/>
          <w:szCs w:val="18"/>
          <w:b w:val="1"/>
          <w:bCs w:val="1"/>
          <w:color w:val="auto"/>
        </w:rPr>
        <w:t xml:space="preserve"> Section 7.01(A)(vi) </w:t>
      </w:r>
      <w:r>
        <w:rPr>
          <w:rFonts w:ascii="Times New Roman" w:cs="Times New Roman" w:eastAsia="Times New Roman" w:hAnsi="Times New Roman"/>
          <w:sz w:val="18"/>
          <w:szCs w:val="18"/>
          <w:color w:val="auto"/>
        </w:rPr>
        <w:t>(including the sixty (60) day cure period contained therein), and any related Default or 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Default shall be deemed cured upon delivery of such notice to the applicable recipient prior to (i) the expiration of such sixty (60) day period provided for in </w:t>
      </w:r>
      <w:r>
        <w:rPr>
          <w:rFonts w:ascii="Times New Roman" w:cs="Times New Roman" w:eastAsia="Times New Roman" w:hAnsi="Times New Roman"/>
          <w:sz w:val="18"/>
          <w:szCs w:val="18"/>
          <w:b w:val="1"/>
          <w:bCs w:val="1"/>
          <w:color w:val="auto"/>
        </w:rPr>
        <w:t>Section 7.01(A)(vi)</w:t>
      </w:r>
      <w:r>
        <w:rPr>
          <w:rFonts w:ascii="Times New Roman" w:cs="Times New Roman" w:eastAsia="Times New Roman" w:hAnsi="Times New Roman"/>
          <w:sz w:val="18"/>
          <w:szCs w:val="18"/>
          <w:color w:val="auto"/>
        </w:rPr>
        <w:t xml:space="preserve"> or (ii) if later, the delivery of a notice of acceleration with respect to such Default or Event of Default, in each case whether or not the events or circumstances that are the subject of such notice have already occurred at the time such notice is given.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7.03. Sole Remedy for a Failure to Report.</w:t>
      </w:r>
    </w:p>
    <w:p>
      <w:pPr>
        <w:spacing w:after="0" w:line="227" w:lineRule="exact"/>
        <w:rPr>
          <w:sz w:val="20"/>
          <w:szCs w:val="20"/>
          <w:color w:val="auto"/>
        </w:rPr>
      </w:pPr>
    </w:p>
    <w:p>
      <w:pPr>
        <w:jc w:val="both"/>
        <w:ind w:firstLine="656"/>
        <w:spacing w:after="0" w:line="255" w:lineRule="auto"/>
        <w:tabs>
          <w:tab w:leader="none" w:pos="113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Notwithstanding anything to the contrary in this Indenture or the Notes, the Company may elect that the sole remedy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of Default (a “</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7.01(A)(vi)</w:t>
      </w:r>
      <w:r>
        <w:rPr>
          <w:rFonts w:ascii="Times New Roman" w:cs="Times New Roman" w:eastAsia="Times New Roman" w:hAnsi="Times New Roman"/>
          <w:sz w:val="18"/>
          <w:szCs w:val="18"/>
          <w:color w:val="auto"/>
        </w:rPr>
        <w:t xml:space="preserve"> arising from the Company’s failure to comply with </w:t>
      </w:r>
      <w:r>
        <w:rPr>
          <w:rFonts w:ascii="Times New Roman" w:cs="Times New Roman" w:eastAsia="Times New Roman" w:hAnsi="Times New Roman"/>
          <w:sz w:val="18"/>
          <w:szCs w:val="18"/>
          <w:b w:val="1"/>
          <w:bCs w:val="1"/>
          <w:color w:val="auto"/>
        </w:rPr>
        <w:t>Section 3.02</w:t>
      </w:r>
      <w:r>
        <w:rPr>
          <w:rFonts w:ascii="Times New Roman" w:cs="Times New Roman" w:eastAsia="Times New Roman" w:hAnsi="Times New Roman"/>
          <w:sz w:val="18"/>
          <w:szCs w:val="18"/>
          <w:color w:val="auto"/>
        </w:rPr>
        <w:t xml:space="preserve"> will, for each of the first three hundred sixty-five (365)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cs="Times New Roman" w:eastAsia="Times New Roman" w:hAnsi="Times New Roman"/>
          <w:sz w:val="18"/>
          <w:szCs w:val="18"/>
          <w:b w:val="1"/>
          <w:bCs w:val="1"/>
          <w:color w:val="auto"/>
        </w:rPr>
        <w:t xml:space="preserve">Section 7.02 </w:t>
      </w:r>
      <w:r>
        <w:rPr>
          <w:rFonts w:ascii="Times New Roman" w:cs="Times New Roman" w:eastAsia="Times New Roman" w:hAnsi="Times New Roman"/>
          <w:sz w:val="18"/>
          <w:szCs w:val="18"/>
          <w:color w:val="auto"/>
        </w:rPr>
        <w:t>on account of the relevant Reporting Event of Default from, and including, the three hundred sixty-sixth (366th) calendar day on which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Reporting Event of Default has occurred and is continuing or if the Company fails to pay any accrued and unpaid Special Interest when due; and (ii) Special Interest will cease to accrue on any Notes from, and including, such three hundred sixty-sixth (366th) calendar day (it being understood that interest on any defaulted Special Interest will nonetheless accrue pursuant to </w:t>
      </w:r>
      <w:r>
        <w:rPr>
          <w:rFonts w:ascii="Times New Roman" w:cs="Times New Roman" w:eastAsia="Times New Roman" w:hAnsi="Times New Roman"/>
          <w:sz w:val="18"/>
          <w:szCs w:val="18"/>
          <w:b w:val="1"/>
          <w:bCs w:val="1"/>
          <w:color w:val="auto"/>
        </w:rPr>
        <w:t>Section 2.05(B)</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w:t>
      </w:r>
    </w:p>
    <w:p>
      <w:pPr>
        <w:sectPr>
          <w:pgSz w:w="11900" w:h="16838" w:orient="portrait"/>
          <w:cols w:equalWidth="0" w:num="1">
            <w:col w:w="11240"/>
          </w:cols>
          <w:pgMar w:left="320" w:top="1413" w:right="339" w:bottom="1440" w:gutter="0" w:footer="0" w:header="0"/>
        </w:sectPr>
      </w:pPr>
    </w:p>
    <w:bookmarkStart w:id="81" w:name="page82"/>
    <w:bookmarkEnd w:id="81"/>
    <w:p>
      <w:pPr>
        <w:jc w:val="both"/>
        <w:ind w:firstLine="656"/>
        <w:spacing w:after="0" w:line="254" w:lineRule="auto"/>
        <w:tabs>
          <w:tab w:leader="none" w:pos="112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Amount and Payment of Special Interest</w:t>
      </w:r>
      <w:r>
        <w:rPr>
          <w:rFonts w:ascii="Times New Roman" w:cs="Times New Roman" w:eastAsia="Times New Roman" w:hAnsi="Times New Roman"/>
          <w:sz w:val="18"/>
          <w:szCs w:val="18"/>
          <w:color w:val="auto"/>
        </w:rPr>
        <w:t>. Any Special Interest that accrues on a Note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payable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same dates and in the same manner as the Stated Interest on such Note and will accrue at a rate per annum equal to one quarter of one percent (0.25%) of the principal amount thereof for the first one hundred eighty (180) days on which Special Interest accrues and, thereafter, at a rate per annum equal to one half of one percent (0.50%) of the principal amount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no event will Special Interest, together with any Additional Interest, accrue on any day on a Note at a combined rate per annum that exceeds one percent (1.00%). For the avoidance of doubt, any Special Interest that accrues on a Note will be in addition to the Stated Interest that accrues on such Note and, subject to the proviso of the immediately preceding sentence, in addition to any Additional Interest that accrues on such Note. If a Reporting Event of Default giving rise to the Company’s obligation to pay Special Interest pursuant to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color w:val="auto"/>
        </w:rPr>
        <w:t xml:space="preserve"> initially occurs on or after the Close of Business on a Regular Record Date and prior to the Open of Business on the corresponding Interest Payment Date, the Special Interest that accrues during such period will be due on the Interest Payment Date next succeeding such corresponding Interest Payment Date, and no interest shall accrue in respect of such delay.</w:t>
      </w:r>
    </w:p>
    <w:p>
      <w:pPr>
        <w:spacing w:after="0" w:line="185" w:lineRule="exact"/>
        <w:rPr>
          <w:rFonts w:ascii="Times New Roman" w:cs="Times New Roman" w:eastAsia="Times New Roman" w:hAnsi="Times New Roman"/>
          <w:sz w:val="18"/>
          <w:szCs w:val="18"/>
          <w:color w:val="auto"/>
        </w:rPr>
      </w:pPr>
    </w:p>
    <w:p>
      <w:pPr>
        <w:jc w:val="both"/>
        <w:ind w:firstLine="656"/>
        <w:spacing w:after="0" w:line="259" w:lineRule="auto"/>
        <w:tabs>
          <w:tab w:leader="none" w:pos="110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Election</w:t>
      </w:r>
      <w:r>
        <w:rPr>
          <w:rFonts w:ascii="Times New Roman" w:cs="Times New Roman" w:eastAsia="Times New Roman" w:hAnsi="Times New Roman"/>
          <w:sz w:val="18"/>
          <w:szCs w:val="18"/>
          <w:color w:val="auto"/>
        </w:rPr>
        <w:t>. To make the election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color w:val="auto"/>
        </w:rPr>
        <w:t>, the Company must send to the Holders, the Trustee and the Paying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before the date on which each Reporting Event of Default first occurs, a written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For the avoidance of doubt, if (x) the Company timely elects to pay Special Interest pursuant to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color w:val="auto"/>
        </w:rPr>
        <w:t xml:space="preserve"> as the sole remedy during the first three hundred sixty-five (365) calendar days after the occurrence of a Reporting Event of Default in accordance with the immediately preceding paragraph,</w:t>
      </w:r>
    </w:p>
    <w:p>
      <w:pPr>
        <w:spacing w:after="0" w:line="1" w:lineRule="exact"/>
        <w:rPr>
          <w:sz w:val="20"/>
          <w:szCs w:val="20"/>
          <w:color w:val="auto"/>
        </w:rPr>
      </w:pPr>
    </w:p>
    <w:p>
      <w:pPr>
        <w:jc w:val="both"/>
        <w:ind w:firstLine="8"/>
        <w:spacing w:after="0" w:line="252" w:lineRule="auto"/>
        <w:tabs>
          <w:tab w:leader="none" w:pos="2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pays such Special Interest in accordance with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xml:space="preserve"> and this Indenture and (z) the Company files the delinquent reports that were required to be filed and that gave rise to the relevant Reporting Event of Default (in each case in clause (z) pursuant to the provisions set forth in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3.02</w:t>
      </w:r>
      <w:r>
        <w:rPr>
          <w:rFonts w:ascii="Times New Roman" w:cs="Times New Roman" w:eastAsia="Times New Roman" w:hAnsi="Times New Roman"/>
          <w:sz w:val="18"/>
          <w:szCs w:val="18"/>
          <w:color w:val="auto"/>
        </w:rPr>
        <w:t>) prior to the three hundred sixty-sixth (366th) calendar day after the occurrence of such Reporting Event of Default (or prior to the delivery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related notice of acceleration on or after such three hundred sixty-sixth (366th) calendar day), then the Event of Default related to such Reporting Event of Default shall be deemed cured and the Notes shall not be subject to acceleration as a result of the initial failure to comply with the Company’s obligations as set forth in </w:t>
      </w:r>
      <w:r>
        <w:rPr>
          <w:rFonts w:ascii="Times New Roman" w:cs="Times New Roman" w:eastAsia="Times New Roman" w:hAnsi="Times New Roman"/>
          <w:sz w:val="18"/>
          <w:szCs w:val="18"/>
          <w:b w:val="1"/>
          <w:bCs w:val="1"/>
          <w:color w:val="auto"/>
        </w:rPr>
        <w:t>Section 3.02</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56"/>
        <w:spacing w:after="0" w:line="262" w:lineRule="auto"/>
        <w:tabs>
          <w:tab w:leader="none" w:pos="107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to Trustee and Paying Agent; Trustee’s Disclaimer</w:t>
      </w:r>
      <w:r>
        <w:rPr>
          <w:rFonts w:ascii="Times New Roman" w:cs="Times New Roman" w:eastAsia="Times New Roman" w:hAnsi="Times New Roman"/>
          <w:sz w:val="18"/>
          <w:szCs w:val="18"/>
          <w:color w:val="auto"/>
        </w:rPr>
        <w:t>. If Special Interest accrues on any Note, then, no later than five (5) Business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each date on which such Special Interest is to be paid, the Company will deliver an Officer’s Certificate to the Trustee and the Paying Agent stating</w:t>
      </w:r>
    </w:p>
    <w:p>
      <w:pPr>
        <w:ind w:firstLine="8"/>
        <w:spacing w:after="0" w:line="260" w:lineRule="auto"/>
        <w:tabs>
          <w:tab w:leader="none" w:pos="21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spacing w:after="0" w:line="177" w:lineRule="exact"/>
        <w:rPr>
          <w:rFonts w:ascii="Times New Roman" w:cs="Times New Roman" w:eastAsia="Times New Roman" w:hAnsi="Times New Roman"/>
          <w:sz w:val="18"/>
          <w:szCs w:val="18"/>
          <w:color w:val="auto"/>
        </w:rPr>
      </w:pPr>
    </w:p>
    <w:p>
      <w:pPr>
        <w:ind w:firstLine="656"/>
        <w:spacing w:after="0" w:line="286" w:lineRule="auto"/>
        <w:tabs>
          <w:tab w:leader="none" w:pos="108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Effect on Other Events of Default</w:t>
      </w:r>
      <w:r>
        <w:rPr>
          <w:rFonts w:ascii="Times New Roman" w:cs="Times New Roman" w:eastAsia="Times New Roman" w:hAnsi="Times New Roman"/>
          <w:sz w:val="18"/>
          <w:szCs w:val="18"/>
          <w:color w:val="auto"/>
        </w:rPr>
        <w:t>. No election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 Reporting Event of Default will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any Holder with respect to any other Event of Default, including with respect to any other Reporting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ectPr>
          <w:pgSz w:w="11900" w:h="16838" w:orient="portrait"/>
          <w:cols w:equalWidth="0" w:num="1">
            <w:col w:w="11240"/>
          </w:cols>
          <w:pgMar w:left="320" w:top="141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Section 7.04. Other Remedies.</w:t>
      </w:r>
    </w:p>
    <w:p>
      <w:pPr>
        <w:spacing w:after="0" w:line="227" w:lineRule="exact"/>
        <w:rPr>
          <w:sz w:val="20"/>
          <w:szCs w:val="20"/>
          <w:color w:val="auto"/>
        </w:rPr>
      </w:pPr>
    </w:p>
    <w:p>
      <w:pPr>
        <w:ind w:firstLine="656"/>
        <w:spacing w:after="0" w:line="284" w:lineRule="auto"/>
        <w:tabs>
          <w:tab w:leader="none" w:pos="113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May Pursue All Remedies</w:t>
      </w:r>
      <w:r>
        <w:rPr>
          <w:rFonts w:ascii="Times New Roman" w:cs="Times New Roman" w:eastAsia="Times New Roman" w:hAnsi="Times New Roman"/>
          <w:sz w:val="18"/>
          <w:szCs w:val="18"/>
          <w:color w:val="auto"/>
        </w:rPr>
        <w:t>. If an Event of Default occurs and is continuing, then the Trustee may pursue any available remedy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 the payment of any amounts due with respect to the Notes or to enforce the performance of any provision of this Indenture or the Notes.</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106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Procedural Matters</w:t>
      </w:r>
      <w:r>
        <w:rPr>
          <w:rFonts w:ascii="Times New Roman" w:cs="Times New Roman" w:eastAsia="Times New Roman" w:hAnsi="Times New Roman"/>
          <w:sz w:val="18"/>
          <w:szCs w:val="18"/>
          <w:color w:val="auto"/>
        </w:rPr>
        <w:t>. The Trustee may maintain a proceeding even if it does not possess any of the Notes or does not produce any of them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7.05. Waiver of Past Defaults.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An Event of Default pursuant to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b w:val="1"/>
          <w:bCs w:val="1"/>
          <w:color w:val="auto"/>
        </w:rPr>
        <w:t>clause (vi)</w:t>
      </w:r>
      <w:r>
        <w:rPr>
          <w:rFonts w:ascii="Times New Roman" w:cs="Times New Roman" w:eastAsia="Times New Roman" w:hAnsi="Times New Roman"/>
          <w:sz w:val="18"/>
          <w:szCs w:val="18"/>
          <w:color w:val="auto"/>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7.06. Control by Majority.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last sentence of this paragraph, 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the Trustee determines may be unduly prejudicial to the rights of other Holders (it being understood that the Trustee does not have an affirmative duty to determine whether any direction is prejudicial to any Holder) or may involve the Trustee in liability. Prior to taking any action under this Indenture, the Trustee is entitled to security and indemnity satisfactory to the Trustee against any loss, liability or expense to the Trustee that may result from the Trustee’s following such direction.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- 73 -</w:t>
      </w:r>
    </w:p>
    <w:p>
      <w:pPr>
        <w:sectPr>
          <w:pgSz w:w="11900" w:h="16838" w:orient="portrait"/>
          <w:cols w:equalWidth="0" w:num="1">
            <w:col w:w="11240"/>
          </w:cols>
          <w:pgMar w:left="320" w:top="141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Section 7.07. Limitation on Suits.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 Holder may pursue any remedy with respect to this Indenture or the Notes (except to enforce (x) its rights to receive the principal of, or the Redemption Price, Fundamental Change Repurchase Price or Optional Repurchase Price for, or interest on, any Notes; or (y) the Company’s obligations to convert any Notes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unless:</w:t>
      </w:r>
    </w:p>
    <w:p>
      <w:pPr>
        <w:spacing w:after="0" w:line="176" w:lineRule="exact"/>
        <w:rPr>
          <w:sz w:val="20"/>
          <w:szCs w:val="20"/>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delivered to the Trustee notice that an Event of Default is continuing;</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11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twenty five percent (25%) in aggregate principal amount of the Notes then outstanding deliver a written request to the Trustee to pursue such remedy;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offer and, if requested, provide to the Trustee security and indemnity satisfactory to the Trustee against any loss, liability or expense to the Trustee that may result from the Trustee’s following such request;</w:t>
      </w:r>
    </w:p>
    <w:p>
      <w:pPr>
        <w:spacing w:after="0" w:line="161"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such request within sixty (60) calendar days after its receipt of such request and such offer of security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and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07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sixty (60) calendar day period, Holders of a majority in aggregate principal amount of the Notes then outstanding do not deliver to the Trustee a direction that is inconsistent with such request.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or to obtain a preference or priority over another 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will have no duty to determine whether any Holder’s use of this Indenture complies with the preceding sentence.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7.08. Absolute Right of Holders to Institute Suit for the Enforcement of the Right to Receive Payment and Conversion Consideration.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or the Notes (but without limiting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the right of each Holder of a Note to bring suit for the enforcement of any payment or delivery, as applicable, of the principal of, or the Redemption Price, Fundamental Change Repurchase Price or Optional Repurchase Price for, or any interest on, or the Conversion Consideration due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conversion of, such Note on or after the respective due dates therefor provided in this Indenture and the Notes, will not be impaired or affected without the consent of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ectPr>
          <w:pgSz w:w="11900" w:h="16838" w:orient="portrait"/>
          <w:cols w:equalWidth="0" w:num="1">
            <w:col w:w="11240"/>
          </w:cols>
          <w:pgMar w:left="320" w:top="141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Section 7.09. Collection Suit by Trustee.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Trustee will have the right, upon the occurrence and continuance of an Event of Default pursuant to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to recover judgment in its own name and as trustee of an express trust against the Company for the total unpaid or undelivered principal of, or Redemption Price, Fundamental Change Repurchase Price or Optional Repurchase Price for, or interest on, or Conversion Consideration due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7.10. Trustee May File Proofs of Claim.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To the extent that the payment of any such compensation, expenses, disbursements, advances and other amounts out of the estate in such proceeding, is denied for any reason, payment of the same will be secured by a lien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7.11. Priorities.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Trustee will pay or deliver in the following order any money or other property that it collects pursuant to this </w:t>
      </w:r>
      <w:r>
        <w:rPr>
          <w:rFonts w:ascii="Times New Roman" w:cs="Times New Roman" w:eastAsia="Times New Roman" w:hAnsi="Times New Roman"/>
          <w:sz w:val="18"/>
          <w:szCs w:val="18"/>
          <w:b w:val="1"/>
          <w:bCs w:val="1"/>
          <w:color w:val="auto"/>
        </w:rPr>
        <w:t>Article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First: </w:t>
      </w:r>
      <w:r>
        <w:rPr>
          <w:rFonts w:ascii="Times New Roman" w:cs="Times New Roman" w:eastAsia="Times New Roman" w:hAnsi="Times New Roman"/>
          <w:sz w:val="18"/>
          <w:szCs w:val="18"/>
          <w:color w:val="auto"/>
        </w:rPr>
        <w:t>to the Trustee, the other Note Agents and each of their respective agents and attorneys for amounts due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payment of all fees, compensation, expenses and liabilities incurred, and all advances made, by the Trustee and the Note Agents and the costs and expenses of collection;</w:t>
      </w:r>
    </w:p>
    <w:p>
      <w:pPr>
        <w:spacing w:after="0" w:line="17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Second: </w:t>
      </w:r>
      <w:r>
        <w:rPr>
          <w:rFonts w:ascii="Times New Roman" w:cs="Times New Roman" w:eastAsia="Times New Roman" w:hAnsi="Times New Roman"/>
          <w:sz w:val="18"/>
          <w:szCs w:val="18"/>
          <w:color w:val="auto"/>
        </w:rPr>
        <w:t>to Holders for unpaid amounts or other property due on the Notes, including the principal of, or the Redemption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Fundamental Change Repurchase Price or Optional Repurchase Price for, or any interest on, or any Conversion Consideration due upon conversion of, the Notes, ratably, and without preference or priority of any kind, according to such amounts or other property due and payable on all of the Notes; and</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i w:val="1"/>
          <w:iCs w:val="1"/>
          <w:color w:val="auto"/>
        </w:rPr>
        <w:t>Third:</w:t>
      </w:r>
      <w:r>
        <w:rPr>
          <w:sz w:val="20"/>
          <w:szCs w:val="20"/>
          <w:color w:val="auto"/>
        </w:rPr>
        <w:tab/>
      </w:r>
      <w:r>
        <w:rPr>
          <w:rFonts w:ascii="Times New Roman" w:cs="Times New Roman" w:eastAsia="Times New Roman" w:hAnsi="Times New Roman"/>
          <w:sz w:val="18"/>
          <w:szCs w:val="18"/>
          <w:color w:val="auto"/>
        </w:rPr>
        <w:t>to the Company or such other Person as a court of competent jurisdiction directs.</w:t>
      </w:r>
    </w:p>
    <w:p>
      <w:pPr>
        <w:spacing w:after="0" w:line="22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 Trustee may fix a record date and payment date for any payment or delivery to the Holders pursuant to this </w:t>
      </w:r>
      <w:r>
        <w:rPr>
          <w:rFonts w:ascii="Times New Roman" w:cs="Times New Roman" w:eastAsia="Times New Roman" w:hAnsi="Times New Roman"/>
          <w:sz w:val="18"/>
          <w:szCs w:val="18"/>
          <w:b w:val="1"/>
          <w:bCs w:val="1"/>
          <w:color w:val="auto"/>
        </w:rPr>
        <w:t>Section 7.11</w:t>
      </w:r>
      <w:r>
        <w:rPr>
          <w:rFonts w:ascii="Times New Roman" w:cs="Times New Roman" w:eastAsia="Times New Roman" w:hAnsi="Times New Roman"/>
          <w:sz w:val="18"/>
          <w:szCs w:val="18"/>
          <w:color w:val="auto"/>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ectPr>
          <w:pgSz w:w="11900" w:h="16838" w:orient="portrait"/>
          <w:cols w:equalWidth="0" w:num="1">
            <w:col w:w="11240"/>
          </w:cols>
          <w:pgMar w:left="320" w:top="141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Section 7.12. Undertaking for Costs.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b w:val="1"/>
          <w:bCs w:val="1"/>
          <w:color w:val="auto"/>
        </w:rPr>
        <w:t>Section 7.12</w:t>
      </w:r>
      <w:r>
        <w:rPr>
          <w:rFonts w:ascii="Times New Roman" w:cs="Times New Roman" w:eastAsia="Times New Roman" w:hAnsi="Times New Roman"/>
          <w:sz w:val="18"/>
          <w:szCs w:val="18"/>
          <w:color w:val="auto"/>
        </w:rPr>
        <w:t xml:space="preserve"> does not apply to any suit by the Trustee, any suit by a Holder pursuant to </w:t>
      </w:r>
      <w:r>
        <w:rPr>
          <w:rFonts w:ascii="Times New Roman" w:cs="Times New Roman" w:eastAsia="Times New Roman" w:hAnsi="Times New Roman"/>
          <w:sz w:val="18"/>
          <w:szCs w:val="18"/>
          <w:b w:val="1"/>
          <w:bCs w:val="1"/>
          <w:color w:val="auto"/>
        </w:rPr>
        <w:t>Section 7.08</w:t>
      </w:r>
      <w:r>
        <w:rPr>
          <w:rFonts w:ascii="Times New Roman" w:cs="Times New Roman" w:eastAsia="Times New Roman" w:hAnsi="Times New Roman"/>
          <w:sz w:val="18"/>
          <w:szCs w:val="18"/>
          <w:color w:val="auto"/>
        </w:rPr>
        <w:t xml:space="preserve"> or any suit by one or more Holders of more than ten percent (10%) in aggregate principal amount of the Notes then outstanding.</w:t>
      </w:r>
    </w:p>
    <w:p>
      <w:pPr>
        <w:spacing w:after="0" w:line="197" w:lineRule="exact"/>
        <w:rPr>
          <w:sz w:val="20"/>
          <w:szCs w:val="20"/>
          <w:color w:val="auto"/>
        </w:rPr>
      </w:pPr>
    </w:p>
    <w:p>
      <w:pPr>
        <w:ind w:left="3180"/>
        <w:spacing w:after="0"/>
        <w:tabs>
          <w:tab w:leader="none" w:pos="4000" w:val="left"/>
        </w:tabs>
        <w:rPr>
          <w:sz w:val="20"/>
          <w:szCs w:val="20"/>
          <w:color w:val="auto"/>
        </w:rPr>
      </w:pPr>
      <w:r>
        <w:rPr>
          <w:rFonts w:ascii="Times New Roman" w:cs="Times New Roman" w:eastAsia="Times New Roman" w:hAnsi="Times New Roman"/>
          <w:sz w:val="18"/>
          <w:szCs w:val="18"/>
          <w:b w:val="1"/>
          <w:bCs w:val="1"/>
          <w:color w:val="auto"/>
        </w:rPr>
        <w:t>Article 8</w:t>
      </w:r>
      <w:r>
        <w:rPr>
          <w:sz w:val="20"/>
          <w:szCs w:val="20"/>
          <w:color w:val="auto"/>
        </w:rPr>
        <w:tab/>
      </w:r>
      <w:r>
        <w:rPr>
          <w:rFonts w:ascii="Times New Roman" w:cs="Times New Roman" w:eastAsia="Times New Roman" w:hAnsi="Times New Roman"/>
          <w:sz w:val="17"/>
          <w:szCs w:val="17"/>
          <w:b w:val="1"/>
          <w:bCs w:val="1"/>
          <w:color w:val="auto"/>
        </w:rPr>
        <w:t>AMENDMENTS, SUPPLEMENTS AND WAIVERS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8.01. Without the Consent of Holders.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 the Company and the Trustee may amend or supplement this Indenture or the Notes without the consent of any Holder to:</w:t>
      </w:r>
    </w:p>
    <w:p>
      <w:pPr>
        <w:spacing w:after="0" w:line="159" w:lineRule="exact"/>
        <w:rPr>
          <w:sz w:val="20"/>
          <w:szCs w:val="20"/>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omission, defect or inconsistency in this Indenture or the Notes;</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Company’s obligations under this Indenture or the Notes;</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17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Company’s covenants or Events of Default for the benefit of the Holders or surrender any right or power conferred on the Company under this Indenture;</w:t>
      </w:r>
    </w:p>
    <w:p>
      <w:pPr>
        <w:spacing w:after="0" w:line="157"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the assumption of the Company’s obligations under this Indenture and the Notes pursuant to, and in compliance with,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supplemental indentures pursuant to, and in accordance with,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in connection with a Common Stock Change Event;</w:t>
      </w:r>
    </w:p>
    <w:p>
      <w:pPr>
        <w:spacing w:after="0" w:line="227" w:lineRule="exact"/>
        <w:rPr>
          <w:rFonts w:ascii="Times New Roman" w:cs="Times New Roman" w:eastAsia="Times New Roman" w:hAnsi="Times New Roman"/>
          <w:sz w:val="18"/>
          <w:szCs w:val="18"/>
          <w:color w:val="auto"/>
        </w:rPr>
      </w:pPr>
    </w:p>
    <w:p>
      <w:pPr>
        <w:ind w:firstLine="656"/>
        <w:spacing w:after="0" w:line="284" w:lineRule="auto"/>
        <w:tabs>
          <w:tab w:leader="none" w:pos="111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elect or eliminate any Settlement Method or Specified Dollar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election or elimination will affect any Settlement Method theretofore elected (or deemed to be elected) with respect to any Note pursuant to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or provide for the acceptance of the appointment, under this Indenture, of a successor Trustee;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3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this Indenture and the Notes to the “Description of Notes” section of the Company’s preliminary offering memorandum, dated November 11, 2025, as supplemented by the related pricing term sheet, dated November 11, 2025;</w:t>
      </w:r>
    </w:p>
    <w:p>
      <w:pPr>
        <w:spacing w:after="0" w:line="157"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or confirm the issuance of additional Notes pursuant to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656"/>
        <w:spacing w:after="0" w:line="282" w:lineRule="auto"/>
        <w:tabs>
          <w:tab w:leader="none" w:pos="113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any qualification of this Indenture or any supplemental indenture under the Trust Indenture Act, as then in effect;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9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to this Indenture or the Notes that does not, individually or in the aggregate with all other such changes, adversely affect the rights of the Holders, as such, in any material respect, as determined by the Company in good faith.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w:t>
      </w:r>
    </w:p>
    <w:p>
      <w:pPr>
        <w:sectPr>
          <w:pgSz w:w="11900" w:h="16838" w:orient="portrait"/>
          <w:cols w:equalWidth="0" w:num="1">
            <w:col w:w="11240"/>
          </w:cols>
          <w:pgMar w:left="320" w:top="1413" w:right="339" w:bottom="1440" w:gutter="0" w:footer="0" w:header="0"/>
        </w:sectPr>
      </w:pPr>
    </w:p>
    <w:bookmarkStart w:id="86" w:name="page87"/>
    <w:bookmarkEnd w:id="86"/>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At the written request of any Holder of a Note or owner of a beneficial interest in a Global Note, the Company will provide a copy of the “Description of Notes” section and pricing term sheet referred to in </w:t>
      </w:r>
      <w:r>
        <w:rPr>
          <w:rFonts w:ascii="Times New Roman" w:cs="Times New Roman" w:eastAsia="Times New Roman" w:hAnsi="Times New Roman"/>
          <w:sz w:val="18"/>
          <w:szCs w:val="18"/>
          <w:b w:val="1"/>
          <w:bCs w:val="1"/>
          <w:color w:val="auto"/>
        </w:rPr>
        <w:t>Section 8.01(I)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8.02. With the Consent of Holders.</w:t>
      </w:r>
    </w:p>
    <w:p>
      <w:pPr>
        <w:spacing w:after="0" w:line="225" w:lineRule="exact"/>
        <w:rPr>
          <w:sz w:val="20"/>
          <w:szCs w:val="20"/>
          <w:color w:val="auto"/>
        </w:rPr>
      </w:pPr>
    </w:p>
    <w:p>
      <w:pPr>
        <w:jc w:val="both"/>
        <w:ind w:firstLine="656"/>
        <w:spacing w:after="0" w:line="259" w:lineRule="auto"/>
        <w:tabs>
          <w:tab w:leader="none" w:pos="113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8.01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immediately following sentence, the Company and the Trustee may,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without the consent of each affected Holder, no amendment or supplement to this Indenture or the Notes, or waiver of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or the Notes, may:</w:t>
      </w:r>
    </w:p>
    <w:p>
      <w:pPr>
        <w:spacing w:after="0" w:line="183"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extend the stated maturity, of any Note;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78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Fundamental Change Repurchase Price or Optional Repurchase Price for any Note or change the times at which, or the circumstances under which, the Notes may or will be redeemed or repurchased by the Company;</w:t>
      </w:r>
    </w:p>
    <w:p>
      <w:pPr>
        <w:spacing w:after="0" w:line="161"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for the payment, of interest on any Note;</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the conversion rights of any Note;</w:t>
      </w:r>
    </w:p>
    <w:p>
      <w:pPr>
        <w:spacing w:after="0" w:line="22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impair the rights of any Holder set forth in </w:t>
      </w:r>
      <w:r>
        <w:rPr>
          <w:rFonts w:ascii="Times New Roman" w:cs="Times New Roman" w:eastAsia="Times New Roman" w:hAnsi="Times New Roman"/>
          <w:sz w:val="18"/>
          <w:szCs w:val="18"/>
          <w:b w:val="1"/>
          <w:bCs w:val="1"/>
          <w:color w:val="auto"/>
        </w:rPr>
        <w:t>Section 7.08</w:t>
      </w:r>
      <w:r>
        <w:rPr>
          <w:rFonts w:ascii="Times New Roman" w:cs="Times New Roman" w:eastAsia="Times New Roman" w:hAnsi="Times New Roman"/>
          <w:sz w:val="18"/>
          <w:szCs w:val="18"/>
          <w:color w:val="auto"/>
        </w:rPr>
        <w:t xml:space="preserve"> (as such section is in effect on the Issue Date);</w:t>
      </w:r>
    </w:p>
    <w:p>
      <w:pPr>
        <w:spacing w:after="0" w:line="229"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or at a place of payment, other than that stated in this Indenture or the Note;</w:t>
      </w:r>
    </w:p>
    <w:p>
      <w:pPr>
        <w:spacing w:after="0" w:line="225"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any amendment, supplement, waiver or other modification; or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76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direct or indirect change to any amendment, supplement, waiver or modification provision of this Indenture or the Notes that requires the consent of each affected Holder.</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the avoidance of doubt, pursuant to </w:t>
      </w:r>
      <w:r>
        <w:rPr>
          <w:rFonts w:ascii="Times New Roman" w:cs="Times New Roman" w:eastAsia="Times New Roman" w:hAnsi="Times New Roman"/>
          <w:sz w:val="18"/>
          <w:szCs w:val="18"/>
          <w:b w:val="1"/>
          <w:bCs w:val="1"/>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8.02(A)</w:t>
      </w:r>
      <w:r>
        <w:rPr>
          <w:rFonts w:ascii="Times New Roman" w:cs="Times New Roman" w:eastAsia="Times New Roman" w:hAnsi="Times New Roman"/>
          <w:sz w:val="18"/>
          <w:szCs w:val="18"/>
          <w:color w:val="auto"/>
        </w:rPr>
        <w:t>, no amendment or supplement to this Indenture or the Notes, or waiver of any provision of this Indenture or the Notes, may change the amount or type of consideration due on any Note (whether on an Interest Payment Date, Redemption Date, Fundamental Change Repurchase Date, Optional Repurchase Date or the Maturity Date or upon conversion, or otherwise), or the date(s) or time(s) such consideration is payable or deliverable, as applicable, without the consent of each affected Holder.</w:t>
      </w:r>
    </w:p>
    <w:p>
      <w:pPr>
        <w:spacing w:after="0" w:line="176" w:lineRule="exact"/>
        <w:rPr>
          <w:sz w:val="20"/>
          <w:szCs w:val="20"/>
          <w:color w:val="auto"/>
        </w:rPr>
      </w:pPr>
    </w:p>
    <w:p>
      <w:pPr>
        <w:ind w:firstLine="656"/>
        <w:spacing w:after="0" w:line="286" w:lineRule="auto"/>
        <w:tabs>
          <w:tab w:leader="none" w:pos="112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Holders Need Not Approve the Particular Form of any Amendment</w:t>
      </w:r>
      <w:r>
        <w:rPr>
          <w:rFonts w:ascii="Times New Roman" w:cs="Times New Roman" w:eastAsia="Times New Roman" w:hAnsi="Times New Roman"/>
          <w:sz w:val="18"/>
          <w:szCs w:val="18"/>
          <w:color w:val="auto"/>
        </w:rPr>
        <w:t>. A consent of any Holder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approve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the substance, and not necessarily the particular form, of the proposed amendment, supplement or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ectPr>
          <w:pgSz w:w="11900" w:h="16838" w:orient="portrait"/>
          <w:cols w:equalWidth="0" w:num="1">
            <w:col w:w="11240"/>
          </w:cols>
          <w:pgMar w:left="320" w:top="14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Section 8.03. Notice of Amendments, Supplements and Waivers.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As soon as reasonably practicable after any amendment, supplement or waiver pursuant to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8.02</w:t>
      </w:r>
      <w:r>
        <w:rPr>
          <w:rFonts w:ascii="Times New Roman" w:cs="Times New Roman" w:eastAsia="Times New Roman" w:hAnsi="Times New Roman"/>
          <w:sz w:val="18"/>
          <w:szCs w:val="18"/>
          <w:color w:val="auto"/>
        </w:rPr>
        <w:t xml:space="preserve"> becomes effective, the Company will send to the Holders and the Trustee notice that (A) describes the substance of such amendment, supplement or waiver in reasonable detail and (B) states the effective date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8.04. Revocation, Effect and Solicitation of Consents; Special Record Dates; Etc.</w:t>
      </w:r>
    </w:p>
    <w:p>
      <w:pPr>
        <w:spacing w:after="0" w:line="227" w:lineRule="exact"/>
        <w:rPr>
          <w:sz w:val="20"/>
          <w:szCs w:val="20"/>
          <w:color w:val="auto"/>
        </w:rPr>
      </w:pPr>
    </w:p>
    <w:p>
      <w:pPr>
        <w:jc w:val="both"/>
        <w:ind w:firstLine="656"/>
        <w:spacing w:after="0" w:line="261" w:lineRule="auto"/>
        <w:tabs>
          <w:tab w:leader="none" w:pos="109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Revocation and Effect of Consents</w:t>
      </w:r>
      <w:r>
        <w:rPr>
          <w:rFonts w:ascii="Times New Roman" w:cs="Times New Roman" w:eastAsia="Times New Roman" w:hAnsi="Times New Roman"/>
          <w:sz w:val="18"/>
          <w:szCs w:val="18"/>
          <w:color w:val="auto"/>
        </w:rPr>
        <w:t>. The consent of a Holder of a Note to an amendment, supplement or waiver will bind (and constitute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of) each subsequent Holder of any Note to the extent the same evidences any portion of the same indebtedness as the consenting Holder’s Note, subject to the right of any Holder of a Note to revoke (if not prohibited pursuant to </w:t>
      </w:r>
      <w:r>
        <w:rPr>
          <w:rFonts w:ascii="Times New Roman" w:cs="Times New Roman" w:eastAsia="Times New Roman" w:hAnsi="Times New Roman"/>
          <w:sz w:val="18"/>
          <w:szCs w:val="18"/>
          <w:b w:val="1"/>
          <w:bCs w:val="1"/>
          <w:color w:val="auto"/>
        </w:rPr>
        <w:t>Section 8.04(B)</w:t>
      </w:r>
      <w:r>
        <w:rPr>
          <w:rFonts w:ascii="Times New Roman" w:cs="Times New Roman" w:eastAsia="Times New Roman" w:hAnsi="Times New Roman"/>
          <w:sz w:val="18"/>
          <w:szCs w:val="18"/>
          <w:color w:val="auto"/>
        </w:rPr>
        <w:t>) any such consent with respect to such Note by delivering notice of revocation to the Trustee before the time such amendment, supplement or waiver becomes effective.</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112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Record Dates</w:t>
      </w:r>
      <w:r>
        <w:rPr>
          <w:rFonts w:ascii="Times New Roman" w:cs="Times New Roman" w:eastAsia="Times New Roman" w:hAnsi="Times New Roman"/>
          <w:sz w:val="18"/>
          <w:szCs w:val="18"/>
          <w:color w:val="auto"/>
        </w:rPr>
        <w:t>. The Company may, but is not required to, fix a record date for the purpose of determining the Holders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or take any other action in connection with any amendment, supplement or waiver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If a record date is fixed, then, notwithstanding anything to the contrary in </w:t>
      </w:r>
      <w:r>
        <w:rPr>
          <w:rFonts w:ascii="Times New Roman" w:cs="Times New Roman" w:eastAsia="Times New Roman" w:hAnsi="Times New Roman"/>
          <w:sz w:val="18"/>
          <w:szCs w:val="18"/>
          <w:b w:val="1"/>
          <w:bCs w:val="1"/>
          <w:color w:val="auto"/>
        </w:rPr>
        <w:t>Section 8.04(A)</w:t>
      </w:r>
      <w:r>
        <w:rPr>
          <w:rFonts w:ascii="Times New Roman" w:cs="Times New Roman" w:eastAsia="Times New Roman" w:hAnsi="Times New Roman"/>
          <w:sz w:val="18"/>
          <w:szCs w:val="18"/>
          <w:color w:val="auto"/>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consent will be valid or effective for more than one hundred and twenty (120) calendar days after such record date.</w:t>
      </w:r>
    </w:p>
    <w:p>
      <w:pPr>
        <w:spacing w:after="0" w:line="182" w:lineRule="exact"/>
        <w:rPr>
          <w:rFonts w:ascii="Times New Roman" w:cs="Times New Roman" w:eastAsia="Times New Roman" w:hAnsi="Times New Roman"/>
          <w:sz w:val="18"/>
          <w:szCs w:val="18"/>
          <w:color w:val="auto"/>
        </w:rPr>
      </w:pPr>
    </w:p>
    <w:p>
      <w:pPr>
        <w:ind w:firstLine="656"/>
        <w:spacing w:after="0" w:line="284" w:lineRule="auto"/>
        <w:tabs>
          <w:tab w:leader="none" w:pos="106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Solicitation of Consents</w:t>
      </w:r>
      <w:r>
        <w:rPr>
          <w:rFonts w:ascii="Times New Roman" w:cs="Times New Roman" w:eastAsia="Times New Roman" w:hAnsi="Times New Roman"/>
          <w:sz w:val="18"/>
          <w:szCs w:val="18"/>
          <w:color w:val="auto"/>
        </w:rPr>
        <w:t>. For the avoidance of doubt, each reference in this Indenture or the Notes to the consent of a Holder will be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include any such consent obtained in connection with a repurchase of, or tender or exchange offer for, any Notes.</w:t>
      </w:r>
    </w:p>
    <w:p>
      <w:pPr>
        <w:spacing w:after="0" w:line="156" w:lineRule="exact"/>
        <w:rPr>
          <w:rFonts w:ascii="Times New Roman" w:cs="Times New Roman" w:eastAsia="Times New Roman" w:hAnsi="Times New Roman"/>
          <w:sz w:val="18"/>
          <w:szCs w:val="18"/>
          <w:color w:val="auto"/>
        </w:rPr>
      </w:pPr>
    </w:p>
    <w:p>
      <w:pPr>
        <w:jc w:val="both"/>
        <w:ind w:firstLine="656"/>
        <w:spacing w:after="0" w:line="268" w:lineRule="auto"/>
        <w:tabs>
          <w:tab w:leader="none" w:pos="113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and Binding Effect</w:t>
      </w:r>
      <w:r>
        <w:rPr>
          <w:rFonts w:ascii="Times New Roman" w:cs="Times New Roman" w:eastAsia="Times New Roman" w:hAnsi="Times New Roman"/>
          <w:sz w:val="18"/>
          <w:szCs w:val="18"/>
          <w:color w:val="auto"/>
        </w:rPr>
        <w:t>. Each amendment, supplement or waiver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become effective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its terms and, when it becomes effective with respect to any Note (or any portion thereof), will thereafter bind every Holder of such Note (or such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- 78 -</w:t>
      </w:r>
    </w:p>
    <w:p>
      <w:pPr>
        <w:sectPr>
          <w:pgSz w:w="11900" w:h="16838" w:orient="portrait"/>
          <w:cols w:equalWidth="0" w:num="1">
            <w:col w:w="11240"/>
          </w:cols>
          <w:pgMar w:left="320" w:top="141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Section 8.05. Notations and Exchanges.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 new Note that reflects the changed terms. The failure to make any appropriate notation or issue a new Note pursuant to this </w:t>
      </w:r>
      <w:r>
        <w:rPr>
          <w:rFonts w:ascii="Times New Roman" w:cs="Times New Roman" w:eastAsia="Times New Roman" w:hAnsi="Times New Roman"/>
          <w:sz w:val="18"/>
          <w:szCs w:val="18"/>
          <w:b w:val="1"/>
          <w:bCs w:val="1"/>
          <w:color w:val="auto"/>
        </w:rPr>
        <w:t>Section 8.05</w:t>
      </w:r>
      <w:r>
        <w:rPr>
          <w:rFonts w:ascii="Times New Roman" w:cs="Times New Roman" w:eastAsia="Times New Roman" w:hAnsi="Times New Roman"/>
          <w:sz w:val="18"/>
          <w:szCs w:val="18"/>
          <w:color w:val="auto"/>
        </w:rPr>
        <w:t xml:space="preserve"> will not impair or affect the validity of such amendment, supplement or waiver.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8.06. Trustee to Execute Supplemental Indentures.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Trustee will execute and deliver any amendment or supplemental indenture authorized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Trustee need not (but may, in its sole and absolute discretion) execute or deliver any such amendment or supplemental indenture that adversely affects the Trustee’s rights, duties, liabilities or immunities. In executing any amendment or supplemental indenture, the Trustee will be entitled to receive, and (subject to </w:t>
      </w:r>
      <w:r>
        <w:rPr>
          <w:rFonts w:ascii="Times New Roman" w:cs="Times New Roman" w:eastAsia="Times New Roman" w:hAnsi="Times New Roman"/>
          <w:sz w:val="18"/>
          <w:szCs w:val="18"/>
          <w:b w:val="1"/>
          <w:bCs w:val="1"/>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10.02</w:t>
      </w:r>
      <w:r>
        <w:rPr>
          <w:rFonts w:ascii="Times New Roman" w:cs="Times New Roman" w:eastAsia="Times New Roman" w:hAnsi="Times New Roman"/>
          <w:sz w:val="18"/>
          <w:szCs w:val="18"/>
          <w:color w:val="auto"/>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- 79 -</w:t>
      </w:r>
    </w:p>
    <w:p>
      <w:pPr>
        <w:sectPr>
          <w:pgSz w:w="11900" w:h="16838" w:orient="portrait"/>
          <w:cols w:equalWidth="0" w:num="1">
            <w:col w:w="11240"/>
          </w:cols>
          <w:pgMar w:left="320" w:top="1413" w:right="339" w:bottom="1440" w:gutter="0" w:footer="0" w:header="0"/>
        </w:sectPr>
      </w:pPr>
    </w:p>
    <w:bookmarkStart w:id="89" w:name="page90"/>
    <w:bookmarkEnd w:id="89"/>
    <w:p>
      <w:pPr>
        <w:ind w:left="376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Article 9</w:t>
      </w:r>
      <w:r>
        <w:rPr>
          <w:sz w:val="20"/>
          <w:szCs w:val="20"/>
          <w:color w:val="auto"/>
        </w:rPr>
        <w:tab/>
      </w:r>
      <w:r>
        <w:rPr>
          <w:rFonts w:ascii="Times New Roman" w:cs="Times New Roman" w:eastAsia="Times New Roman" w:hAnsi="Times New Roman"/>
          <w:sz w:val="17"/>
          <w:szCs w:val="17"/>
          <w:b w:val="1"/>
          <w:bCs w:val="1"/>
          <w:color w:val="auto"/>
        </w:rPr>
        <w:t>SATISFACTION AND DISCHARGE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9.01. Termination of Company’s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issued under this Indenture, when:</w:t>
      </w:r>
    </w:p>
    <w:p>
      <w:pPr>
        <w:spacing w:after="0" w:line="221" w:lineRule="exact"/>
        <w:rPr>
          <w:sz w:val="20"/>
          <w:szCs w:val="20"/>
          <w:color w:val="auto"/>
        </w:rPr>
      </w:pPr>
    </w:p>
    <w:p>
      <w:pPr>
        <w:jc w:val="both"/>
        <w:ind w:firstLine="656"/>
        <w:spacing w:after="0" w:line="268" w:lineRule="auto"/>
        <w:tabs>
          <w:tab w:leader="none" w:pos="108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Notes then outstanding (other than Notes replaced pursuant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have (i) been delivered to the Trustee for cancellation; or (ii) become due and payable (whether on a Redemption Date, a Fundamental Change Repurchase Date, an Optional Repurchase Date, the Maturity Date, upon conversion or otherwise) for an amount of cash or Conversion Consideration, as applicable, that has been fixed;</w:t>
      </w:r>
    </w:p>
    <w:p>
      <w:pPr>
        <w:spacing w:after="0" w:line="174" w:lineRule="exact"/>
        <w:rPr>
          <w:rFonts w:ascii="Times New Roman" w:cs="Times New Roman" w:eastAsia="Times New Roman" w:hAnsi="Times New Roman"/>
          <w:sz w:val="18"/>
          <w:szCs w:val="18"/>
          <w:color w:val="auto"/>
        </w:rPr>
      </w:pPr>
    </w:p>
    <w:p>
      <w:pPr>
        <w:jc w:val="both"/>
        <w:ind w:firstLine="656"/>
        <w:spacing w:after="0" w:line="261" w:lineRule="auto"/>
        <w:tabs>
          <w:tab w:leader="none" w:pos="116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all other amounts payable by it under this Indenture;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1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the conditions precedent to the discharge of this Indenture have been satisfied;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survive such discharge and, until no Notes remain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obligations of the Trustee, the Paying Agent and the Conversion Agent with respect to money or other property deposited with them will survive such discharge.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Company’s request, the Trustee will acknowledge the satisfaction and discharge of this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9.02. Repayment to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- 80 -</w:t>
      </w:r>
    </w:p>
    <w:p>
      <w:pPr>
        <w:sectPr>
          <w:pgSz w:w="11900" w:h="16838" w:orient="portrait"/>
          <w:cols w:equalWidth="0" w:num="1">
            <w:col w:w="11240"/>
          </w:cols>
          <w:pgMar w:left="320" w:top="142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Section 9.03. Reinstatement.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If the Trustee, the Paying Agent or the Conversion Agent is unable to apply any cash or other property deposited with it pursuant to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 xml:space="preserve"> will be rescinded;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spacing w:after="0" w:line="193"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Article 10</w:t>
      </w:r>
      <w:r>
        <w:rPr>
          <w:sz w:val="20"/>
          <w:szCs w:val="20"/>
          <w:color w:val="auto"/>
        </w:rPr>
        <w:tab/>
      </w:r>
      <w:r>
        <w:rPr>
          <w:rFonts w:ascii="Times New Roman" w:cs="Times New Roman" w:eastAsia="Times New Roman" w:hAnsi="Times New Roman"/>
          <w:sz w:val="17"/>
          <w:szCs w:val="17"/>
          <w:b w:val="1"/>
          <w:bCs w:val="1"/>
          <w:color w:val="auto"/>
        </w:rPr>
        <w:t>TRUSTEE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10.01. Duties of the Trustee.</w:t>
      </w:r>
    </w:p>
    <w:p>
      <w:pPr>
        <w:spacing w:after="0" w:line="229" w:lineRule="exact"/>
        <w:rPr>
          <w:sz w:val="20"/>
          <w:szCs w:val="20"/>
          <w:color w:val="auto"/>
        </w:rPr>
      </w:pPr>
    </w:p>
    <w:p>
      <w:pPr>
        <w:jc w:val="both"/>
        <w:ind w:firstLine="656"/>
        <w:spacing w:after="0" w:line="256" w:lineRule="auto"/>
        <w:tabs>
          <w:tab w:leader="none" w:pos="112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has occurred and is continuing (and has not been cured) of which a Responsible Officer of the Trustee has written notice or actual knowledge, the Trustee will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will be under no obligation to exercise any of the rights or powers under this Indenture at the request or direction of any of the Holder unless such Holders have offered, and if requested, provided, to the Trustee indemnity or security satisfactory to Trustee against any loss, liability or expense that might be incurred by it in compliance with such request or direction.</w:t>
      </w:r>
    </w:p>
    <w:p>
      <w:pPr>
        <w:spacing w:after="0" w:line="18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07"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2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or willful misconduct on its part, the Trustee may conclusively rely, as to the truth of the statements and the correctness of the opinions expressed therein, upon Officer’s Certificates or Opinions of Counsel that are provided to the Trustee and conform to the requirements of this Indenture. However,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09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negligence or willful misconduct as determined by a final non-appealable order of a court of competent jurisdiction, except that:</w:t>
      </w:r>
    </w:p>
    <w:p>
      <w:pPr>
        <w:spacing w:after="0" w:line="157"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paragraph will not limit the effect of </w:t>
      </w:r>
      <w:r>
        <w:rPr>
          <w:rFonts w:ascii="Times New Roman" w:cs="Times New Roman" w:eastAsia="Times New Roman" w:hAnsi="Times New Roman"/>
          <w:sz w:val="18"/>
          <w:szCs w:val="18"/>
          <w:b w:val="1"/>
          <w:bCs w:val="1"/>
          <w:color w:val="auto"/>
        </w:rPr>
        <w:t>Section 10.01(B)</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76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error of judgment made in good faith by a Responsible Officer, unless it is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84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18"/>
          <w:szCs w:val="18"/>
          <w:b w:val="1"/>
          <w:bCs w:val="1"/>
          <w:color w:val="auto"/>
        </w:rPr>
        <w:t>Section 7.06</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8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will require the Trustee to expend or risk its own funds or incur any liability in the performance of any of its duties under this Indenture, or in the exercise of any of its rights or powers, if it has reasonable grounds to believe that repayment of such funds or adequate indemnity against such liability is not reasonably assured to it.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p>
    <w:p>
      <w:pPr>
        <w:sectPr>
          <w:pgSz w:w="11900" w:h="16838" w:orient="portrait"/>
          <w:cols w:equalWidth="0" w:num="1">
            <w:col w:w="11240"/>
          </w:cols>
          <w:pgMar w:left="320" w:top="1413" w:right="339" w:bottom="1440" w:gutter="0" w:footer="0" w:header="0"/>
        </w:sectPr>
      </w:pPr>
    </w:p>
    <w:bookmarkStart w:id="91" w:name="page92"/>
    <w:bookmarkEnd w:id="91"/>
    <w:p>
      <w:pPr>
        <w:ind w:firstLine="656"/>
        <w:spacing w:after="0" w:line="286" w:lineRule="auto"/>
        <w:tabs>
          <w:tab w:leader="none" w:pos="11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provision of this Indenture that in any way relates to the Trustee is subject to paragraphs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 regardless of whether such provision so expressly provides.</w:t>
      </w:r>
    </w:p>
    <w:p>
      <w:pPr>
        <w:spacing w:after="0" w:line="158" w:lineRule="exact"/>
        <w:rPr>
          <w:rFonts w:ascii="Times New Roman" w:cs="Times New Roman" w:eastAsia="Times New Roman" w:hAnsi="Times New Roman"/>
          <w:sz w:val="18"/>
          <w:szCs w:val="18"/>
          <w:color w:val="auto"/>
        </w:rPr>
      </w:pPr>
    </w:p>
    <w:p>
      <w:pPr>
        <w:ind w:firstLine="656"/>
        <w:spacing w:after="0" w:line="282" w:lineRule="auto"/>
        <w:tabs>
          <w:tab w:leader="none" w:pos="107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will require the Trustee to expend or risk its own funds or incur any liability in the performance of any of its duties or in the exercise of any of its rights or powers.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5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08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therein provided, every provision of this Indenture relating to the conduct or affecting the liability of, or affording protection to, the Trustee will be subject to the provisions of this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08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in respect of any payment (as to the correctness of amount, entitlement to receive or any other matters relating to payment) or notice effected by the Company or any Paying Agent (except in its capacity as Paying Agent pursuant to the terms of this Indenture) or any records maintained by any co-Note Registrar with respect to the Notes.</w:t>
      </w:r>
    </w:p>
    <w:p>
      <w:pPr>
        <w:spacing w:after="0" w:line="17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will the Trustee be liable in its individual capacity for the obligations evidenced by the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10.02. Rights of the Trustee.</w:t>
      </w:r>
    </w:p>
    <w:p>
      <w:pPr>
        <w:spacing w:after="0" w:line="229" w:lineRule="exact"/>
        <w:rPr>
          <w:sz w:val="20"/>
          <w:szCs w:val="20"/>
          <w:color w:val="auto"/>
        </w:rPr>
      </w:pPr>
    </w:p>
    <w:p>
      <w:pPr>
        <w:ind w:firstLine="656"/>
        <w:spacing w:after="0" w:line="282" w:lineRule="auto"/>
        <w:tabs>
          <w:tab w:leader="none" w:pos="112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on any document that it believes to be genuine and signed or presented by the proper Person, and the Trustee need not investigate any fact or matter stated in such document.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7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and may conclusively rely on,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16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will not be responsible for the misconduct or negligence of any such agent appointed with due care.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8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and that it believes to be authorized or within the rights or powers vested in it by this Indenture.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1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Company will be sufficient if signed by an Officer.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12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responsible or liable for any punitive, special, indirect, incidental or consequential loss or damage (including lost profits), even if the Trustee has been advised of the likelihood of such loss or damage and regardless of the form of 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w:t>
      </w:r>
    </w:p>
    <w:p>
      <w:pPr>
        <w:sectPr>
          <w:pgSz w:w="11900" w:h="16838" w:orient="portrait"/>
          <w:cols w:equalWidth="0" w:num="1">
            <w:col w:w="11240"/>
          </w:cols>
          <w:pgMar w:left="320" w:top="1413" w:right="339" w:bottom="1440" w:gutter="0" w:footer="0" w:header="0"/>
        </w:sectPr>
      </w:pPr>
    </w:p>
    <w:bookmarkStart w:id="92" w:name="page93"/>
    <w:bookmarkEnd w:id="92"/>
    <w:p>
      <w:pPr>
        <w:jc w:val="both"/>
        <w:ind w:firstLine="656"/>
        <w:spacing w:after="0" w:line="261" w:lineRule="auto"/>
        <w:tabs>
          <w:tab w:leader="none" w:pos="10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the Trustee will incur no liability or additional liability of any kind by reason of such inquiry or investigation.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01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deemed to have notice of any Default or Event of Default unless written notice of any event that is a Default or Event of Default is received by a Responsible Officer of the Trustee at the corporate trust office of the Trustee, and such notice references the Notes and this Indenture and states that it is a “Notice of Default.”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3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1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its right to be indemnified, are extended to, and will be enforceable by, the Trustee in each of its capacities under this Indenture, including as Note Agent.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8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or titles of officers authorized at such time to take specified actions pursuant to this Indenture.</w:t>
      </w:r>
    </w:p>
    <w:p>
      <w:pPr>
        <w:spacing w:after="0" w:line="161"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will not be construed as duties.</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required to give any bond or surety in respect of the execution of the trusts and powers under this Indenture.</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Note Agent will have any responsibility or liability for any actions taken or not taken by the Depositary.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6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Responsible Officer of the Trustee has received notice from the Company that Additional Interest is owing on the Notes or that the Company has elected to pay Special Interest on the Notes, the Trustee may assume no Additional Interest or Special Interest, as applicable, is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- 83 -</w:t>
      </w:r>
    </w:p>
    <w:p>
      <w:pPr>
        <w:sectPr>
          <w:pgSz w:w="11900" w:h="16838" w:orient="portrait"/>
          <w:cols w:equalWidth="0" w:num="1">
            <w:col w:w="11240"/>
          </w:cols>
          <w:pgMar w:left="320" w:top="14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Section 10.03. Individual Rights of the Trustee.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cs="Times New Roman" w:eastAsia="Times New Roman" w:hAnsi="Times New Roman"/>
          <w:sz w:val="18"/>
          <w:szCs w:val="18"/>
          <w:b w:val="1"/>
          <w:bCs w:val="1"/>
          <w:color w:val="auto"/>
        </w:rPr>
        <w:t>Section 10.03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10.04. Trustee’s Disclaimer.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10.05. Notice of Defaults.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 Default or Event of Default occurs and is continuing and is known to a Responsible Officer of the Trustee, then the Trustee will send Holders a notice of such Default or Event of Default within ninety (90) days after it occurs or, if it is not known to the Trustee at such time, within twenty (20) Business Days after it becomes known to a Responsible Officer;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or Event of Default in the payment of the principal of, or interest on, any Note, or a default in the payment or delivery of the Conversion Consideration, the Trustee may withhold such notice if and for so long as it in good faith determines that withholding such notice is in the interests of the Holders. For the avoidance of doubt, the Trustee will not be required to deliver such notice at any time after such Default or Event of Default is cured or waived. The Trustee will not be deemed to have notice or be charged with knowledge of any Default or Event of Default unless (A) written notice thereof has been received by a Responsible Officer; and (B) such notice references the Notes and this Indenture and states on its face that a Default or Event of Default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- 84 -</w:t>
      </w:r>
    </w:p>
    <w:p>
      <w:pPr>
        <w:sectPr>
          <w:pgSz w:w="11900" w:h="16838" w:orient="portrait"/>
          <w:cols w:equalWidth="0" w:num="1">
            <w:col w:w="11240"/>
          </w:cols>
          <w:pgMar w:left="320" w:top="141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Section 10.06. Compensation and Indemnity.</w:t>
      </w:r>
    </w:p>
    <w:p>
      <w:pPr>
        <w:spacing w:after="0" w:line="229" w:lineRule="exact"/>
        <w:rPr>
          <w:sz w:val="20"/>
          <w:szCs w:val="20"/>
          <w:color w:val="auto"/>
        </w:rPr>
      </w:pPr>
    </w:p>
    <w:p>
      <w:pPr>
        <w:jc w:val="both"/>
        <w:ind w:firstLine="656"/>
        <w:spacing w:after="0" w:line="258" w:lineRule="auto"/>
        <w:tabs>
          <w:tab w:leader="none" w:pos="108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from time to time, pay the Trustee and the Note Agents reasonable compensation for its acceptance of this Indenture and services under this Indenture as the Company shall from time to time agree in writing.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06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indemnify the Trustee (in each of its capacities)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may be attributable to its negligence or willful misconduct, as determined by a final, non-appealable order of a court of competent jurisdiction. The Trustee will promptly notify the Company of any claim for which it may seek indemnity, but the Trustee’s failure to so notify the Company will not relieve the Company of its obligations under this </w:t>
      </w:r>
      <w:r>
        <w:rPr>
          <w:rFonts w:ascii="Times New Roman" w:cs="Times New Roman" w:eastAsia="Times New Roman" w:hAnsi="Times New Roman"/>
          <w:sz w:val="18"/>
          <w:szCs w:val="18"/>
          <w:b w:val="1"/>
          <w:bCs w:val="1"/>
          <w:color w:val="auto"/>
        </w:rPr>
        <w:t>Section 10.06(B)</w:t>
      </w:r>
      <w:r>
        <w:rPr>
          <w:rFonts w:ascii="Times New Roman" w:cs="Times New Roman" w:eastAsia="Times New Roman" w:hAnsi="Times New Roman"/>
          <w:sz w:val="18"/>
          <w:szCs w:val="18"/>
          <w:color w:val="auto"/>
        </w:rPr>
        <w:t>,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spacing w:after="0" w:line="185"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Company under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xml:space="preserve"> will survive the resignation or removal of the Trustee and the discharge of this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2" w:lineRule="exact"/>
        <w:rPr>
          <w:rFonts w:ascii="Times New Roman" w:cs="Times New Roman" w:eastAsia="Times New Roman" w:hAnsi="Times New Roman"/>
          <w:sz w:val="18"/>
          <w:szCs w:val="18"/>
          <w:color w:val="auto"/>
        </w:rPr>
      </w:pPr>
    </w:p>
    <w:p>
      <w:pPr>
        <w:jc w:val="both"/>
        <w:ind w:firstLine="656"/>
        <w:spacing w:after="0" w:line="268" w:lineRule="auto"/>
        <w:tabs>
          <w:tab w:leader="none" w:pos="108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secure the Company’s payment obligations in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the Trustee will have a lien prior to the Notes on all money or property held or collected by the Trustee, except that held in trust to pay principal of, or interest on, particular Notes, which lien will survive the discharge of this Indenture.</w:t>
      </w:r>
    </w:p>
    <w:p>
      <w:pPr>
        <w:spacing w:after="0" w:line="170"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108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incurs expenses or renders services after an Event of Default pursuant to </w:t>
      </w:r>
      <w:r>
        <w:rPr>
          <w:rFonts w:ascii="Times New Roman" w:cs="Times New Roman" w:eastAsia="Times New Roman" w:hAnsi="Times New Roman"/>
          <w:sz w:val="18"/>
          <w:szCs w:val="18"/>
          <w:b w:val="1"/>
          <w:bCs w:val="1"/>
          <w:color w:val="auto"/>
        </w:rPr>
        <w:t>clause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occurs, then such expenses and the compensation for such services (including the fees and expenses of its agents and counsel) are intended to constitute expenses of administration under any Bankruptcy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- 85 -</w:t>
      </w:r>
    </w:p>
    <w:p>
      <w:pPr>
        <w:sectPr>
          <w:pgSz w:w="11900" w:h="16838" w:orient="portrait"/>
          <w:cols w:equalWidth="0" w:num="1">
            <w:col w:w="11240"/>
          </w:cols>
          <w:pgMar w:left="320" w:top="141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Section 10.07. Replacement of the Trustee.</w:t>
      </w:r>
    </w:p>
    <w:p>
      <w:pPr>
        <w:spacing w:after="0" w:line="225" w:lineRule="exact"/>
        <w:rPr>
          <w:sz w:val="20"/>
          <w:szCs w:val="20"/>
          <w:color w:val="auto"/>
        </w:rPr>
      </w:pPr>
    </w:p>
    <w:p>
      <w:pPr>
        <w:ind w:right="20" w:firstLine="656"/>
        <w:spacing w:after="0" w:line="286" w:lineRule="auto"/>
        <w:tabs>
          <w:tab w:leader="none" w:pos="109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10.07</w:t>
      </w:r>
      <w:r>
        <w:rPr>
          <w:rFonts w:ascii="Times New Roman" w:cs="Times New Roman" w:eastAsia="Times New Roman" w:hAnsi="Times New Roman"/>
          <w:sz w:val="18"/>
          <w:szCs w:val="18"/>
          <w:color w:val="auto"/>
        </w:rPr>
        <w:t xml:space="preserve">, a resignation or removal of the Trustee, and the appointment of a successor Trustee, will become effective only upon such successor Trustee’s acceptance of appointment as provided in this </w:t>
      </w:r>
      <w:r>
        <w:rPr>
          <w:rFonts w:ascii="Times New Roman" w:cs="Times New Roman" w:eastAsia="Times New Roman" w:hAnsi="Times New Roman"/>
          <w:sz w:val="18"/>
          <w:szCs w:val="18"/>
          <w:b w:val="1"/>
          <w:bCs w:val="1"/>
          <w:color w:val="auto"/>
        </w:rPr>
        <w:t>Section 10.07</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spacing w:after="0" w:line="17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fails to comply with </w:t>
      </w:r>
      <w:r>
        <w:rPr>
          <w:rFonts w:ascii="Times New Roman" w:cs="Times New Roman" w:eastAsia="Times New Roman" w:hAnsi="Times New Roman"/>
          <w:sz w:val="18"/>
          <w:szCs w:val="18"/>
          <w:b w:val="1"/>
          <w:bCs w:val="1"/>
          <w:color w:val="auto"/>
        </w:rPr>
        <w:t>Section 10.09</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to be bankrupt or insolvent or an order for relief is entered with respect to the Trustee under any Bankruptcy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w:t>
      </w:r>
    </w:p>
    <w:p>
      <w:pPr>
        <w:spacing w:after="0" w:line="206"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after written request by a Holder of at least six (6) months (or, such lesser period since the Issue Date), fails to comply with </w:t>
      </w:r>
      <w:r>
        <w:rPr>
          <w:rFonts w:ascii="Times New Roman" w:cs="Times New Roman" w:eastAsia="Times New Roman" w:hAnsi="Times New Roman"/>
          <w:sz w:val="18"/>
          <w:szCs w:val="18"/>
          <w:b w:val="1"/>
          <w:bCs w:val="1"/>
          <w:color w:val="auto"/>
        </w:rPr>
        <w:t>Section 10.09</w:t>
      </w:r>
      <w:r>
        <w:rPr>
          <w:rFonts w:ascii="Times New Roman" w:cs="Times New Roman" w:eastAsia="Times New Roman" w:hAnsi="Times New Roman"/>
          <w:sz w:val="18"/>
          <w:szCs w:val="18"/>
          <w:color w:val="auto"/>
        </w:rPr>
        <w:t>, then such Holder may petition any court of competent jurisdiction for the removal of the Trustee and the appointment of a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7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cs="Times New Roman" w:eastAsia="Times New Roman" w:hAnsi="Times New Roman"/>
          <w:sz w:val="18"/>
          <w:szCs w:val="18"/>
          <w:b w:val="1"/>
          <w:bCs w:val="1"/>
          <w:color w:val="auto"/>
        </w:rPr>
        <w:t>Section 10.06(D)</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10.08. Successor Trustee by Merger, Etc.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organization or entity shall be otherwise qualified and eligible under this Article 10, without the execution or filing of any paper or any further act on the part of any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- 86 -</w:t>
      </w:r>
    </w:p>
    <w:p>
      <w:pPr>
        <w:sectPr>
          <w:pgSz w:w="11900" w:h="16838" w:orient="portrait"/>
          <w:cols w:equalWidth="0" w:num="1">
            <w:col w:w="11240"/>
          </w:cols>
          <w:pgMar w:left="320" w:top="141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Section 10.09. Eligibility; Disqualification.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89"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Article 11</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11.01. Notices.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7373 Gateway Blvd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Newark, CA 94560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525 University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Thomas J. Ivey</w:t>
      </w:r>
    </w:p>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ind w:left="1300"/>
        <w:spacing w:after="0" w:line="222" w:lineRule="auto"/>
        <w:rPr>
          <w:sz w:val="20"/>
          <w:szCs w:val="20"/>
          <w:color w:val="auto"/>
        </w:rPr>
      </w:pPr>
      <w:r>
        <w:rPr>
          <w:rFonts w:ascii="Times New Roman" w:cs="Times New Roman" w:eastAsia="Times New Roman" w:hAnsi="Times New Roman"/>
          <w:sz w:val="18"/>
          <w:szCs w:val="18"/>
          <w:color w:val="auto"/>
        </w:rPr>
        <w:t>633 W. Fifth Street, 24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ind w:left="130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 (213) 615-6197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B. Scarbrough (Lucid Group)</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 notices to the Trustee or any Note Agent must be in writing and will be deemed to have been given upon actual receipt by the Trustee or such Note Agent, as applicable.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(including facsimile numbers and electronic addresses) for subsequent notices or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- 87 -</w:t>
      </w:r>
    </w:p>
    <w:p>
      <w:pPr>
        <w:sectPr>
          <w:pgSz w:w="11900" w:h="16838" w:orient="portrait"/>
          <w:cols w:equalWidth="0" w:num="1">
            <w:col w:w="11240"/>
          </w:cols>
          <w:pgMar w:left="320" w:top="1413" w:right="339" w:bottom="1440" w:gutter="0" w:footer="0" w:header="0"/>
        </w:sectPr>
      </w:pPr>
    </w:p>
    <w:bookmarkStart w:id="97" w:name="page98"/>
    <w:bookmarkEnd w:id="9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or sent in the manner provided above within the time prescribed, it will be deemed to have been duly given, whether or not the addressee receives it.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(B) whenever any provision of this Indenture requires a party to send notice to more than one receiving party, and each receiving party is the same Person acting in different capacities, then only one such notice need be sent to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- 88 -</w:t>
      </w:r>
    </w:p>
    <w:p>
      <w:pPr>
        <w:sectPr>
          <w:pgSz w:w="11900" w:h="16838" w:orient="portrait"/>
          <w:cols w:equalWidth="0" w:num="1">
            <w:col w:w="11240"/>
          </w:cols>
          <w:pgMar w:left="320" w:top="14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Section 11.02. Delivery of Officer’s Certificate and Opinion of Counsel as to Conditions Precedent.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(other than the initial authentication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under this Indenture), the Company will furnish to the Trustee:</w:t>
      </w:r>
    </w:p>
    <w:p>
      <w:pPr>
        <w:spacing w:after="0" w:line="203" w:lineRule="exact"/>
        <w:rPr>
          <w:sz w:val="20"/>
          <w:szCs w:val="20"/>
          <w:color w:val="auto"/>
        </w:rPr>
      </w:pPr>
    </w:p>
    <w:p>
      <w:pPr>
        <w:ind w:firstLine="656"/>
        <w:spacing w:after="0" w:line="286" w:lineRule="auto"/>
        <w:tabs>
          <w:tab w:leader="none" w:pos="11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Officer’s Certificate in form reasonably satisfactory to the Trustee that complies with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xml:space="preserve"> and states that, in the opinion of the signatory thereto, all conditions precedent and covenants, if any, provided for in this Indenture relating to such action have been satisfied; and</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Counsel in form reasonably satisfactory to the Trustee that complies with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xml:space="preserve"> and states that, in the opinion of such counsel, all such conditions precedent and covenants, if any, have been satisfied.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11.03. Statements Required in Officer’s Certificate and Opinion of Counsel.</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Each Officer’s Certificate (other than an Officer’s Certificate pursuant to </w:t>
      </w:r>
      <w:r>
        <w:rPr>
          <w:rFonts w:ascii="Times New Roman" w:cs="Times New Roman" w:eastAsia="Times New Roman" w:hAnsi="Times New Roman"/>
          <w:sz w:val="18"/>
          <w:szCs w:val="18"/>
          <w:b w:val="1"/>
          <w:bCs w:val="1"/>
          <w:color w:val="auto"/>
        </w:rPr>
        <w:t>Section 3.05</w:t>
      </w:r>
      <w:r>
        <w:rPr>
          <w:rFonts w:ascii="Times New Roman" w:cs="Times New Roman" w:eastAsia="Times New Roman" w:hAnsi="Times New Roman"/>
          <w:sz w:val="18"/>
          <w:szCs w:val="18"/>
          <w:color w:val="auto"/>
        </w:rPr>
        <w:t>) or Opinion of Counsel with respect to compliance with a covenant or condition provided for in this Indenture will include:</w:t>
      </w:r>
    </w:p>
    <w:p>
      <w:pPr>
        <w:spacing w:after="0" w:line="159" w:lineRule="exact"/>
        <w:rPr>
          <w:sz w:val="20"/>
          <w:szCs w:val="20"/>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signatory thereto has read such covenant or condition;</w:t>
      </w:r>
    </w:p>
    <w:p>
      <w:pPr>
        <w:spacing w:after="0" w:line="225"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therein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w:t>
      </w:r>
    </w:p>
    <w:p>
      <w:pPr>
        <w:spacing w:after="0" w:line="207" w:lineRule="exact"/>
        <w:rPr>
          <w:sz w:val="20"/>
          <w:szCs w:val="20"/>
          <w:color w:val="auto"/>
        </w:rPr>
      </w:pPr>
    </w:p>
    <w:p>
      <w:pPr>
        <w:ind w:firstLine="656"/>
        <w:spacing w:after="0" w:line="282" w:lineRule="auto"/>
        <w:tabs>
          <w:tab w:leader="none" w:pos="10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such signatory, such covenant or condition has been satisfied.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11.04. Rules by the Trustee, the Registrar, the Paying Agent and the Conversion Agent.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Each of the Registrar, the Paying Agent and the Conversion Agent may make reasonable rules and set reasonable requirements for its functions.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11.05. No Personal Liability of Directors, Officers, Employees and Stockholders.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- 89 -</w:t>
      </w:r>
    </w:p>
    <w:p>
      <w:pPr>
        <w:sectPr>
          <w:pgSz w:w="11900" w:h="16838" w:orient="portrait"/>
          <w:cols w:equalWidth="0" w:num="1">
            <w:col w:w="11240"/>
          </w:cols>
          <w:pgMar w:left="320" w:top="141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Section 11.06. Governing Law; Waiver of Jury Trial.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11.07. Submission to Jurisdiction.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color w:val="auto"/>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11.08. No Adverse Interpretation of Other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11.09. Successors.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Notes will bind its successors. All agreements of the Trustee in this Indenture will bind its successors.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11.10. Force Majeure.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pandemic, act of God or war, civil unrest, local or national disturbance or disaster, act of terrorism or unavailability of the Federal Reserve Bank wire or facsimile or other wire or communication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- 90 -</w:t>
      </w:r>
    </w:p>
    <w:p>
      <w:pPr>
        <w:sectPr>
          <w:pgSz w:w="11900" w:h="16838" w:orient="portrait"/>
          <w:cols w:equalWidth="0" w:num="1">
            <w:col w:w="11240"/>
          </w:cols>
          <w:pgMar w:left="320" w:top="141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Section 11.11. U.S.A. PATRIOT Act.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11.12. Calculations.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Trading Price of the Notes, the Daily VWAPs, accrued interest on the Notes, the Conversion Rate (including any adjustments to the Conversion Rate) and the Redemption Price.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avoidance of doubt, neither the Trustee nor the Conversion Agent will have any responsibility to make or confirm any calculations under this Indenture, nor will the Trustee or the Conversion Agent be charged with knowledge of or have any duties to monitor the Stock Price or any Observation Period. The Trustee and the Conversion Agent may rely conclusively on the calculations and information provided to them by the Company as to the Daily VWAP, the Daily Conversion Values, the Trading Price and the Last Reported Sale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11.13. Severability.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11.14. Counterparts.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or electronically executed counterpart. All notices, approvals, consents, requests and any communications hereunder must be in writing (provided that any communication sent to Trustee hereunder that is required to be signed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- 91 -</w:t>
      </w:r>
    </w:p>
    <w:p>
      <w:pPr>
        <w:sectPr>
          <w:pgSz w:w="11900" w:h="16838" w:orient="portrait"/>
          <w:cols w:equalWidth="0" w:num="1">
            <w:col w:w="11240"/>
          </w:cols>
          <w:pgMar w:left="320" w:top="141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Section 11.15. Table of Contents, Headings, Etc.</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11.16. Withholding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Holder of a Note agrees, and each beneficial owner of an interest in a Global Note, by its acquisition of such interest, is deemed to agree, that if the Company or other applicable withholding agent pays withholding taxes or backup withholding on behalf of such Holder or beneficial owner as a result of an adjustment or the non-occurrence of an adjustment to the Conversion Rate, then the Company or such withholding agent, as applicable, may, at its option, withhold from or set off such payments against payments of cash or the delivery of other Conversion Consideration on such Note, any payments on the Common Stock or sales proceeds received by, or other funds or assets of, such Holder or the beneficial owner of such Note.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- 92 -</w:t>
      </w:r>
    </w:p>
    <w:p>
      <w:pPr>
        <w:sectPr>
          <w:pgSz w:w="11900" w:h="16838" w:orient="portrait"/>
          <w:cols w:equalWidth="0" w:num="1">
            <w:col w:w="11240"/>
          </w:cols>
          <w:pgMar w:left="320" w:top="141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to this Indenture have caused this Indenture to be duly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93" w:lineRule="exact"/>
        <w:rPr>
          <w:sz w:val="20"/>
          <w:szCs w:val="20"/>
          <w:color w:val="auto"/>
        </w:rPr>
      </w:pPr>
    </w:p>
    <w:tbl>
      <w:tblPr>
        <w:tblLayout w:type="fixed"/>
        <w:tblInd w:w="5520" w:type="dxa"/>
        <w:tblCellMar>
          <w:top w:w="0" w:type="dxa"/>
          <w:left w:w="0" w:type="dxa"/>
          <w:bottom w:w="0" w:type="dxa"/>
          <w:right w:w="0" w:type="dxa"/>
        </w:tblCellMar>
      </w:tblPr>
      <w:tr>
        <w:trPr>
          <w:trHeight w:val="26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Taoufiq Boussaid</w:t>
            </w:r>
          </w:p>
        </w:tc>
      </w:tr>
      <w:tr>
        <w:trPr>
          <w:trHeight w:val="218"/>
        </w:trPr>
        <w:tc>
          <w:tcPr>
            <w:tcW w:w="66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Taoufiq Boussaid</w:t>
            </w:r>
          </w:p>
        </w:tc>
      </w:tr>
      <w:tr>
        <w:trPr>
          <w:trHeight w:val="234"/>
        </w:trPr>
        <w:tc>
          <w:tcPr>
            <w:tcW w:w="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293" w:lineRule="exact"/>
        <w:rPr>
          <w:sz w:val="20"/>
          <w:szCs w:val="20"/>
          <w:color w:val="auto"/>
        </w:rPr>
      </w:pPr>
    </w:p>
    <w:tbl>
      <w:tblPr>
        <w:tblLayout w:type="fixed"/>
        <w:tblInd w:w="5520" w:type="dxa"/>
        <w:tblCellMar>
          <w:top w:w="0" w:type="dxa"/>
          <w:left w:w="0" w:type="dxa"/>
          <w:bottom w:w="0" w:type="dxa"/>
          <w:right w:w="0" w:type="dxa"/>
        </w:tblCellMar>
      </w:tblPr>
      <w:tr>
        <w:trPr>
          <w:trHeight w:val="26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Bradley E. Scarbrough</w:t>
            </w:r>
          </w:p>
        </w:tc>
      </w:tr>
      <w:tr>
        <w:trPr>
          <w:trHeight w:val="218"/>
        </w:trPr>
        <w:tc>
          <w:tcPr>
            <w:tcW w:w="66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Bradley E. Scarbrough</w:t>
            </w:r>
          </w:p>
        </w:tc>
      </w:tr>
      <w:tr>
        <w:trPr>
          <w:trHeight w:val="234"/>
        </w:trPr>
        <w:tc>
          <w:tcPr>
            <w:tcW w:w="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10580"/>
          </w:cols>
          <w:pgMar w:left="980" w:top="141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NOTE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Global Note Legend, if applicable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Restricted Note Legend, if applicable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Non-Affiliate Legend</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200" w:type="dxa"/>
            <w:vAlign w:val="bottom"/>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9"/>
              </w:rPr>
              <w:t>Lucid Group, Inc.</w:t>
            </w:r>
          </w:p>
        </w:tc>
      </w:tr>
      <w:tr>
        <w:trPr>
          <w:trHeight w:val="432"/>
        </w:trPr>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7.00% Convertible Senior Note due 2031</w:t>
            </w:r>
          </w:p>
        </w:tc>
      </w:tr>
      <w:tr>
        <w:trPr>
          <w:trHeight w:val="75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[___]</w:t>
            </w:r>
          </w:p>
        </w:tc>
        <w:tc>
          <w:tcPr>
            <w:tcW w:w="8200" w:type="dxa"/>
            <w:vAlign w:val="bottom"/>
          </w:tcPr>
          <w:p>
            <w:pPr>
              <w:ind w:left="6700"/>
              <w:spacing w:after="0"/>
              <w:rPr>
                <w:sz w:val="20"/>
                <w:szCs w:val="20"/>
                <w:color w:val="auto"/>
              </w:rPr>
            </w:pPr>
            <w:r>
              <w:rPr>
                <w:rFonts w:ascii="Times New Roman" w:cs="Times New Roman" w:eastAsia="Times New Roman" w:hAnsi="Times New Roman"/>
                <w:sz w:val="18"/>
                <w:szCs w:val="18"/>
                <w:color w:val="auto"/>
                <w:w w:val="98"/>
              </w:rPr>
              <w:t>Certificate No. [___]</w:t>
            </w:r>
          </w:p>
        </w:tc>
      </w:tr>
      <w:tr>
        <w:trPr>
          <w:trHeight w:val="27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ISIN No.:</w:t>
            </w:r>
          </w:p>
        </w:tc>
        <w:tc>
          <w:tcPr>
            <w:tcW w:w="17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[___]</w:t>
            </w:r>
          </w:p>
        </w:tc>
        <w:tc>
          <w:tcPr>
            <w:tcW w:w="8200" w:type="dxa"/>
            <w:vAlign w:val="bottom"/>
          </w:tcPr>
          <w:p>
            <w:pPr>
              <w:spacing w:after="0"/>
              <w:rPr>
                <w:sz w:val="23"/>
                <w:szCs w:val="23"/>
                <w:color w:val="auto"/>
              </w:rPr>
            </w:pPr>
          </w:p>
        </w:tc>
      </w:tr>
    </w:tbl>
    <w:p>
      <w:pPr>
        <w:spacing w:after="0" w:line="200" w:lineRule="exact"/>
        <w:rPr>
          <w:sz w:val="20"/>
          <w:szCs w:val="20"/>
          <w:color w:val="auto"/>
        </w:rPr>
      </w:pPr>
    </w:p>
    <w:p>
      <w:pPr>
        <w:spacing w:after="0" w:line="36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Lucid Group, Inc., a Delaware corporation, for value received, promises to pay to [Cede &amp; Co.], or its registered assigns, the principal sum of [___] dollars ($[___]) [(as revised by the attached Schedule of Exchanges of Interests in the Global Note)]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on November 1, 2031 and to pay interest thereon, as provided in the Indenture referred to below, until the principal and all accrued and unpaid interest are paid or duly provided for.</w:t>
      </w:r>
    </w:p>
    <w:p>
      <w:pPr>
        <w:sectPr>
          <w:pgSz w:w="11900" w:h="16838" w:orient="portrait"/>
          <w:cols w:equalWidth="0" w:num="1">
            <w:col w:w="11240"/>
          </w:cols>
          <w:pgMar w:left="320" w:top="1413" w:right="339" w:bottom="1440" w:gutter="0" w:footer="0" w:header="0"/>
        </w:sect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 and November 1 of each year, commencing on [</w:t>
      </w:r>
      <w:r>
        <w:rPr>
          <w:rFonts w:ascii="Times New Roman" w:cs="Times New Roman" w:eastAsia="Times New Roman" w:hAnsi="Times New Roman"/>
          <w:sz w:val="17"/>
          <w:szCs w:val="17"/>
          <w:i w:val="1"/>
          <w:iCs w:val="1"/>
          <w:color w:val="auto"/>
        </w:rPr>
        <w:t>date</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sectPr>
          <w:pgSz w:w="11900" w:h="16838" w:orient="portrait"/>
          <w:cols w:equalWidth="0" w:num="2">
            <w:col w:w="1740" w:space="680"/>
            <w:col w:w="8820"/>
          </w:cols>
          <w:pgMar w:left="320" w:top="1413" w:right="339" w:bottom="1440" w:gutter="0" w:footer="0" w:header="0"/>
          <w:type w:val="continuous"/>
        </w:sectPr>
      </w:pP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Regular Record Dates: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15 and October 15.</w:t>
      </w:r>
    </w:p>
    <w:p>
      <w:pPr>
        <w:spacing w:after="0" w:line="200" w:lineRule="exact"/>
        <w:rPr>
          <w:sz w:val="20"/>
          <w:szCs w:val="20"/>
          <w:color w:val="auto"/>
        </w:rPr>
      </w:pPr>
    </w:p>
    <w:p>
      <w:pPr>
        <w:sectPr>
          <w:pgSz w:w="11900" w:h="16838" w:orient="portrait"/>
          <w:cols w:equalWidth="0" w:num="2">
            <w:col w:w="1700" w:space="720"/>
            <w:col w:w="882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color w:val="auto"/>
        </w:rPr>
        <w:t>Additional provisions of this Note are set forth on the other side of this Note.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6459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40" w:hanging="232"/>
        <w:spacing w:after="0"/>
        <w:tabs>
          <w:tab w:leader="none" w:pos="240" w:val="left"/>
        </w:tabs>
        <w:numPr>
          <w:ilvl w:val="0"/>
          <w:numId w:val="1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bracketed language for Global Notes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13" w:right="339" w:bottom="1440" w:gutter="0" w:footer="0" w:header="0"/>
          <w:type w:val="continuous"/>
        </w:sectPr>
      </w:pPr>
    </w:p>
    <w:bookmarkStart w:id="104" w:name="page105"/>
    <w:bookmarkEnd w:id="104"/>
    <w:p>
      <w:pPr>
        <w:ind w:left="40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Lucid Group, Inc. has caused this instrument to be duly executed as of the date set forth below.</w:t>
      </w:r>
    </w:p>
    <w:p>
      <w:pPr>
        <w:spacing w:after="0" w:line="28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9"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43180</wp:posOffset>
            </wp:positionV>
            <wp:extent cx="63607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60795" cy="8890"/>
                    </a:xfrm>
                    <a:prstGeom prst="rect">
                      <a:avLst/>
                    </a:prstGeom>
                    <a:noFill/>
                  </pic:spPr>
                </pic:pic>
              </a:graphicData>
            </a:graphic>
          </wp:anchor>
        </w:drawing>
      </w:r>
    </w:p>
    <w:p>
      <w:pPr>
        <w:spacing w:after="0" w:line="7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9879"/>
          </w:cols>
          <w:pgMar w:left="580" w:top="1413" w:right="1440" w:bottom="1440" w:gutter="0" w:footer="0" w:header="0"/>
        </w:sectPr>
      </w:pPr>
    </w:p>
    <w:bookmarkStart w:id="105" w:name="page106"/>
    <w:bookmarkEnd w:id="105"/>
    <w:p>
      <w:pPr>
        <w:ind w:left="36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Bank Trust Company, National Association, as Trustee, certifies that this is one of the Notes referred to in the within-mentioned Indenture.</w:t>
      </w:r>
    </w:p>
    <w:p>
      <w:pPr>
        <w:spacing w:after="0" w:line="27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9" w:lineRule="exact"/>
        <w:rPr>
          <w:sz w:val="20"/>
          <w:szCs w:val="20"/>
          <w:color w:val="auto"/>
        </w:rPr>
      </w:pPr>
    </w:p>
    <w:p>
      <w:pPr>
        <w:ind w:left="260"/>
        <w:spacing w:after="0"/>
        <w:tabs>
          <w:tab w:leader="none" w:pos="54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63607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5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360"/>
          </w:cols>
          <w:pgMar w:left="320" w:top="1417" w:right="121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 Convertible Senior Note due 2031</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Note is one of a duly authorized issue of notes of Lucid Group,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designated as its 7.00%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all issued or to be issued pursuant to an indenture, dated as of November 17, 2025 (as the same may be amended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as trustee. Capitalized terms used in this Note without definition have the respective meanings ascribed to them in the Indenture.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172" w:lineRule="exact"/>
        <w:rPr>
          <w:sz w:val="20"/>
          <w:szCs w:val="20"/>
          <w:color w:val="auto"/>
        </w:rPr>
      </w:pPr>
    </w:p>
    <w:p>
      <w:pPr>
        <w:ind w:firstLine="656"/>
        <w:spacing w:after="0" w:line="286" w:lineRule="auto"/>
        <w:tabs>
          <w:tab w:leader="none" w:pos="97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This Note will accrue interest at a rate and in the manner set forth in Section 2.05 of the Indenture. Stated Interest on this Note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 to accrue from, and including,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This Note will mature on November 1, 2031, unless earlier repurchased, redeemed or converted.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Method of Payment</w:t>
      </w:r>
      <w:r>
        <w:rPr>
          <w:rFonts w:ascii="Times New Roman" w:cs="Times New Roman" w:eastAsia="Times New Roman" w:hAnsi="Times New Roman"/>
          <w:sz w:val="18"/>
          <w:szCs w:val="18"/>
          <w:color w:val="auto"/>
        </w:rPr>
        <w:t>. Cash amounts due on this Note will be paid in the manner set forth in Section 2.04 of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Persons Deemed Owners</w:t>
      </w:r>
      <w:r>
        <w:rPr>
          <w:rFonts w:ascii="Times New Roman" w:cs="Times New Roman" w:eastAsia="Times New Roman" w:hAnsi="Times New Roman"/>
          <w:sz w:val="18"/>
          <w:szCs w:val="18"/>
          <w:color w:val="auto"/>
        </w:rPr>
        <w:t>. The Holder of this Note will be treated as the owner of this Note for all purposes.</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107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Denominations; Transfers and Exchanges</w:t>
      </w:r>
      <w:r>
        <w:rPr>
          <w:rFonts w:ascii="Times New Roman" w:cs="Times New Roman" w:eastAsia="Times New Roman" w:hAnsi="Times New Roman"/>
          <w:sz w:val="18"/>
          <w:szCs w:val="18"/>
          <w:color w:val="auto"/>
        </w:rPr>
        <w:t>. All Notes will be in registered form, without coupons, in principal amounts equal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Denominations. Subject to the terms of the Indenture, the Holder of this Note may transfer or exchange this Note by presenting it to the Registrar and delivering any required documentation or other materials.</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99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Holders to Require the Company to Repurchase Notes upon a Fundamental Change</w:t>
      </w:r>
      <w:r>
        <w:rPr>
          <w:rFonts w:ascii="Times New Roman" w:cs="Times New Roman" w:eastAsia="Times New Roman" w:hAnsi="Times New Roman"/>
          <w:sz w:val="18"/>
          <w:szCs w:val="18"/>
          <w:color w:val="auto"/>
        </w:rPr>
        <w:t>. If a Fundamental Change (other than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Exempted Fundamental Change) occurs, then each Holder will have the right to require the Company to repurchase such Holder’s Notes (or any portion thereof in an Authorized Denomination) for cash in the manner, and subject to the terms, set forth in Section 4.02 of the Indenture.</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99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the Company to Redeem the Notes</w:t>
      </w:r>
      <w:r>
        <w:rPr>
          <w:rFonts w:ascii="Times New Roman" w:cs="Times New Roman" w:eastAsia="Times New Roman" w:hAnsi="Times New Roman"/>
          <w:sz w:val="18"/>
          <w:szCs w:val="18"/>
          <w:color w:val="auto"/>
        </w:rPr>
        <w:t>. The Company will have the right to redeem the Notes for cash in the manner,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set forth in Section 4.03 of the Indenture.</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96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Repurchase of Notes by the Company at Option of Holders</w:t>
      </w:r>
      <w:r>
        <w:rPr>
          <w:rFonts w:ascii="Times New Roman" w:cs="Times New Roman" w:eastAsia="Times New Roman" w:hAnsi="Times New Roman"/>
          <w:sz w:val="18"/>
          <w:szCs w:val="18"/>
          <w:color w:val="auto"/>
        </w:rPr>
        <w:t>. Each Holder has the right, at such Holder’s option, to require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for cash all of such Holder’s Notes (or any portion thereof in an Authorized Denomination) on the Optional Repurchase Date at a price equal to the Optional Repurchase Price in the manner, and subject to the terms, set forth in Section 4.04 of the Indenture.</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99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The Holder of this Note may convert this Note into Conversion Consideration in the manner, and subject to the terms,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Article 5 of the Indenture.</w:t>
      </w:r>
    </w:p>
    <w:p>
      <w:pPr>
        <w:spacing w:after="0" w:line="154" w:lineRule="exact"/>
        <w:rPr>
          <w:rFonts w:ascii="Times New Roman" w:cs="Times New Roman" w:eastAsia="Times New Roman" w:hAnsi="Times New Roman"/>
          <w:sz w:val="18"/>
          <w:szCs w:val="18"/>
          <w:color w:val="auto"/>
        </w:rPr>
      </w:pPr>
    </w:p>
    <w:p>
      <w:pPr>
        <w:ind w:right="20" w:firstLine="656"/>
        <w:spacing w:after="0" w:line="286" w:lineRule="auto"/>
        <w:tabs>
          <w:tab w:leader="none" w:pos="110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When the Company May Merge, Etc</w:t>
      </w:r>
      <w:r>
        <w:rPr>
          <w:rFonts w:ascii="Times New Roman" w:cs="Times New Roman" w:eastAsia="Times New Roman" w:hAnsi="Times New Roman"/>
          <w:sz w:val="18"/>
          <w:szCs w:val="18"/>
          <w:color w:val="auto"/>
        </w:rPr>
        <w:t>. Article 6 of the Indenture places limited restrictions on the Company’s ability to be a party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Event.</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Defaults and Remedies</w:t>
      </w:r>
      <w:r>
        <w:rPr>
          <w:rFonts w:ascii="Times New Roman" w:cs="Times New Roman" w:eastAsia="Times New Roman" w:hAnsi="Times New Roman"/>
          <w:sz w:val="18"/>
          <w:szCs w:val="18"/>
          <w:color w:val="auto"/>
        </w:rPr>
        <w:t>. If an Event of Default occurs, then the principal amount of, and all accrued and unpaid interest on, all of the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outstanding may (and, in certain circumstances, will automatically) become due and payable in the manner, and subject to the terms, set forth in Article 7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0"/>
          </w:cols>
          <w:pgMar w:left="320" w:top="1413" w:right="339" w:bottom="1440" w:gutter="0" w:footer="0" w:header="0"/>
        </w:sectPr>
      </w:pPr>
    </w:p>
    <w:bookmarkStart w:id="107" w:name="page108"/>
    <w:bookmarkEnd w:id="107"/>
    <w:p>
      <w:pPr>
        <w:jc w:val="both"/>
        <w:ind w:firstLine="656"/>
        <w:spacing w:after="0" w:line="286" w:lineRule="auto"/>
        <w:tabs>
          <w:tab w:leader="none" w:pos="109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Supplements and Waivers</w:t>
      </w:r>
      <w:r>
        <w:rPr>
          <w:rFonts w:ascii="Times New Roman" w:cs="Times New Roman" w:eastAsia="Times New Roman" w:hAnsi="Times New Roman"/>
          <w:sz w:val="18"/>
          <w:szCs w:val="18"/>
          <w:color w:val="auto"/>
        </w:rPr>
        <w:t>. The Company and the Trustee may amend or supplement the Indenture or the Notes or waive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any provision of the Indenture or the Notes in the manner, and subject to the terms, set forth in Section 7.05 and Article 8 of the Indenture.</w:t>
      </w:r>
    </w:p>
    <w:p>
      <w:pPr>
        <w:spacing w:after="0" w:line="154" w:lineRule="exact"/>
        <w:rPr>
          <w:rFonts w:ascii="Times New Roman" w:cs="Times New Roman" w:eastAsia="Times New Roman" w:hAnsi="Times New Roman"/>
          <w:sz w:val="18"/>
          <w:szCs w:val="18"/>
          <w:color w:val="auto"/>
        </w:rPr>
      </w:pPr>
    </w:p>
    <w:p>
      <w:pPr>
        <w:jc w:val="both"/>
        <w:ind w:firstLine="656"/>
        <w:spacing w:after="0" w:line="262" w:lineRule="auto"/>
        <w:tabs>
          <w:tab w:leader="none" w:pos="117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Personal Liability of Directors, Officers, Employees and Stockholders</w:t>
      </w:r>
      <w:r>
        <w:rPr>
          <w:rFonts w:ascii="Times New Roman" w:cs="Times New Roman" w:eastAsia="Times New Roman" w:hAnsi="Times New Roman"/>
          <w:sz w:val="18"/>
          <w:szCs w:val="18"/>
          <w:color w:val="auto"/>
        </w:rPr>
        <w:t>. No past, present or future director, officer,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105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Authentication</w:t>
      </w:r>
      <w:r>
        <w:rPr>
          <w:rFonts w:ascii="Times New Roman" w:cs="Times New Roman" w:eastAsia="Times New Roman" w:hAnsi="Times New Roman"/>
          <w:sz w:val="18"/>
          <w:szCs w:val="18"/>
          <w:color w:val="auto"/>
        </w:rPr>
        <w:t>. No Note will be valid until it is authenticated by the Trustee. A Note will be deemed to be duly authenticated only when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signatory of the Trustee (or a duly appointed authenticating agent) manually signs the certificate of authentication of such Note.</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105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Abbreviations</w:t>
      </w:r>
      <w:r>
        <w:rPr>
          <w:rFonts w:ascii="Times New Roman" w:cs="Times New Roman" w:eastAsia="Times New Roman" w:hAnsi="Times New Roman"/>
          <w:sz w:val="18"/>
          <w:szCs w:val="18"/>
          <w:color w:val="auto"/>
        </w:rPr>
        <w:t>. Customary abbreviations may be used in the name of a Holder or its assignee, such as TEN COM (tenants in common),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 (tenants by the entireties), JT TEN (joint tenants with right of survivorship and not as tenants in common), CUST (custodian), and U/G/M/A (Uniform Gift to Minors Act).</w:t>
      </w:r>
    </w:p>
    <w:p>
      <w:pPr>
        <w:spacing w:after="0" w:line="170"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NOTE, AND ANY CLAIM, CONTROVERSY OR DISPUTE ARISING UNDER OR RELATED TO THIS NOTE,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GOVERNED BY AND CONSTRUED IN ACCORDANCE WITH THE LAWS OF THE STATE OF NEW YORK.</w:t>
      </w:r>
    </w:p>
    <w:p>
      <w:pPr>
        <w:spacing w:after="0" w:line="206"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request a copy of the Indenture, which the Company will provide to any Holder at no charge, please send a written request to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1413"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7373 Gateway Blvd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Newark, CA 94560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Attention: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9019"/>
          </w:cols>
          <w:pgMar w:left="1440" w:top="1417" w:right="1440" w:bottom="1440" w:gutter="0" w:footer="0" w:header="0"/>
        </w:sectPr>
      </w:pPr>
    </w:p>
    <w:bookmarkStart w:id="109" w:name="page110"/>
    <w:bookmarkEnd w:id="10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OF EXCHANGES OF INTERESTS IN THE GLOBAL NOTE</w:t>
      </w:r>
      <w:r>
        <w:rPr>
          <w:rFonts w:ascii="Times New Roman" w:cs="Times New Roman" w:eastAsia="Times New Roman" w:hAnsi="Times New Roman"/>
          <w:sz w:val="23"/>
          <w:szCs w:val="23"/>
          <w:color w:val="auto"/>
          <w:vertAlign w:val="superscript"/>
        </w:rPr>
        <w:t>*</w:t>
      </w:r>
    </w:p>
    <w:p>
      <w:pPr>
        <w:spacing w:after="0" w:line="17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INITIAL PRINCIPAL AMOUNT OF THIS GLOBAL NOTE: $[___]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transfers or cancellations of this Global Note have been made: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 Increase (Decrease) in</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Principal Amount of this Global</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 Authorized</w:t>
            </w:r>
          </w:p>
        </w:tc>
        <w:tc>
          <w:tcPr>
            <w:tcW w:w="0" w:type="dxa"/>
            <w:vAlign w:val="bottom"/>
          </w:tcPr>
          <w:p>
            <w:pPr>
              <w:spacing w:after="0"/>
              <w:rPr>
                <w:sz w:val="1"/>
                <w:szCs w:val="1"/>
                <w:color w:val="auto"/>
              </w:rPr>
            </w:pPr>
          </w:p>
        </w:tc>
      </w:tr>
      <w:tr>
        <w:trPr>
          <w:trHeight w:val="175"/>
        </w:trPr>
        <w:tc>
          <w:tcPr>
            <w:tcW w:w="2800" w:type="dxa"/>
            <w:vAlign w:val="bottom"/>
            <w:gridSpan w:val="3"/>
            <w:vMerge w:val="restart"/>
          </w:tcPr>
          <w:p>
            <w:pPr>
              <w:ind w:left="11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Principal Amount of this Global</w:t>
            </w:r>
          </w:p>
        </w:tc>
        <w:tc>
          <w:tcPr>
            <w:tcW w:w="2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Note</w:t>
            </w: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00" w:type="dxa"/>
            <w:vAlign w:val="bottom"/>
            <w:gridSpan w:val="3"/>
            <w:vMerge w:val="continue"/>
          </w:tcPr>
          <w:p>
            <w:pPr>
              <w:spacing w:after="0"/>
              <w:rPr>
                <w:sz w:val="21"/>
                <w:szCs w:val="21"/>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After Such Increase (Decrease)</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Signatory of Trustee</w:t>
            </w:r>
          </w:p>
        </w:tc>
        <w:tc>
          <w:tcPr>
            <w:tcW w:w="0" w:type="dxa"/>
            <w:vAlign w:val="bottom"/>
          </w:tcPr>
          <w:p>
            <w:pPr>
              <w:spacing w:after="0"/>
              <w:rPr>
                <w:sz w:val="1"/>
                <w:szCs w:val="1"/>
                <w:color w:val="auto"/>
              </w:rPr>
            </w:pPr>
          </w:p>
        </w:tc>
      </w:tr>
      <w:tr>
        <w:trPr>
          <w:trHeight w:val="250"/>
        </w:trPr>
        <w:tc>
          <w:tcPr>
            <w:tcW w:w="26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2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40" w:hanging="232"/>
        <w:spacing w:after="0"/>
        <w:tabs>
          <w:tab w:leader="none" w:pos="240" w:val="left"/>
        </w:tabs>
        <w:numPr>
          <w:ilvl w:val="0"/>
          <w:numId w:val="1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for Global Notes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60"/>
          </w:cols>
          <w:pgMar w:left="320" w:top="1413" w:right="41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7.00% Convertible Senior Notes due 2031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Indenture, by executing and delivering this Conversion Notice, the undersigned Holder of the Note identified below directs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convert (check one):</w:t>
      </w:r>
    </w:p>
    <w:p>
      <w:pPr>
        <w:spacing w:after="0" w:line="207" w:lineRule="exact"/>
        <w:rPr>
          <w:sz w:val="20"/>
          <w:szCs w:val="20"/>
          <w:color w:val="auto"/>
        </w:rPr>
      </w:pPr>
    </w:p>
    <w:p>
      <w:pPr>
        <w:ind w:left="360" w:hanging="352"/>
        <w:spacing w:after="0"/>
        <w:tabs>
          <w:tab w:leader="none" w:pos="360" w:val="left"/>
        </w:tabs>
        <w:numPr>
          <w:ilvl w:val="0"/>
          <w:numId w:val="13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940" w:type="dxa"/>
            <w:vAlign w:val="bottom"/>
            <w:tcBorders>
              <w:bottom w:val="single" w:sz="8" w:color="auto"/>
            </w:tcBorders>
          </w:tcPr>
          <w:p>
            <w:pPr>
              <w:spacing w:after="0"/>
              <w:rPr>
                <w:sz w:val="22"/>
                <w:szCs w:val="22"/>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aggregate principal amount of</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12"/>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Note identified by CUSIP No.</w:t>
            </w:r>
          </w:p>
        </w:tc>
        <w:tc>
          <w:tcPr>
            <w:tcW w:w="90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Certificate No.</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26035</wp:posOffset>
            </wp:positionV>
            <wp:extent cx="66433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4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3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34290</wp:posOffset>
            </wp:positionV>
            <wp:extent cx="39947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4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w:t>
      </w:r>
    </w:p>
    <w:p>
      <w:pPr>
        <w:spacing w:after="0" w:line="28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334645</wp:posOffset>
            </wp:positionV>
            <wp:extent cx="43719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63"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33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34290</wp:posOffset>
            </wp:positionV>
            <wp:extent cx="39947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5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16459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40" w:hanging="232"/>
        <w:spacing w:after="0"/>
        <w:tabs>
          <w:tab w:leader="none" w:pos="240" w:val="left"/>
        </w:tabs>
        <w:numPr>
          <w:ilvl w:val="0"/>
          <w:numId w:val="1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Must be an Authorized Denomination.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240"/>
          </w:cols>
          <w:pgMar w:left="320" w:top="1413"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FUNDAMENTAL CHANGE REPURCHASE NOTICE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7.00% Convertible Senior Notes due 2031</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by executing and delivering this Fundamental Change Repurchase Notice, the undersigned Holder of the Note identified below is exercising its Fundamental Change Repurchase Right with respect to (check one):</w:t>
      </w:r>
    </w:p>
    <w:p>
      <w:pPr>
        <w:spacing w:after="0" w:line="162" w:lineRule="exact"/>
        <w:rPr>
          <w:sz w:val="20"/>
          <w:szCs w:val="20"/>
          <w:color w:val="auto"/>
        </w:rPr>
      </w:pPr>
    </w:p>
    <w:p>
      <w:pPr>
        <w:ind w:left="360" w:hanging="352"/>
        <w:spacing w:after="0"/>
        <w:tabs>
          <w:tab w:leader="none" w:pos="360" w:val="left"/>
        </w:tabs>
        <w:numPr>
          <w:ilvl w:val="0"/>
          <w:numId w:val="1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940" w:type="dxa"/>
            <w:vAlign w:val="bottom"/>
            <w:tcBorders>
              <w:bottom w:val="single" w:sz="8" w:color="auto"/>
            </w:tcBorders>
          </w:tcPr>
          <w:p>
            <w:pPr>
              <w:spacing w:after="0"/>
              <w:rPr>
                <w:sz w:val="22"/>
                <w:szCs w:val="22"/>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aggregate principal amount of</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12"/>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Note identified by CUSIP No.</w:t>
            </w:r>
          </w:p>
        </w:tc>
        <w:tc>
          <w:tcPr>
            <w:tcW w:w="90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Certificate No.</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this Note, duly endorsed for transfer, must be delivered to the Paying Agent before the Fundamental Change Repurchase Price will be paid.</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17145</wp:posOffset>
            </wp:positionV>
            <wp:extent cx="6643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3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3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34290</wp:posOffset>
            </wp:positionV>
            <wp:extent cx="39947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4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w:t>
      </w:r>
    </w:p>
    <w:p>
      <w:pPr>
        <w:spacing w:after="0" w:line="28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334645</wp:posOffset>
            </wp:positionV>
            <wp:extent cx="43719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63"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33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34290</wp:posOffset>
            </wp:positionV>
            <wp:extent cx="39947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5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16459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40" w:hanging="232"/>
        <w:spacing w:after="0"/>
        <w:tabs>
          <w:tab w:leader="none" w:pos="240" w:val="left"/>
        </w:tabs>
        <w:numPr>
          <w:ilvl w:val="0"/>
          <w:numId w:val="1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Must be an Authorized Denomination.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240"/>
          </w:cols>
          <w:pgMar w:left="320" w:top="1413" w:right="339" w:bottom="1440" w:gutter="0" w:footer="0" w:header="0"/>
        </w:sectPr>
      </w:pPr>
    </w:p>
    <w:bookmarkStart w:id="112" w:name="page113"/>
    <w:bookmarkEnd w:id="11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OPTIONAL REPURCHASE NOTICE</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7.00% Convertible Senior Notes due 2031</w:t>
      </w:r>
    </w:p>
    <w:p>
      <w:pPr>
        <w:spacing w:after="0" w:line="200" w:lineRule="exact"/>
        <w:rPr>
          <w:sz w:val="20"/>
          <w:szCs w:val="20"/>
          <w:color w:val="auto"/>
        </w:rPr>
      </w:pPr>
    </w:p>
    <w:p>
      <w:pPr>
        <w:spacing w:after="0" w:line="2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7"/>
          <w:szCs w:val="17"/>
          <w:color w:val="auto"/>
        </w:rPr>
        <w:t>U.S. Bank Trust Company, National Association</w:t>
      </w:r>
    </w:p>
    <w:p>
      <w:pPr>
        <w:ind w:left="420"/>
        <w:spacing w:after="0" w:line="222" w:lineRule="auto"/>
        <w:rPr>
          <w:sz w:val="20"/>
          <w:szCs w:val="20"/>
          <w:color w:val="auto"/>
        </w:rPr>
      </w:pPr>
      <w:r>
        <w:rPr>
          <w:rFonts w:ascii="Times New Roman" w:cs="Times New Roman" w:eastAsia="Times New Roman" w:hAnsi="Times New Roman"/>
          <w:sz w:val="18"/>
          <w:szCs w:val="18"/>
          <w:color w:val="auto"/>
        </w:rPr>
        <w:t>633 W. Fifth Street, 24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ind w:left="4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Facsimile: (213) 615-6197</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Attention: B. Scarbrough (Lucid Group)</w:t>
      </w:r>
    </w:p>
    <w:p>
      <w:pPr>
        <w:spacing w:after="0" w:line="200" w:lineRule="exact"/>
        <w:rPr>
          <w:sz w:val="20"/>
          <w:szCs w:val="20"/>
          <w:color w:val="auto"/>
        </w:rPr>
      </w:pPr>
    </w:p>
    <w:p>
      <w:pPr>
        <w:spacing w:after="0" w:line="24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Lucid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regarding the right of Holders to elect to require the Company to repurchase their Notes on the Optional Repurchase Date and requests and instructs the Company to repurchase the entire principal amount of this Note, or the portion thereof (that is $1,000 principal amount or an integral multiple thereof) below designated, in accordance with </w:t>
      </w:r>
      <w:r>
        <w:rPr>
          <w:rFonts w:ascii="Times New Roman" w:cs="Times New Roman" w:eastAsia="Times New Roman" w:hAnsi="Times New Roman"/>
          <w:sz w:val="18"/>
          <w:szCs w:val="18"/>
          <w:b w:val="1"/>
          <w:bCs w:val="1"/>
          <w:color w:val="auto"/>
        </w:rPr>
        <w:t>Section 4.04</w:t>
      </w:r>
      <w:r>
        <w:rPr>
          <w:rFonts w:ascii="Times New Roman" w:cs="Times New Roman" w:eastAsia="Times New Roman" w:hAnsi="Times New Roman"/>
          <w:sz w:val="18"/>
          <w:szCs w:val="18"/>
          <w:color w:val="auto"/>
        </w:rPr>
        <w:t xml:space="preserve"> of the Indenture referred to in this Note, at the Optional Repurchase Price from the registered holder 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351790</wp:posOffset>
            </wp:positionV>
            <wp:extent cx="39947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9478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17145</wp:posOffset>
            </wp:positionV>
            <wp:extent cx="18256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351790</wp:posOffset>
            </wp:positionV>
            <wp:extent cx="39947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0" w:lineRule="exact"/>
        <w:rPr>
          <w:sz w:val="20"/>
          <w:szCs w:val="20"/>
          <w:color w:val="auto"/>
        </w:rPr>
      </w:pPr>
    </w:p>
    <w:p>
      <w:pPr>
        <w:spacing w:after="0" w:line="34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amount to be repurchased (if less than all):</w:t>
      </w:r>
    </w:p>
    <w:p>
      <w:pPr>
        <w:spacing w:after="0" w:line="27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$______,000</w:t>
      </w:r>
    </w:p>
    <w:p>
      <w:pPr>
        <w:spacing w:after="0" w:line="200" w:lineRule="exact"/>
        <w:rPr>
          <w:sz w:val="20"/>
          <w:szCs w:val="20"/>
          <w:color w:val="auto"/>
        </w:rPr>
      </w:pPr>
    </w:p>
    <w:p>
      <w:pPr>
        <w:spacing w:after="0" w:line="349" w:lineRule="exact"/>
        <w:rPr>
          <w:sz w:val="20"/>
          <w:szCs w:val="20"/>
          <w:color w:val="auto"/>
        </w:rPr>
      </w:pPr>
    </w:p>
    <w:p>
      <w:pPr>
        <w:jc w:val="both"/>
        <w:ind w:left="4960" w:right="60"/>
        <w:spacing w:after="0" w:line="266"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00"/>
          </w:cols>
          <w:pgMar w:left="320" w:top="1413" w:right="579" w:bottom="1440" w:gutter="0" w:footer="0" w:header="0"/>
        </w:sectPr>
      </w:pPr>
    </w:p>
    <w:bookmarkStart w:id="113" w:name="page114"/>
    <w:bookmarkEnd w:id="113"/>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7.00% Convertible Senior Notes due 2031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Indenture, the undersigned Holder of the within Note assigns to:</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17145</wp:posOffset>
            </wp:positionV>
            <wp:extent cx="36518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17145</wp:posOffset>
            </wp:positionV>
            <wp:extent cx="36518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within Note and all rights thereunder irrevocably appoints: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agent to transfer the within Note on the books of the Company. The agent may substitute another to act for him/her.</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17145</wp:posOffset>
            </wp:positionV>
            <wp:extent cx="66433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3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3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34290</wp:posOffset>
            </wp:positionV>
            <wp:extent cx="39947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4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8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334645</wp:posOffset>
            </wp:positionV>
            <wp:extent cx="43719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7"/>
          <w:szCs w:val="17"/>
          <w:color w:val="auto"/>
        </w:rPr>
        <w:t>Participant in a Recognized Signature</w:t>
      </w:r>
    </w:p>
    <w:p>
      <w:pPr>
        <w:spacing w:after="0" w:line="75"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33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34290</wp:posOffset>
            </wp:positionV>
            <wp:extent cx="39947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5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139"/>
          </w:cols>
          <w:pgMar w:left="320" w:top="1413" w:right="1440"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color w:val="auto"/>
        </w:rPr>
        <w:t>TRANSFEROR ACKNOWLEDGMENT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within Note bears a Restricted Note Legend, the undersigned further certifies that (check one):</w:t>
      </w:r>
    </w:p>
    <w:p>
      <w:pPr>
        <w:spacing w:after="0" w:line="184" w:lineRule="exact"/>
        <w:rPr>
          <w:sz w:val="20"/>
          <w:szCs w:val="20"/>
          <w:color w:val="auto"/>
        </w:rPr>
      </w:pPr>
    </w:p>
    <w:p>
      <w:pPr>
        <w:ind w:left="320" w:hanging="312"/>
        <w:spacing w:after="0" w:line="207" w:lineRule="exact"/>
        <w:tabs>
          <w:tab w:leader="none" w:pos="320" w:val="left"/>
        </w:tabs>
        <w:numPr>
          <w:ilvl w:val="0"/>
          <w:numId w:val="1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to the Company or a Subsidiary of the Company.</w:t>
      </w:r>
    </w:p>
    <w:p>
      <w:pPr>
        <w:spacing w:after="0" w:line="225" w:lineRule="exact"/>
        <w:rPr>
          <w:rFonts w:ascii="Times New Roman" w:cs="Times New Roman" w:eastAsia="Times New Roman" w:hAnsi="Times New Roman"/>
          <w:sz w:val="18"/>
          <w:szCs w:val="18"/>
          <w:color w:val="auto"/>
        </w:rPr>
      </w:pPr>
    </w:p>
    <w:p>
      <w:pPr>
        <w:ind w:left="660" w:hanging="652"/>
        <w:spacing w:after="0" w:line="245" w:lineRule="exact"/>
        <w:tabs>
          <w:tab w:leader="none" w:pos="354" w:val="left"/>
        </w:tabs>
        <w:numPr>
          <w:ilvl w:val="0"/>
          <w:numId w:val="1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a registration statement that is effective under the Securities Act at the time of the Transfer.</w:t>
      </w:r>
    </w:p>
    <w:p>
      <w:pPr>
        <w:spacing w:after="0" w:line="158" w:lineRule="exact"/>
        <w:rPr>
          <w:rFonts w:ascii="Times New Roman" w:cs="Times New Roman" w:eastAsia="Times New Roman" w:hAnsi="Times New Roman"/>
          <w:sz w:val="18"/>
          <w:szCs w:val="18"/>
          <w:color w:val="auto"/>
        </w:rPr>
      </w:pPr>
    </w:p>
    <w:p>
      <w:pPr>
        <w:ind w:left="660" w:hanging="652"/>
        <w:spacing w:after="0" w:line="228" w:lineRule="exact"/>
        <w:tabs>
          <w:tab w:leader="none" w:pos="354" w:val="left"/>
        </w:tabs>
        <w:numPr>
          <w:ilvl w:val="0"/>
          <w:numId w:val="1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person reasonably believed to be a “qualified institutional buyer” within the meaning of Rule 144A under the Securities Act in a transaction meeting the requirements of Rule 144A.</w:t>
      </w:r>
    </w:p>
    <w:p>
      <w:pPr>
        <w:spacing w:after="0" w:line="157" w:lineRule="exact"/>
        <w:rPr>
          <w:rFonts w:ascii="Times New Roman" w:cs="Times New Roman" w:eastAsia="Times New Roman" w:hAnsi="Times New Roman"/>
          <w:sz w:val="18"/>
          <w:szCs w:val="18"/>
          <w:color w:val="auto"/>
        </w:rPr>
      </w:pPr>
    </w:p>
    <w:p>
      <w:pPr>
        <w:ind w:left="660" w:hanging="652"/>
        <w:spacing w:after="0" w:line="245" w:lineRule="exact"/>
        <w:tabs>
          <w:tab w:leader="none" w:pos="421" w:val="left"/>
        </w:tabs>
        <w:numPr>
          <w:ilvl w:val="0"/>
          <w:numId w:val="1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any other available exemption from the registration requirements of the Securities Act (including, if available, the exemption provided by Rule 144 under the Securities Act).</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3985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8589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17145</wp:posOffset>
            </wp:positionV>
            <wp:extent cx="34118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34290</wp:posOffset>
            </wp:positionV>
            <wp:extent cx="34118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Title:</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3985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63"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34290</wp:posOffset>
            </wp:positionV>
            <wp:extent cx="34118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240"/>
          </w:cols>
          <w:pgMar w:left="320" w:top="14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B-1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RESTRICTED NOTE LEGEND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spacing w:after="0" w:line="180" w:lineRule="exact"/>
        <w:rPr>
          <w:sz w:val="20"/>
          <w:szCs w:val="20"/>
          <w:color w:val="auto"/>
        </w:rPr>
      </w:pPr>
    </w:p>
    <w:p>
      <w:pPr>
        <w:ind w:left="660" w:hanging="652"/>
        <w:spacing w:after="0" w:line="266" w:lineRule="auto"/>
        <w:tabs>
          <w:tab w:leader="none" w:pos="45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42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THE COMPANY THAT IT WILL NOT OFFER, SELL OR OTHERWISE TRANSFER THIS NOTE OR ANY BENEFICIAL INTEREST HEREIN, EXCEPT ONLY:</w:t>
      </w:r>
    </w:p>
    <w:p>
      <w:pPr>
        <w:spacing w:after="0" w:line="16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QUALIFIED INSTITUTIONAL BUYER IN COMPLIANCE WITH RULE 144A UNDER THE SECURITIES ACT;</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144 UNDER THE SECURITIES ACT;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25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OTHER EXEMPTION FROM, OR IN A TRANSACTION NOT SUBJECT TO, THE REGISTRATION REQUIREMENTS OF THE SECURITIES ACT.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THE REGISTRATION OF ANY SALE OR TRANSFER IN ACCORDANCE WITH (2)(D) OR (E) ABOVE, THE COMPANY, THE TRUSTEE AND THE REGISTRAR RESERVE THE RIGHT TO REQUIRE THE DELIVERY OF SUCH CERTIFICATES OR OTHER DOCUMENTATION OR EVIDENCE AS THEY MAY REASONABLY REQUIRE IN ORDER FOR THE COMPANY TO DETERMINE THAT THE PROPOSED SALE OR TRANSFER IS BEING MADE IN COMPLIANCE WITH THE SECURITIES ACT AND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240"/>
          </w:cols>
          <w:pgMar w:left="320" w:top="141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B-2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GLOBAL NOTE LEGEND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240"/>
          </w:cols>
          <w:pgMar w:left="320" w:top="141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B-3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NON-AFFILIATE LEGEND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AFFILIATE (AS DEFINED IN RULE 144 UNDER THE SECURITIES ACT OF 1933, AS AMENDED) OF THE COMPANY, OR ANY PERSON OR ENTITY THAT WAS AN AFFILIATE (AS DEFINED UNDER RULE 144 UNDER THE SECURITIES ACT OF 1933, AS AMENDED) OF THE COMPANY WITHIN THE THREE MONTHS IMMEDIATELY PRECEDING MAY PURCHASE OR OTHERWISE ACQUIRE THIS NOTE OR ANY BENEFICIAL INTEREST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B3-1</w:t>
      </w:r>
    </w:p>
    <w:p>
      <w:pPr>
        <w:sectPr>
          <w:pgSz w:w="11900" w:h="16838" w:orient="portrait"/>
          <w:cols w:equalWidth="0" w:num="1">
            <w:col w:w="11240"/>
          </w:cols>
          <w:pgMar w:left="320" w:top="141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AMENDMENT NO. 6 TO INVESTOR RIGHTS AGREEMENT</w:t>
      </w:r>
    </w:p>
    <w:p>
      <w:pPr>
        <w:spacing w:after="0" w:line="22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November 11, 2025</w:t>
      </w:r>
    </w:p>
    <w:p>
      <w:pPr>
        <w:spacing w:after="0" w:line="216" w:lineRule="exact"/>
        <w:rPr>
          <w:sz w:val="20"/>
          <w:szCs w:val="20"/>
          <w:color w:val="auto"/>
        </w:rPr>
      </w:pPr>
    </w:p>
    <w:p>
      <w:pPr>
        <w:ind w:right="80" w:firstLine="648"/>
        <w:spacing w:after="0" w:line="265" w:lineRule="auto"/>
        <w:rPr>
          <w:sz w:val="20"/>
          <w:szCs w:val="20"/>
          <w:color w:val="auto"/>
        </w:rPr>
      </w:pPr>
      <w:r>
        <w:rPr>
          <w:rFonts w:ascii="Times New Roman" w:cs="Times New Roman" w:eastAsia="Times New Roman" w:hAnsi="Times New Roman"/>
          <w:sz w:val="21"/>
          <w:szCs w:val="21"/>
          <w:color w:val="auto"/>
        </w:rPr>
        <w:t>This Amendment No. 6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effective as of the date of the Second Prepaid Forward Confirmation (as defined below), is made to that certain Investor Rights Agreement, dated as of February 22, 2021, as amended from time to time,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by and among (i) Churchill Capital Corp IV, a Delaware corporation (“</w:t>
      </w:r>
      <w:r>
        <w:rPr>
          <w:rFonts w:ascii="Times New Roman" w:cs="Times New Roman" w:eastAsia="Times New Roman" w:hAnsi="Times New Roman"/>
          <w:sz w:val="21"/>
          <w:szCs w:val="21"/>
          <w:b w:val="1"/>
          <w:bCs w:val="1"/>
          <w:color w:val="auto"/>
        </w:rPr>
        <w:t>PubCo</w:t>
      </w:r>
      <w:r>
        <w:rPr>
          <w:rFonts w:ascii="Times New Roman" w:cs="Times New Roman" w:eastAsia="Times New Roman" w:hAnsi="Times New Roman"/>
          <w:sz w:val="21"/>
          <w:szCs w:val="21"/>
          <w:color w:val="auto"/>
        </w:rPr>
        <w:t>”); (ii) Ayar Third Investment Company, a single shareholder limited liability company organized under the laws of the Kingdom of Saudi Arabia (“</w:t>
      </w:r>
      <w:r>
        <w:rPr>
          <w:rFonts w:ascii="Times New Roman" w:cs="Times New Roman" w:eastAsia="Times New Roman" w:hAnsi="Times New Roman"/>
          <w:sz w:val="21"/>
          <w:szCs w:val="21"/>
          <w:b w:val="1"/>
          <w:bCs w:val="1"/>
          <w:color w:val="auto"/>
        </w:rPr>
        <w:t>Ayar</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right="860" w:firstLine="8"/>
        <w:spacing w:after="0" w:line="252" w:lineRule="auto"/>
        <w:tabs>
          <w:tab w:leader="none" w:pos="37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Persons identified on the signature pages to the Agreement or on the signature pages to a joinder to the Agreement; and (iv) Churchill Sponsor IV LLC, a Delaware limited liability company. Unless otherwise defined herein, capitalized terms used herein shall have the meanings given to such terms in the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in connection with the Business Combination, PubCo changed its name to “Lucid Group, Inc.”</w:t>
      </w:r>
    </w:p>
    <w:p>
      <w:pPr>
        <w:spacing w:after="0" w:line="220"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WHEREAS, as of April 2, 2025, PubCo entered into a purchase agreement with certain initial purchasers named therein in connection with the issuance and sale of its 5.00% convertible senior notes due 2030 (the “</w:t>
      </w:r>
      <w:r>
        <w:rPr>
          <w:rFonts w:ascii="Times New Roman" w:cs="Times New Roman" w:eastAsia="Times New Roman" w:hAnsi="Times New Roman"/>
          <w:sz w:val="22"/>
          <w:szCs w:val="22"/>
          <w:b w:val="1"/>
          <w:bCs w:val="1"/>
          <w:color w:val="auto"/>
        </w:rPr>
        <w:t>2030 Notes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21"/>
          <w:szCs w:val="21"/>
          <w:color w:val="auto"/>
        </w:rPr>
        <w:t>WHEREAS, in connection with the issuance and sale of the 2030 Notes, as of April 2, 2025, Ayar entered into a privately negotiated prepaid forward confirmation (the “</w:t>
      </w:r>
      <w:r>
        <w:rPr>
          <w:rFonts w:ascii="Times New Roman" w:cs="Times New Roman" w:eastAsia="Times New Roman" w:hAnsi="Times New Roman"/>
          <w:sz w:val="21"/>
          <w:szCs w:val="21"/>
          <w:b w:val="1"/>
          <w:bCs w:val="1"/>
          <w:color w:val="auto"/>
        </w:rPr>
        <w:t>First Prepaid Forward Confirmation</w:t>
      </w:r>
      <w:r>
        <w:rPr>
          <w:rFonts w:ascii="Times New Roman" w:cs="Times New Roman" w:eastAsia="Times New Roman" w:hAnsi="Times New Roman"/>
          <w:sz w:val="21"/>
          <w:szCs w:val="21"/>
          <w:color w:val="auto"/>
        </w:rPr>
        <w:t>”) with a forward counterparty that is an affiliate of one of the initial purchasers of the 2030 Notes, pursuant to which Ayar will purchase shares of Pubco’s Class A Common Stock, par value $0.0001 per share (the “</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that are expected to be delivered on or about the maturity date for the 2030 Notes, subject to certain conditions set forth therein (such shares, the “</w:t>
      </w:r>
      <w:r>
        <w:rPr>
          <w:rFonts w:ascii="Times New Roman" w:cs="Times New Roman" w:eastAsia="Times New Roman" w:hAnsi="Times New Roman"/>
          <w:sz w:val="21"/>
          <w:szCs w:val="21"/>
          <w:b w:val="1"/>
          <w:bCs w:val="1"/>
          <w:color w:val="auto"/>
        </w:rPr>
        <w:t>First Prepaid Forward Shares</w:t>
      </w:r>
      <w:r>
        <w:rPr>
          <w:rFonts w:ascii="Times New Roman" w:cs="Times New Roman" w:eastAsia="Times New Roman" w:hAnsi="Times New Roman"/>
          <w:sz w:val="21"/>
          <w:szCs w:val="21"/>
          <w:color w:val="auto"/>
        </w:rPr>
        <w:t>”), and PubCo and Ayar agreed to amend the Agreement as set forth in this Amendment as it relates to the First Prepaid Forward Shares;</w:t>
      </w:r>
    </w:p>
    <w:p>
      <w:pPr>
        <w:spacing w:after="0" w:line="169"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22"/>
          <w:szCs w:val="22"/>
          <w:color w:val="auto"/>
        </w:rPr>
        <w:t>WHEREAS, as of November 11, 2025, PubCo entered into a purchase agreement with certain initial purchasers named therein in connection with the public offering of its 7.00% convertible senior notes due 2031 (the “</w:t>
      </w:r>
      <w:r>
        <w:rPr>
          <w:rFonts w:ascii="Times New Roman" w:cs="Times New Roman" w:eastAsia="Times New Roman" w:hAnsi="Times New Roman"/>
          <w:sz w:val="22"/>
          <w:szCs w:val="22"/>
          <w:b w:val="1"/>
          <w:bCs w:val="1"/>
          <w:color w:val="auto"/>
        </w:rPr>
        <w:t>2031 Notes</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in connection with the issuance and sale of the 2031 Notes, as of November 11, 2025, Ayar entered into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privately negotiated prepaid forward confirmation (the “</w:t>
      </w:r>
      <w:r>
        <w:rPr>
          <w:rFonts w:ascii="Times New Roman" w:cs="Times New Roman" w:eastAsia="Times New Roman" w:hAnsi="Times New Roman"/>
          <w:sz w:val="22"/>
          <w:szCs w:val="22"/>
          <w:b w:val="1"/>
          <w:bCs w:val="1"/>
          <w:color w:val="auto"/>
        </w:rPr>
        <w:t>Second Prepaid Forward Confirmation</w:t>
      </w:r>
      <w:r>
        <w:rPr>
          <w:rFonts w:ascii="Times New Roman" w:cs="Times New Roman" w:eastAsia="Times New Roman" w:hAnsi="Times New Roman"/>
          <w:sz w:val="22"/>
          <w:szCs w:val="22"/>
          <w:color w:val="auto"/>
        </w:rPr>
        <w:t>,” and together with the First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Prepaid Forward Confirmation, the “</w:t>
      </w:r>
      <w:r>
        <w:rPr>
          <w:rFonts w:ascii="Times New Roman" w:cs="Times New Roman" w:eastAsia="Times New Roman" w:hAnsi="Times New Roman"/>
          <w:sz w:val="21"/>
          <w:szCs w:val="21"/>
          <w:b w:val="1"/>
          <w:bCs w:val="1"/>
          <w:color w:val="auto"/>
        </w:rPr>
        <w:t>Prepaid Forward Confirmations</w:t>
      </w:r>
      <w:r>
        <w:rPr>
          <w:rFonts w:ascii="Times New Roman" w:cs="Times New Roman" w:eastAsia="Times New Roman" w:hAnsi="Times New Roman"/>
          <w:sz w:val="21"/>
          <w:szCs w:val="21"/>
          <w:color w:val="auto"/>
        </w:rPr>
        <w:t>”) with a forward counterparty that is an affiliate of one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initial purchasers of the 2031 Notes, pursuant to which Ayar will purchase shares of Common Stock that are expected to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delivered on or about the maturity date for the 2031 Notes, subject to certain conditions set forth therein (such shares,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Second Prepaid Forward Shares</w:t>
      </w:r>
      <w:r>
        <w:rPr>
          <w:rFonts w:ascii="Times New Roman" w:cs="Times New Roman" w:eastAsia="Times New Roman" w:hAnsi="Times New Roman"/>
          <w:sz w:val="21"/>
          <w:szCs w:val="21"/>
          <w:color w:val="auto"/>
        </w:rPr>
        <w:t>,” and together with the First Prepaid Forward Shares, the “</w:t>
      </w:r>
      <w:r>
        <w:rPr>
          <w:rFonts w:ascii="Times New Roman" w:cs="Times New Roman" w:eastAsia="Times New Roman" w:hAnsi="Times New Roman"/>
          <w:sz w:val="21"/>
          <w:szCs w:val="21"/>
          <w:b w:val="1"/>
          <w:bCs w:val="1"/>
          <w:color w:val="auto"/>
        </w:rPr>
        <w:t>Prepaid Forward Shares</w:t>
      </w:r>
      <w:r>
        <w:rPr>
          <w:rFonts w:ascii="Times New Roman" w:cs="Times New Roman" w:eastAsia="Times New Roman" w:hAnsi="Times New Roman"/>
          <w:sz w:val="21"/>
          <w:szCs w:val="21"/>
          <w:color w:val="auto"/>
        </w:rPr>
        <w:t>”), 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PubCo and Ayar agreed to amend the Agreement as set forth in this Amendment as it relates to the Second Prepaid Forward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1240"/>
          </w:cols>
          <w:pgMar w:left="320" w:top="94" w:right="339" w:bottom="1440" w:gutter="0" w:footer="0" w:header="0"/>
        </w:sectPr>
      </w:pPr>
    </w:p>
    <w:bookmarkStart w:id="119" w:name="page120"/>
    <w:bookmarkEnd w:id="119"/>
    <w:p>
      <w:pPr>
        <w:spacing w:after="0" w:line="198"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WHEREAS, pursuant to Section 5.4(b) of the Agreement, the Agreement may be amended in whole or in part at any time with the express written consent of PubCo and the Holders holding in the aggregate more than fifty percent (50%) of the Registrable Securities Beneficially Owned by the Holders at such time;</w:t>
      </w:r>
    </w:p>
    <w:p>
      <w:pPr>
        <w:spacing w:after="0" w:line="18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WHEREAS, Ayar holds more than fifty percent (50%) of the Registrable Securities Beneficially Owned by the Holders as of the date hereof;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Ayar and PubCo amend the Agreement as set forth in this Amendment.</w:t>
      </w:r>
    </w:p>
    <w:p>
      <w:pPr>
        <w:spacing w:after="0" w:line="220" w:lineRule="exact"/>
        <w:rPr>
          <w:sz w:val="20"/>
          <w:szCs w:val="20"/>
          <w:color w:val="auto"/>
        </w:rPr>
      </w:pPr>
    </w:p>
    <w:p>
      <w:pPr>
        <w:jc w:val="both"/>
        <w:ind w:right="300"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all of the parties hereto mutually agree, with effect as of the date hereof, to the following:</w:t>
      </w:r>
    </w:p>
    <w:p>
      <w:pPr>
        <w:spacing w:after="0" w:line="16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The definition of “Registrable Securities” in Section 1.1 of the Agreement is amended to read:</w:t>
      </w:r>
    </w:p>
    <w:p>
      <w:pPr>
        <w:spacing w:after="0" w:line="2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Registrable Securities</w:t>
      </w:r>
      <w:r>
        <w:rPr>
          <w:rFonts w:ascii="Times New Roman" w:cs="Times New Roman" w:eastAsia="Times New Roman" w:hAnsi="Times New Roman"/>
          <w:sz w:val="21"/>
          <w:szCs w:val="21"/>
          <w:color w:val="auto"/>
        </w:rPr>
        <w:t xml:space="preserve">” means (a) any shares of Common Stock, (b) any Warrants or any shares of Common Stock issued or issuable upon the exercise thereof,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and (d) with respect to Ayar only, the Placement Shares, the Second Placement Shares, the Third Placement Shares, the Fourth Placement Shares, the Fifth Placement Shares and the Prepaid Forward Shares;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however, </w:t>
      </w:r>
      <w:r>
        <w:rPr>
          <w:rFonts w:ascii="Times New Roman" w:cs="Times New Roman" w:eastAsia="Times New Roman" w:hAnsi="Times New Roman"/>
          <w:sz w:val="21"/>
          <w:szCs w:val="21"/>
          <w:color w:val="auto"/>
        </w:rPr>
        <w:t>that any such Registrable Securities shall cease to be Registrable Securities to the extent (A) a Registration Statement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the Series A Convertible Preferred Stock, or the Series B Convertible Preferred Stock (although it shall include the shares of Common Stock issued or issuable upon the exercise or conversion thereof).</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1"/>
          <w:szCs w:val="21"/>
          <w:color w:val="auto"/>
        </w:rPr>
        <w:t>A new section 3.20 is added at the end of Article III, which reads: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Section 3.20. Shelf Registration of Prepaid Forward Shares.</w:t>
      </w:r>
    </w:p>
    <w:p>
      <w:pPr>
        <w:spacing w:after="0" w:line="220" w:lineRule="exact"/>
        <w:rPr>
          <w:sz w:val="20"/>
          <w:szCs w:val="20"/>
          <w:color w:val="auto"/>
        </w:rPr>
      </w:pPr>
    </w:p>
    <w:p>
      <w:pPr>
        <w:jc w:val="both"/>
        <w:ind w:right="160" w:firstLine="656"/>
        <w:spacing w:after="0" w:line="265" w:lineRule="auto"/>
        <w:tabs>
          <w:tab w:leader="none" w:pos="110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3.1 Not Applicable</w:t>
      </w:r>
      <w:r>
        <w:rPr>
          <w:rFonts w:ascii="Times New Roman" w:cs="Times New Roman" w:eastAsia="Times New Roman" w:hAnsi="Times New Roman"/>
          <w:sz w:val="22"/>
          <w:szCs w:val="22"/>
          <w:color w:val="auto"/>
        </w:rPr>
        <w:t>. Section 3.1(a) of the Investor Rights Agreement shall not apply to the Prepaid Forward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Prior to the Sixth Shelf Registration Deadline (as defined below), Sections 3.1(b) through 3.1(d) and 3.2 through 3.17 of the Investor Rights Agreement shall not apply to the Prepaid Forward Shares.</w:t>
      </w:r>
    </w:p>
    <w:p>
      <w:pPr>
        <w:spacing w:after="0" w:line="161" w:lineRule="exact"/>
        <w:rPr>
          <w:rFonts w:ascii="Times New Roman" w:cs="Times New Roman" w:eastAsia="Times New Roman" w:hAnsi="Times New Roman"/>
          <w:sz w:val="22"/>
          <w:szCs w:val="22"/>
          <w:color w:val="auto"/>
        </w:rPr>
      </w:pPr>
    </w:p>
    <w:p>
      <w:pPr>
        <w:ind w:firstLine="656"/>
        <w:spacing w:after="0" w:line="260" w:lineRule="auto"/>
        <w:tabs>
          <w:tab w:leader="none" w:pos="1116"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Filing</w:t>
      </w:r>
      <w:r>
        <w:rPr>
          <w:rFonts w:ascii="Times New Roman" w:cs="Times New Roman" w:eastAsia="Times New Roman" w:hAnsi="Times New Roman"/>
          <w:sz w:val="21"/>
          <w:szCs w:val="21"/>
          <w:color w:val="auto"/>
        </w:rPr>
        <w:t>. PubCo shall use its commercially reasonable efforts to file and cause to become effective under the Securities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Act within sixty (60) days from the date of the Second Prepaid Forward Confirmation (the “</w:t>
      </w:r>
      <w:r>
        <w:rPr>
          <w:rFonts w:ascii="Times New Roman" w:cs="Times New Roman" w:eastAsia="Times New Roman" w:hAnsi="Times New Roman"/>
          <w:sz w:val="21"/>
          <w:szCs w:val="21"/>
          <w:b w:val="1"/>
          <w:bCs w:val="1"/>
          <w:color w:val="auto"/>
        </w:rPr>
        <w:t>Sixth Shelf Registration Deadline</w:t>
      </w:r>
      <w:r>
        <w:rPr>
          <w:rFonts w:ascii="Times New Roman" w:cs="Times New Roman" w:eastAsia="Times New Roman" w:hAnsi="Times New Roman"/>
          <w:sz w:val="21"/>
          <w:szCs w:val="21"/>
          <w:color w:val="auto"/>
        </w:rPr>
        <w:t>”) a Shelf Registration Statement (it being agreed that the Shelf Registration shall be an Automatic Shelf Registration Statement if PubCo is a Well-Known Seasoned Issuer at the time of filing), or, if permitted, an amendment or a prospectus supplement to a Shelf Registration Statement then already filed, covering the resale on a delayed or continuous basis of the maximum number of the Prepaid Forward Shares that Ayar is entitled to receive under the Prepaid Forward Confirmations.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PubCo shall also use its commercially reasonable efforts to file any replacement or additional Shelf Registration Statement and use commercially reasonable efforts to cause such replacement or additional Shelf Registration Statement to become effective prior to the expiration of the initial Shelf Registration Statement filed pursuant to this Section 3.20.</w:t>
      </w:r>
    </w:p>
    <w:p>
      <w:pPr>
        <w:spacing w:after="0" w:line="181" w:lineRule="exact"/>
        <w:rPr>
          <w:sz w:val="20"/>
          <w:szCs w:val="20"/>
          <w:color w:val="auto"/>
        </w:rPr>
      </w:pPr>
    </w:p>
    <w:p>
      <w:pPr>
        <w:ind w:right="160"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foregoing, if the SEC prevents the Company from including any or all of the Registrable Securities on the Shelf Registration Statement due to limitations on the use of Rule 415 of the Securities Act for the resale of the Registrable Securities by Ayar, the Shelf Registration Statement shall register the resale of a number of shares of the Registrable Securities which is equal to the maximum number of shares as is permitted by the SEC, and, subject to the provisions of this Section 3.20(b), the Company shall continue to its use commercially reasonable efforts to register all remaining Registrable Securities as set forth in this Section 3.20(b). Notwithstanding anything herein to the contrary, if the SEC limits the Company’s ability to file, or prohibits or delays the filing of, a Shelf Registration Statement or a Subsequent Shelf Registration with respect to any or all the Registrable Securities, the Company’s compliance with such limitation, prohibition or delay solely to the extent of such limitation, prohibition or delay shall not be a breach or default by the Company under this Agreement and shall not be deemed a failure by the Company to use “commercially reasonable efforts” or “reasonable efforts” as set forth above or elsewhere in this Agreement.</w:t>
      </w:r>
    </w:p>
    <w:p>
      <w:pPr>
        <w:spacing w:after="0" w:line="185" w:lineRule="exact"/>
        <w:rPr>
          <w:sz w:val="20"/>
          <w:szCs w:val="20"/>
          <w:color w:val="auto"/>
        </w:rPr>
      </w:pPr>
    </w:p>
    <w:p>
      <w:pPr>
        <w:jc w:val="both"/>
        <w:ind w:right="60" w:firstLine="648"/>
        <w:spacing w:after="0" w:line="265" w:lineRule="auto"/>
        <w:rPr>
          <w:sz w:val="20"/>
          <w:szCs w:val="20"/>
          <w:color w:val="auto"/>
        </w:rPr>
      </w:pPr>
      <w:r>
        <w:rPr>
          <w:rFonts w:ascii="Times New Roman" w:cs="Times New Roman" w:eastAsia="Times New Roman" w:hAnsi="Times New Roman"/>
          <w:sz w:val="22"/>
          <w:szCs w:val="22"/>
          <w:color w:val="auto"/>
        </w:rPr>
        <w:t xml:space="preserve">Sections 5.1, 5.3, 5.4, 5.5, 5.6, 5.7, 5.13 and 5.14 of the Agreement are hereby incorporated into this Amendment,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mutandis. </w:t>
      </w:r>
      <w:r>
        <w:rPr>
          <w:rFonts w:ascii="Times New Roman" w:cs="Times New Roman" w:eastAsia="Times New Roman" w:hAnsi="Times New Roman"/>
          <w:sz w:val="22"/>
          <w:szCs w:val="22"/>
          <w:color w:val="auto"/>
        </w:rPr>
        <w:t>Except as modified and amended herein, all other terms and provisions of the Agreement will not be amended and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remain in full force and effect.</w:t>
      </w:r>
    </w:p>
    <w:p>
      <w:pPr>
        <w:spacing w:after="0" w:line="1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9019"/>
          </w:cols>
          <w:pgMar w:left="1440" w:top="1440" w:right="1440" w:bottom="1440" w:gutter="0" w:footer="0" w:header="0"/>
          <w:type w:val="continuous"/>
        </w:sectPr>
      </w:pPr>
    </w:p>
    <w:bookmarkStart w:id="122" w:name="page123"/>
    <w:bookmarkEnd w:id="122"/>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and delivered as of the date first above written.</w:t>
      </w:r>
    </w:p>
    <w:p>
      <w:pPr>
        <w:spacing w:after="0" w:line="18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b w:val="1"/>
          <w:bCs w:val="1"/>
          <w:color w:val="auto"/>
        </w:rPr>
        <w:t>LUCID GROUP, INC.</w:t>
      </w:r>
    </w:p>
    <w:p>
      <w:pPr>
        <w:spacing w:after="0" w:line="305" w:lineRule="exact"/>
        <w:rPr>
          <w:sz w:val="20"/>
          <w:szCs w:val="20"/>
          <w:color w:val="auto"/>
        </w:rPr>
      </w:pPr>
    </w:p>
    <w:p>
      <w:pPr>
        <w:ind w:left="5680"/>
        <w:spacing w:after="0"/>
        <w:tabs>
          <w:tab w:leader="none" w:pos="6260" w:val="left"/>
        </w:tabs>
        <w:rPr>
          <w:sz w:val="20"/>
          <w:szCs w:val="20"/>
          <w:color w:val="auto"/>
        </w:rPr>
      </w:pPr>
      <w:r>
        <w:rPr>
          <w:rFonts w:ascii="Times New Roman" w:cs="Times New Roman" w:eastAsia="Times New Roman" w:hAnsi="Times New Roman"/>
          <w:sz w:val="22"/>
          <w:szCs w:val="22"/>
          <w:color w:val="auto"/>
        </w:rPr>
        <w:t>By:</w:t>
        <w:tab/>
        <w:t>/s/ Taoufiq Boussaid</w:t>
      </w:r>
    </w:p>
    <w:p>
      <w:pPr>
        <w:spacing w:after="0" w:line="43" w:lineRule="exact"/>
        <w:rPr>
          <w:sz w:val="20"/>
          <w:szCs w:val="20"/>
          <w:color w:val="auto"/>
        </w:rPr>
      </w:pPr>
    </w:p>
    <w:tbl>
      <w:tblPr>
        <w:tblLayout w:type="fixed"/>
        <w:tblInd w:w="6260" w:type="dxa"/>
        <w:tblCellMar>
          <w:top w:w="0" w:type="dxa"/>
          <w:left w:w="0" w:type="dxa"/>
          <w:bottom w:w="0" w:type="dxa"/>
          <w:right w:w="0" w:type="dxa"/>
        </w:tblCellMar>
      </w:tblPr>
      <w:tr>
        <w:trPr>
          <w:trHeight w:val="251"/>
        </w:trPr>
        <w:tc>
          <w:tcPr>
            <w:tcW w:w="78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4200" w:type="dxa"/>
            <w:vAlign w:val="bottom"/>
            <w:tcBorders>
              <w:top w:val="single" w:sz="8" w:color="auto"/>
            </w:tcBorders>
          </w:tcPr>
          <w:p>
            <w:pPr>
              <w:ind w:left="180"/>
              <w:spacing w:after="0" w:line="251" w:lineRule="exact"/>
              <w:rPr>
                <w:sz w:val="20"/>
                <w:szCs w:val="20"/>
                <w:color w:val="auto"/>
              </w:rPr>
            </w:pPr>
            <w:r>
              <w:rPr>
                <w:rFonts w:ascii="Times New Roman" w:cs="Times New Roman" w:eastAsia="Times New Roman" w:hAnsi="Times New Roman"/>
                <w:sz w:val="22"/>
                <w:szCs w:val="22"/>
                <w:color w:val="auto"/>
              </w:rPr>
              <w:t>Taoufiq Boussaid</w:t>
            </w:r>
          </w:p>
        </w:tc>
      </w:tr>
      <w:tr>
        <w:trPr>
          <w:trHeight w:val="282"/>
        </w:trPr>
        <w:tc>
          <w:tcPr>
            <w:tcW w:w="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IRA Amendment]</w:t>
      </w:r>
    </w:p>
    <w:p>
      <w:pPr>
        <w:sectPr>
          <w:pgSz w:w="11900" w:h="16838" w:orient="portrait"/>
          <w:cols w:equalWidth="0" w:num="1">
            <w:col w:w="11240"/>
          </w:cols>
          <w:pgMar w:left="320" w:top="1422" w:right="339" w:bottom="1440" w:gutter="0" w:footer="0" w:header="0"/>
        </w:sectPr>
      </w:pPr>
    </w:p>
    <w:bookmarkStart w:id="123" w:name="page124"/>
    <w:bookmarkEnd w:id="123"/>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b w:val="1"/>
          <w:bCs w:val="1"/>
          <w:color w:val="auto"/>
        </w:rPr>
        <w:t>AYAR THIRD INVESTMENT COMPANY</w:t>
      </w:r>
    </w:p>
    <w:p>
      <w:pPr>
        <w:spacing w:after="0" w:line="318" w:lineRule="exact"/>
        <w:rPr>
          <w:sz w:val="20"/>
          <w:szCs w:val="20"/>
          <w:color w:val="auto"/>
        </w:rPr>
      </w:pPr>
    </w:p>
    <w:p>
      <w:pPr>
        <w:ind w:left="5680"/>
        <w:spacing w:after="0"/>
        <w:tabs>
          <w:tab w:leader="none" w:pos="6260" w:val="left"/>
        </w:tabs>
        <w:rPr>
          <w:sz w:val="20"/>
          <w:szCs w:val="20"/>
          <w:color w:val="auto"/>
        </w:rPr>
      </w:pPr>
      <w:r>
        <w:rPr>
          <w:rFonts w:ascii="Times New Roman" w:cs="Times New Roman" w:eastAsia="Times New Roman" w:hAnsi="Times New Roman"/>
          <w:sz w:val="22"/>
          <w:szCs w:val="22"/>
          <w:color w:val="auto"/>
        </w:rPr>
        <w:t>By:</w:t>
        <w:tab/>
        <w:t>/s/ Turqi A. 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27940</wp:posOffset>
            </wp:positionV>
            <wp:extent cx="31629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51" w:lineRule="exact"/>
        <w:rPr>
          <w:sz w:val="20"/>
          <w:szCs w:val="20"/>
          <w:color w:val="auto"/>
        </w:rPr>
      </w:pPr>
    </w:p>
    <w:p>
      <w:pPr>
        <w:ind w:left="6280"/>
        <w:spacing w:after="0"/>
        <w:tabs>
          <w:tab w:leader="none" w:pos="7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Turqi A. Alnowaiser</w:t>
      </w:r>
    </w:p>
    <w:p>
      <w:pPr>
        <w:spacing w:after="0" w:line="58" w:lineRule="exact"/>
        <w:rPr>
          <w:sz w:val="20"/>
          <w:szCs w:val="20"/>
          <w:color w:val="auto"/>
        </w:rPr>
      </w:pPr>
    </w:p>
    <w:p>
      <w:pPr>
        <w:ind w:left="6280"/>
        <w:spacing w:after="0"/>
        <w:tabs>
          <w:tab w:leader="none" w:pos="7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Authorized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i w:val="1"/>
          <w:iCs w:val="1"/>
          <w:color w:val="auto"/>
        </w:rPr>
        <w:t>[Signature Page to IRA Amendment]</w:t>
      </w:r>
    </w:p>
    <w:p>
      <w:pPr>
        <w:sectPr>
          <w:pgSz w:w="11900" w:h="16838" w:orient="portrait"/>
          <w:cols w:equalWidth="0" w:num="1">
            <w:col w:w="10900"/>
          </w:cols>
          <w:pgMar w:left="320" w:top="1440" w:right="679" w:bottom="1440" w:gutter="0" w:footer="0" w:header="0"/>
        </w:sectPr>
      </w:pPr>
    </w:p>
    <w:bookmarkStart w:id="124" w:name="page125"/>
    <w:bookmarkEnd w:id="12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 Prices $875,000,000 Convertible Senior Notes Offering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NEWARK, Calif., November 12, 2025 -- Lucid Group, Inc. (Nasdaq: LCID) today announced the pricing of its offering of $875,000,000 aggregate principal amount of 7.00% convertible senior notes due 2031 in a private offering to persons reasonably believed to be qualified institutional buyers pursuant to Rule 144A under the Securities Act of 1933, as amended. The issuance and sale of the notes are scheduled to settle on or about November 17, 2025, subject to the satisfaction of customary closing conditions. Lucid also granted the initial purchasers of the notes an option, for settlement within a period of 13 days from, and including, the date the notes are first issued, to purchase up to an additional $100,000,000 principal amount of notes.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Notes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will be senior, unsecured obligations of Lucid and will accrue interest at a rate of 7.00% per annum, payable semi-annually in arrears on May 1 and November 1 of each year, beginning on May 1, 2026. The notes will mature on November 1, 2031, unless earlier repurchased, redeemed or converted. Before August 1, 2031, noteholders will have the right to convert their notes only upon the occurrence of certain events and during specified periods. From and after August 1, 2031, noteholders may convert their notes at any time at their election until the close of business on the second scheduled trading day immediately before the maturity date. Lucid will settle conversions of notes by paying or delivering, as applicable, cash, shares of its Class A common stock, or a combination thereof, at Lucid’s election. The initial conversion rate is 48.0475 shares of common stock per $1,000 principal amount of notes, which represents an initial conversion price of approximately $20.81 per share of common stock. The initial conversion price represents a premium of approximately 22.5% over the last reported sale price on The Nasdaq Global Select Market of $16.99 per share of Lucid’s common stock on November 11, 2025. The conversion rate and conversion price will be subject to adjustment upon the occurrence of certain events. If a “make-whole fundamental change” (as defined in the indenture for the notes) occurs, Lucid will, in certain circumstances, increase the conversion rate for a specified time for holders who convert their notes in connection with that make-whole fundamental change.</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will be redeemable, in whole or in part (subject to certain limitations), for cash at Lucid’s option at any time, and from time to time, on or after November 6, 2028 and on or before the 31st scheduled trading day immediately before the maturity date, but only if the last reported sale price per share of Lucid’s common stock exceeds 130% of the conversion price for a specified period of time and certain liquidity conditions are satisfied. The redemption price will be equal to the principal amount of the notes to be redeemed, plus accrued and unpaid interest, if any, to, but excluding, the redemption date. If Lucid calls any or all notes for redemption, holders of notes called for redemption may convert their notes during the related redemption conversion period, and any such conversion will also constitute a “make-whole fundamental change” with respect to the notes so converted.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Noteholders may require Lucid to repurchase their notes on November 1, 2029 at a cash repurchase price equal to the principal amount of the notes to be repurchased. In addition, if a “fundamental change” (as defined in the indenture for the notes) occurs, then, subject to limited exceptions, holders may require Lucid to repurchase their notes for cash. The repurchase price will be equal to the principal amount of the notes to be repurchased, plus accrued and unpaid interest, if any, to, but excluding, the applicable repurchase date.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Lucid estimates that the net proceeds from the offering will be approximately $863.5 million (or approximately $962.4 million if the initial purchasers fully exercise their option to purchase additional notes), after deducting the initial purchasers’ discounts and commissions and estimated offering expenses. Lucid intends to use approximately $752.2 million of the net proceeds from the offering to fund repurchases of approximately $755.7 million aggregate principal amount of its outstanding 1.25% Convertible Senior Notes due 2026. Lucid intends to use the remaining net proceeds for general corporate purposes.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Repurchases of Outstanding 2026 Notes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Concurrently with the pricing of the notes, Lucid entered into one or more separate and individually negotiated transactions with certain holders of the 2026 notes to repurchase for cash a portion of the 2026 notes on terms negotiated with each such holder.</w:t>
      </w:r>
    </w:p>
    <w:p>
      <w:pPr>
        <w:sectPr>
          <w:pgSz w:w="11900" w:h="16838" w:orient="portrait"/>
          <w:cols w:equalWidth="0" w:num="1">
            <w:col w:w="11240"/>
          </w:cols>
          <w:pgMar w:left="320" w:top="117" w:right="339" w:bottom="1440" w:gutter="0" w:footer="0" w:header="0"/>
        </w:sectPr>
      </w:pPr>
    </w:p>
    <w:bookmarkStart w:id="125" w:name="page126"/>
    <w:bookmarkEnd w:id="125"/>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Ayar Prepaid Forward Transaction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pricing of the notes, Ayar Third Investment Company (“Ayar”), a wholly-owned subsidiary of PIF, entered into a privately negotiated prepaid forward transaction with a forward counterparty that is an affiliate of one of the initial purchasers, pursuant to which Ayar will purchase approximately $636.7 million of Lucid’s common stock (based on the last reported sale price on The Nasdaq Global Select Market of $16.99 per share of Lucid’s common stock on November 11, 2025) with delivery expected to occur on or about the maturity date for the notes, subject to the ability of the forward counterparty to elect to settle all or a portion of the prepaid forward transaction early. Subject to the conditions set forth in the agreement governing the prepaid forward transaction, the prepaid forward transaction will be settled physically, subject to Ayar’s option to elect cash settlement of the prepaid forward transaction. Lucid is not a party to the prepaid forward transaction.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prepaid forward transaction is generally intended to facilitate privately negotiated derivative transactions, including swaps, between the forward counterparty or its affiliates and investors in the notes relating to Lucid’s common stock by which investors in the notes will hedge their investments in the notes. Ayar’s entry into the prepaid forward transaction with the forward counterparty and the entry by the forward counterparty into derivative transactions in respect of Lucid’s common stock with the investors of the notes could have the effect of increasing (or reducing the size of any decrease in) the market price of Lucid’s common stock concurrently with, or shortly after, the pricing of the notes and effectively raising the initial conversion price of the notes.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transactions described in this press release can be found in the Current Report on Form 8-K that Lucid intends to file with the Securities and Exchange Commission on or about November 17, 2025.</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offer and sale of the notes and any shares of Lucid’s common stock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 This press release does not constitute an offer to sell, or the solicitation of an offer to buy, the notes or any shares of Lucid’s common stock issuable upon conversion of the notes, nor will there be any sale of the notes or any such shares, in any state or other jurisdiction in which such offer, sale or solicitation would be unlawful.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Lucid (NASDAQ: LCID) is a Silicon Valley-based technology company focused on creating the most advanced EVs in the world. The award-winning Lucid Air and Lucid Gravity SUV deliver best-in-class performance, sophisticated design, expansive interior space and unrivaled energy efficiency. Lucid assembles both vehicles in its state-of-the-art, vertically integrated factories in Arizona and Saudi Arabia. Through its industry-leading technology and innovations, Lucid is advancing the state-of-the-art of EV technology for the benefit of all.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investor@lucidmotors.com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media@lucidmotors.com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the completion of the offering and the expected amount and intended use of the net proceeds. Actual events and circumstances may differ from these forward-looking statements. These forward-looking statements are subject to a number of risks and uncertainties. Among those risks and uncertainties are market conditions, the satisfaction of the closing conditions related to the offering and risks relating to Lucid’s business, including those factors discussed under the cautionary language and the Risk Factors in Lucid’s Annual Report on Form 10-K for the year ended December 31, 2024, subsequent Quarterly Reports on Form 10-Q, Current Reports on Form 8-K, and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Lucid may not consummate the offering described in this press release and, if the offering is consummated, cannot provide any assurances regarding its ability to effectively apply the net proceeds as described above.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1)"/>
      <w:numFmt w:val="decimal"/>
      <w:start w:val="3"/>
    </w:lvl>
  </w:abstractNum>
  <w:abstractNum w:abstractNumId="2">
    <w:nsid w:val="1EBA5D23"/>
    <w:multiLevelType w:val="hybridMultilevel"/>
    <w:lvl w:ilvl="0">
      <w:lvlJc w:val="left"/>
      <w:lvlText w:val="(%1)"/>
      <w:numFmt w:val="lowerRoman"/>
      <w:start w:val="1"/>
    </w:lvl>
  </w:abstractNum>
  <w:abstractNum w:abstractNumId="3">
    <w:nsid w:val="661E3F1E"/>
    <w:multiLevelType w:val="hybridMultilevel"/>
    <w:lvl w:ilvl="0">
      <w:lvlJc w:val="left"/>
      <w:lvlText w:val="%1"/>
      <w:numFmt w:val="lowerRoman"/>
      <w:start w:val="1"/>
    </w:lvl>
    <w:lvl w:ilvl="1">
      <w:lvlJc w:val="left"/>
      <w:lvlText w:val="(%2)"/>
      <w:numFmt w:val="upperLetter"/>
      <w:start w:val="1"/>
    </w:lvl>
  </w:abstractNum>
  <w:abstractNum w:abstractNumId="4">
    <w:nsid w:val="5DC79EA8"/>
    <w:multiLevelType w:val="hybridMultilevel"/>
    <w:lvl w:ilvl="0">
      <w:lvlJc w:val="left"/>
      <w:lvlText w:val="(%1)"/>
      <w:numFmt w:val="lowerRoman"/>
      <w:start w:val="2"/>
    </w:lvl>
    <w:lvl w:ilvl="1">
      <w:lvlJc w:val="left"/>
      <w:lvlText w:val="(%2)"/>
      <w:numFmt w:val="upperLetter"/>
      <w:start w:val="3"/>
    </w:lvl>
  </w:abstractNum>
  <w:abstractNum w:abstractNumId="5">
    <w:nsid w:val="540A471C"/>
    <w:multiLevelType w:val="hybridMultilevel"/>
    <w:lvl w:ilvl="0">
      <w:lvlJc w:val="left"/>
      <w:lvlText w:val="(%1)"/>
      <w:numFmt w:val="lowerLetter"/>
      <w:start w:val="25"/>
    </w:lvl>
  </w:abstractNum>
  <w:abstractNum w:abstractNumId="6">
    <w:nsid w:val="7BD3EE7B"/>
    <w:multiLevelType w:val="hybridMultilevel"/>
    <w:lvl w:ilvl="0">
      <w:lvlJc w:val="left"/>
      <w:lvlText w:val="(%1)"/>
      <w:numFmt w:val="upperLetter"/>
      <w:start w:val="4"/>
    </w:lvl>
  </w:abstractNum>
  <w:abstractNum w:abstractNumId="7">
    <w:nsid w:val="51D9C564"/>
    <w:multiLevelType w:val="hybridMultilevel"/>
    <w:lvl w:ilvl="0">
      <w:lvlJc w:val="left"/>
      <w:lvlText w:val="(%1)"/>
      <w:numFmt w:val="upperLetter"/>
      <w:start w:val="1"/>
    </w:lvl>
  </w:abstractNum>
  <w:abstractNum w:abstractNumId="8">
    <w:nsid w:val="613EFDC5"/>
    <w:multiLevelType w:val="hybridMultilevel"/>
    <w:lvl w:ilvl="0">
      <w:lvlJc w:val="left"/>
      <w:lvlText w:val="(%1)"/>
      <w:numFmt w:val="upperLetter"/>
      <w:start w:val="1"/>
    </w:lvl>
  </w:abstractNum>
  <w:abstractNum w:abstractNumId="9">
    <w:nsid w:val="BF72B14"/>
    <w:multiLevelType w:val="hybridMultilevel"/>
    <w:lvl w:ilvl="0">
      <w:lvlJc w:val="left"/>
      <w:lvlText w:val="(%1)"/>
      <w:numFmt w:val="upperLetter"/>
      <w:start w:val="1"/>
    </w:lvl>
  </w:abstractNum>
  <w:abstractNum w:abstractNumId="10">
    <w:nsid w:val="11447B73"/>
    <w:multiLevelType w:val="hybridMultilevel"/>
    <w:lvl w:ilvl="0">
      <w:lvlJc w:val="left"/>
      <w:lvlText w:val="(%1)"/>
      <w:numFmt w:val="upperLetter"/>
      <w:start w:val="1"/>
    </w:lvl>
    <w:lvl w:ilvl="1">
      <w:lvlJc w:val="left"/>
      <w:lvlText w:val="(%2)"/>
      <w:numFmt w:val="lowerRoman"/>
      <w:start w:val="1"/>
    </w:lvl>
  </w:abstractNum>
  <w:abstractNum w:abstractNumId="11">
    <w:nsid w:val="42963E5A"/>
    <w:multiLevelType w:val="hybridMultilevel"/>
    <w:lvl w:ilvl="0">
      <w:lvlJc w:val="left"/>
      <w:lvlText w:val="(%1)"/>
      <w:numFmt w:val="upperLetter"/>
      <w:start w:val="1"/>
    </w:lvl>
    <w:lvl w:ilvl="1">
      <w:lvlJc w:val="left"/>
      <w:lvlText w:val="-"/>
      <w:numFmt w:val="bullet"/>
      <w:start w:val="1"/>
    </w:lvl>
  </w:abstractNum>
  <w:abstractNum w:abstractNumId="12">
    <w:nsid w:val="A0382C5"/>
    <w:multiLevelType w:val="hybridMultilevel"/>
    <w:lvl w:ilvl="0">
      <w:lvlJc w:val="left"/>
      <w:lvlText w:val="(%1)"/>
      <w:numFmt w:val="upperLetter"/>
      <w:start w:val="2"/>
    </w:lvl>
  </w:abstractNum>
  <w:abstractNum w:abstractNumId="13">
    <w:nsid w:val="8F2B15E"/>
    <w:multiLevelType w:val="hybridMultilevel"/>
    <w:lvl w:ilvl="0">
      <w:lvlJc w:val="left"/>
      <w:lvlText w:val="(%1)"/>
      <w:numFmt w:val="upperLetter"/>
      <w:start w:val="1"/>
    </w:lvl>
  </w:abstractNum>
  <w:abstractNum w:abstractNumId="14">
    <w:nsid w:val="1A32234B"/>
    <w:multiLevelType w:val="hybridMultilevel"/>
    <w:lvl w:ilvl="0">
      <w:lvlJc w:val="left"/>
      <w:lvlText w:val="(%1)"/>
      <w:numFmt w:val="upperLetter"/>
      <w:start w:val="1"/>
    </w:lvl>
  </w:abstractNum>
  <w:abstractNum w:abstractNumId="15">
    <w:nsid w:val="3B0FD379"/>
    <w:multiLevelType w:val="hybridMultilevel"/>
    <w:lvl w:ilvl="0">
      <w:lvlJc w:val="left"/>
      <w:lvlText w:val="(%1)"/>
      <w:numFmt w:val="upperLetter"/>
      <w:start w:val="1"/>
    </w:lvl>
  </w:abstractNum>
  <w:abstractNum w:abstractNumId="16">
    <w:nsid w:val="68EB2F63"/>
    <w:multiLevelType w:val="hybridMultilevel"/>
    <w:lvl w:ilvl="0">
      <w:lvlJc w:val="left"/>
      <w:lvlText w:val="(%1)"/>
      <w:numFmt w:val="upperLetter"/>
      <w:start w:val="1"/>
    </w:lvl>
    <w:lvl w:ilvl="1">
      <w:lvlJc w:val="left"/>
      <w:lvlText w:val="(%2)"/>
      <w:numFmt w:val="lowerRoman"/>
      <w:start w:val="1"/>
    </w:lvl>
  </w:abstractNum>
  <w:abstractNum w:abstractNumId="17">
    <w:nsid w:val="4962813B"/>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8">
    <w:nsid w:val="60B6DF70"/>
    <w:multiLevelType w:val="hybridMultilevel"/>
    <w:lvl w:ilvl="0">
      <w:lvlJc w:val="left"/>
      <w:lvlText w:val="%1"/>
      <w:numFmt w:val="upperLetter"/>
      <w:start w:val="1"/>
    </w:lvl>
    <w:lvl w:ilvl="1">
      <w:lvlJc w:val="left"/>
      <w:lvlText w:val="(%2)"/>
      <w:numFmt w:val="lowerRoman"/>
      <w:start w:val="5"/>
    </w:lvl>
    <w:lvl w:ilvl="2">
      <w:lvlJc w:val="left"/>
      <w:lvlText w:val="%3"/>
      <w:numFmt w:val="decimal"/>
      <w:start w:val="1"/>
    </w:lvl>
  </w:abstractNum>
  <w:abstractNum w:abstractNumId="19">
    <w:nsid w:val="6A5EE64"/>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20">
    <w:nsid w:val="14330624"/>
    <w:multiLevelType w:val="hybridMultilevel"/>
    <w:lvl w:ilvl="0">
      <w:lvlJc w:val="left"/>
      <w:lvlText w:val="%1"/>
      <w:numFmt w:val="lowerRoman"/>
      <w:start w:val="1"/>
    </w:lvl>
    <w:lvl w:ilvl="1">
      <w:lvlJc w:val="left"/>
      <w:lvlText w:val="(%2)"/>
      <w:numFmt w:val="decimal"/>
      <w:start w:val="3"/>
    </w:lvl>
  </w:abstractNum>
  <w:abstractNum w:abstractNumId="21">
    <w:nsid w:val="7FFFCA11"/>
    <w:multiLevelType w:val="hybridMultilevel"/>
    <w:lvl w:ilvl="0">
      <w:lvlJc w:val="left"/>
      <w:lvlText w:val="(%1)"/>
      <w:numFmt w:val="lowerRoman"/>
      <w:start w:val="2"/>
    </w:lvl>
    <w:lvl w:ilvl="1">
      <w:lvlJc w:val="left"/>
      <w:lvlText w:val="(%2)"/>
      <w:numFmt w:val="decimal"/>
      <w:start w:val="1"/>
    </w:lvl>
  </w:abstractNum>
  <w:abstractNum w:abstractNumId="22">
    <w:nsid w:val="1A27709E"/>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23">
    <w:nsid w:val="71EA1109"/>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lowerLetter"/>
      <w:start w:val="2"/>
    </w:lvl>
  </w:abstractNum>
  <w:abstractNum w:abstractNumId="24">
    <w:nsid w:val="100F59D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4"/>
    </w:lvl>
    <w:lvl w:ilvl="3">
      <w:lvlJc w:val="left"/>
      <w:lvlText w:val="%4"/>
      <w:numFmt w:val="lowerLetter"/>
      <w:start w:val="1"/>
    </w:lvl>
  </w:abstractNum>
  <w:abstractNum w:abstractNumId="25">
    <w:nsid w:val="7FB7E0AA"/>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26">
    <w:nsid w:val="6EB5BD4"/>
    <w:multiLevelType w:val="hybridMultilevel"/>
    <w:lvl w:ilvl="0">
      <w:lvlJc w:val="left"/>
      <w:lvlText w:val="(%1)"/>
      <w:numFmt w:val="upperLetter"/>
      <w:start w:val="5"/>
    </w:lvl>
    <w:lvl w:ilvl="1">
      <w:lvlJc w:val="left"/>
      <w:lvlText w:val="-"/>
      <w:numFmt w:val="bullet"/>
      <w:start w:val="1"/>
    </w:lvl>
  </w:abstractNum>
  <w:abstractNum w:abstractNumId="27">
    <w:nsid w:val="6F6DD9AC"/>
    <w:multiLevelType w:val="hybridMultilevel"/>
    <w:lvl w:ilvl="0">
      <w:lvlJc w:val="left"/>
      <w:lvlText w:val="(%1)"/>
      <w:numFmt w:val="upperLetter"/>
      <w:start w:val="1"/>
    </w:lvl>
    <w:lvl w:ilvl="1">
      <w:lvlJc w:val="left"/>
      <w:lvlText w:val="(%2)"/>
      <w:numFmt w:val="lowerRoman"/>
      <w:start w:val="1"/>
    </w:lvl>
  </w:abstractNum>
  <w:abstractNum w:abstractNumId="28">
    <w:nsid w:val="94211F2"/>
    <w:multiLevelType w:val="hybridMultilevel"/>
    <w:lvl w:ilvl="0">
      <w:lvlJc w:val="left"/>
      <w:lvlText w:val="(%1)"/>
      <w:numFmt w:val="upperLetter"/>
      <w:start w:val="1"/>
    </w:lvl>
    <w:lvl w:ilvl="1">
      <w:lvlJc w:val="left"/>
      <w:lvlText w:val="-"/>
      <w:numFmt w:val="bullet"/>
      <w:start w:val="1"/>
    </w:lvl>
  </w:abstractNum>
  <w:abstractNum w:abstractNumId="29">
    <w:nsid w:val="885E1B"/>
    <w:multiLevelType w:val="hybridMultilevel"/>
    <w:lvl w:ilvl="0">
      <w:lvlJc w:val="left"/>
      <w:lvlText w:val="(%1)"/>
      <w:numFmt w:val="upperLetter"/>
      <w:start w:val="4"/>
    </w:lvl>
  </w:abstractNum>
  <w:abstractNum w:abstractNumId="30">
    <w:nsid w:val="76272110"/>
    <w:multiLevelType w:val="hybridMultilevel"/>
    <w:lvl w:ilvl="0">
      <w:lvlJc w:val="left"/>
      <w:lvlText w:val="(%1)"/>
      <w:numFmt w:val="upperLetter"/>
      <w:start w:val="1"/>
    </w:lvl>
  </w:abstractNum>
  <w:abstractNum w:abstractNumId="31">
    <w:nsid w:val="4C04A8AF"/>
    <w:multiLevelType w:val="hybridMultilevel"/>
    <w:lvl w:ilvl="0">
      <w:lvlJc w:val="left"/>
      <w:lvlText w:val="(%1)"/>
      <w:numFmt w:val="upperLetter"/>
      <w:start w:val="1"/>
    </w:lvl>
  </w:abstractNum>
  <w:abstractNum w:abstractNumId="32">
    <w:nsid w:val="1716703B"/>
    <w:multiLevelType w:val="hybridMultilevel"/>
    <w:lvl w:ilvl="0">
      <w:lvlJc w:val="left"/>
      <w:lvlText w:val="(%1)"/>
      <w:numFmt w:val="upperLetter"/>
      <w:start w:val="1"/>
    </w:lvl>
    <w:lvl w:ilvl="1">
      <w:lvlJc w:val="left"/>
      <w:lvlText w:val="(%2)"/>
      <w:numFmt w:val="lowerRoman"/>
      <w:start w:val="1"/>
    </w:lvl>
  </w:abstractNum>
  <w:abstractNum w:abstractNumId="33">
    <w:nsid w:val="14E17E33"/>
    <w:multiLevelType w:val="hybridMultilevel"/>
    <w:lvl w:ilvl="0">
      <w:lvlJc w:val="left"/>
      <w:lvlText w:val="(%1)"/>
      <w:numFmt w:val="upperLetter"/>
      <w:start w:val="2"/>
    </w:lvl>
  </w:abstractNum>
  <w:abstractNum w:abstractNumId="34">
    <w:nsid w:val="3222E7CD"/>
    <w:multiLevelType w:val="hybridMultilevel"/>
    <w:lvl w:ilvl="0">
      <w:lvlJc w:val="left"/>
      <w:lvlText w:val="(%1)"/>
      <w:numFmt w:val="upperLetter"/>
      <w:start w:val="1"/>
    </w:lvl>
  </w:abstractNum>
  <w:abstractNum w:abstractNumId="35">
    <w:nsid w:val="74DE0EE3"/>
    <w:multiLevelType w:val="hybridMultilevel"/>
    <w:lvl w:ilvl="0">
      <w:lvlJc w:val="left"/>
      <w:lvlText w:val="(%1)"/>
      <w:numFmt w:val="upperLetter"/>
      <w:start w:val="1"/>
    </w:lvl>
    <w:lvl w:ilvl="1">
      <w:lvlJc w:val="left"/>
      <w:lvlText w:val="-"/>
      <w:numFmt w:val="bullet"/>
      <w:start w:val="1"/>
    </w:lvl>
  </w:abstractNum>
  <w:abstractNum w:abstractNumId="36">
    <w:nsid w:val="68EBC550"/>
    <w:multiLevelType w:val="hybridMultilevel"/>
    <w:lvl w:ilvl="0">
      <w:lvlJc w:val="left"/>
      <w:lvlText w:val="(%1)"/>
      <w:numFmt w:val="upperLetter"/>
      <w:start w:val="4"/>
    </w:lvl>
  </w:abstractNum>
  <w:abstractNum w:abstractNumId="37">
    <w:nsid w:val="2DF6D648"/>
    <w:multiLevelType w:val="hybridMultilevel"/>
    <w:lvl w:ilvl="0">
      <w:lvlJc w:val="left"/>
      <w:lvlText w:val="(%1)"/>
      <w:numFmt w:val="upperLetter"/>
      <w:start w:val="5"/>
    </w:lvl>
  </w:abstractNum>
  <w:abstractNum w:abstractNumId="38">
    <w:nsid w:val="46B7D447"/>
    <w:multiLevelType w:val="hybridMultilevel"/>
    <w:lvl w:ilvl="0">
      <w:lvlJc w:val="left"/>
      <w:lvlText w:val="(%1)"/>
      <w:numFmt w:val="lowerRoman"/>
      <w:start w:val="1"/>
    </w:lvl>
  </w:abstractNum>
  <w:abstractNum w:abstractNumId="39">
    <w:nsid w:val="4A2AC315"/>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abstractNum>
  <w:abstractNum w:abstractNumId="40">
    <w:nsid w:val="39EE015C"/>
    <w:multiLevelType w:val="hybridMultilevel"/>
    <w:lvl w:ilvl="0">
      <w:lvlJc w:val="left"/>
      <w:lvlText w:val="(%1)"/>
      <w:numFmt w:val="lowerRoman"/>
      <w:start w:val="2"/>
    </w:lvl>
  </w:abstractNum>
  <w:abstractNum w:abstractNumId="41">
    <w:nsid w:val="57FC4FBB"/>
    <w:multiLevelType w:val="hybridMultilevel"/>
    <w:lvl w:ilvl="0">
      <w:lvlJc w:val="left"/>
      <w:lvlText w:val="(%1)"/>
      <w:numFmt w:val="decimal"/>
      <w:start w:val="1"/>
    </w:lvl>
  </w:abstractNum>
  <w:abstractNum w:abstractNumId="42">
    <w:nsid w:val="CC1016F"/>
    <w:multiLevelType w:val="hybridMultilevel"/>
    <w:lvl w:ilvl="0">
      <w:lvlJc w:val="left"/>
      <w:lvlText w:val="(%1)"/>
      <w:numFmt w:val="lowerRoman"/>
      <w:start w:val="3"/>
    </w:lvl>
    <w:lvl w:ilvl="1">
      <w:lvlJc w:val="left"/>
      <w:lvlText w:val="(%2)"/>
      <w:numFmt w:val="decimal"/>
      <w:start w:val="1"/>
    </w:lvl>
  </w:abstractNum>
  <w:abstractNum w:abstractNumId="43">
    <w:nsid w:val="43F18422"/>
    <w:multiLevelType w:val="hybridMultilevel"/>
    <w:lvl w:ilvl="0">
      <w:lvlJc w:val="left"/>
      <w:lvlText w:val="(%1)"/>
      <w:numFmt w:val="upperLetter"/>
      <w:start w:val="7"/>
    </w:lvl>
  </w:abstractNum>
  <w:abstractNum w:abstractNumId="44">
    <w:nsid w:val="60EF0119"/>
    <w:multiLevelType w:val="hybridMultilevel"/>
    <w:lvl w:ilvl="0">
      <w:lvlJc w:val="left"/>
      <w:lvlText w:val="(%1)"/>
      <w:numFmt w:val="upperLetter"/>
      <w:start w:val="9"/>
    </w:lvl>
  </w:abstractNum>
  <w:abstractNum w:abstractNumId="45">
    <w:nsid w:val="26F324BA"/>
    <w:multiLevelType w:val="hybridMultilevel"/>
    <w:lvl w:ilvl="0">
      <w:lvlJc w:val="left"/>
      <w:lvlText w:val="(%1)"/>
      <w:numFmt w:val="upperLetter"/>
      <w:start w:val="1"/>
    </w:lvl>
    <w:lvl w:ilvl="1">
      <w:lvlJc w:val="left"/>
      <w:lvlText w:val="-"/>
      <w:numFmt w:val="bullet"/>
      <w:start w:val="1"/>
    </w:lvl>
  </w:abstractNum>
  <w:abstractNum w:abstractNumId="46">
    <w:nsid w:val="7F01579B"/>
    <w:multiLevelType w:val="hybridMultilevel"/>
    <w:lvl w:ilvl="0">
      <w:lvlJc w:val="left"/>
      <w:lvlText w:val="(%1)"/>
      <w:numFmt w:val="upperLetter"/>
      <w:start w:val="2"/>
    </w:lvl>
    <w:lvl w:ilvl="1">
      <w:lvlJc w:val="left"/>
      <w:lvlText w:val="-"/>
      <w:numFmt w:val="bullet"/>
      <w:start w:val="1"/>
    </w:lvl>
  </w:abstractNum>
  <w:abstractNum w:abstractNumId="47">
    <w:nsid w:val="49DA307D"/>
    <w:multiLevelType w:val="hybridMultilevel"/>
    <w:lvl w:ilvl="0">
      <w:lvlJc w:val="left"/>
      <w:lvlText w:val="(%1)"/>
      <w:numFmt w:val="upperLetter"/>
      <w:start w:val="7"/>
    </w:lvl>
  </w:abstractNum>
  <w:abstractNum w:abstractNumId="48">
    <w:nsid w:val="7055A5F5"/>
    <w:multiLevelType w:val="hybridMultilevel"/>
    <w:lvl w:ilvl="0">
      <w:lvlJc w:val="left"/>
      <w:lvlText w:val="(%1)"/>
      <w:numFmt w:val="lowerRoman"/>
      <w:start w:val="1"/>
    </w:lvl>
  </w:abstractNum>
  <w:abstractNum w:abstractNumId="49">
    <w:nsid w:val="5FB8370B"/>
    <w:multiLevelType w:val="hybridMultilevel"/>
    <w:lvl w:ilvl="0">
      <w:lvlJc w:val="left"/>
      <w:lvlText w:val="(%1)"/>
      <w:numFmt w:val="upperLetter"/>
      <w:start w:val="8"/>
    </w:lvl>
    <w:lvl w:ilvl="1">
      <w:lvlJc w:val="left"/>
      <w:lvlText w:val="(%2)"/>
      <w:numFmt w:val="lowerRoman"/>
      <w:start w:val="1"/>
    </w:lvl>
    <w:lvl w:ilvl="2">
      <w:lvlJc w:val="left"/>
      <w:lvlText w:val="-"/>
      <w:numFmt w:val="bullet"/>
      <w:start w:val="1"/>
    </w:lvl>
  </w:abstractNum>
  <w:abstractNum w:abstractNumId="50">
    <w:nsid w:val="50801EE1"/>
    <w:multiLevelType w:val="hybridMultilevel"/>
    <w:lvl w:ilvl="0">
      <w:lvlJc w:val="left"/>
      <w:lvlText w:val="(%1)"/>
      <w:numFmt w:val="upperLetter"/>
      <w:start w:val="9"/>
    </w:lvl>
  </w:abstractNum>
  <w:abstractNum w:abstractNumId="51">
    <w:nsid w:val="488AC1A"/>
    <w:multiLevelType w:val="hybridMultilevel"/>
    <w:lvl w:ilvl="0">
      <w:lvlJc w:val="left"/>
      <w:lvlText w:val="(%1)"/>
      <w:numFmt w:val="upperLetter"/>
      <w:start w:val="1"/>
    </w:lvl>
  </w:abstractNum>
  <w:abstractNum w:abstractNumId="52">
    <w:nsid w:val="5FB8011C"/>
    <w:multiLevelType w:val="hybridMultilevel"/>
    <w:lvl w:ilvl="0">
      <w:lvlJc w:val="left"/>
      <w:lvlText w:val="(%1)"/>
      <w:numFmt w:val="upperLetter"/>
      <w:start w:val="2"/>
    </w:lvl>
  </w:abstractNum>
  <w:abstractNum w:abstractNumId="53">
    <w:nsid w:val="6AA78F7F"/>
    <w:multiLevelType w:val="hybridMultilevel"/>
    <w:lvl w:ilvl="0">
      <w:lvlJc w:val="left"/>
      <w:lvlText w:val="(%1)"/>
      <w:numFmt w:val="lowerRoman"/>
      <w:start w:val="1"/>
    </w:lvl>
  </w:abstractNum>
  <w:abstractNum w:abstractNumId="54">
    <w:nsid w:val="7672BD23"/>
    <w:multiLevelType w:val="hybridMultilevel"/>
    <w:lvl w:ilvl="0">
      <w:lvlJc w:val="left"/>
      <w:lvlText w:val="(%1)"/>
      <w:numFmt w:val="upperLetter"/>
      <w:start w:val="5"/>
    </w:lvl>
    <w:lvl w:ilvl="1">
      <w:lvlJc w:val="left"/>
      <w:lvlText w:val="(%2)"/>
      <w:numFmt w:val="lowerRoman"/>
      <w:start w:val="1"/>
    </w:lvl>
    <w:lvl w:ilvl="2">
      <w:lvlJc w:val="left"/>
      <w:lvlText w:val="(%3)"/>
      <w:numFmt w:val="decimal"/>
      <w:start w:val="1"/>
    </w:lvl>
  </w:abstractNum>
  <w:abstractNum w:abstractNumId="55">
    <w:nsid w:val="6FC75AF8"/>
    <w:multiLevelType w:val="hybridMultilevel"/>
    <w:lvl w:ilvl="0">
      <w:lvlJc w:val="left"/>
      <w:lvlText w:val="(%1)"/>
      <w:numFmt w:val="lowerRoman"/>
      <w:start w:val="2"/>
    </w:lvl>
    <w:lvl w:ilvl="1">
      <w:lvlJc w:val="left"/>
      <w:lvlText w:val="(%2)"/>
      <w:numFmt w:val="decimal"/>
      <w:start w:val="1"/>
    </w:lvl>
  </w:abstractNum>
  <w:abstractNum w:abstractNumId="56">
    <w:nsid w:val="6A5F7029"/>
    <w:multiLevelType w:val="hybridMultilevel"/>
    <w:lvl w:ilvl="0">
      <w:lvlJc w:val="left"/>
      <w:lvlText w:val="(%1)"/>
      <w:numFmt w:val="lowerRoman"/>
      <w:start w:val="3"/>
    </w:lvl>
    <w:lvl w:ilvl="1">
      <w:lvlJc w:val="left"/>
      <w:lvlText w:val="(%2)"/>
      <w:numFmt w:val="decimal"/>
      <w:start w:val="1"/>
    </w:lvl>
  </w:abstractNum>
  <w:abstractNum w:abstractNumId="57">
    <w:nsid w:val="7D5E18F8"/>
    <w:multiLevelType w:val="hybridMultilevel"/>
    <w:lvl w:ilvl="0">
      <w:lvlJc w:val="left"/>
      <w:lvlText w:val="(%1)"/>
      <w:numFmt w:val="upperLetter"/>
      <w:start w:val="6"/>
    </w:lvl>
  </w:abstractNum>
  <w:abstractNum w:abstractNumId="58">
    <w:nsid w:val="5F3534A4"/>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59">
    <w:nsid w:val="73A1821B"/>
    <w:multiLevelType w:val="hybridMultilevel"/>
    <w:lvl w:ilvl="0">
      <w:lvlJc w:val="left"/>
      <w:lvlText w:val="(%1)"/>
      <w:numFmt w:val="decimal"/>
      <w:start w:val="2"/>
    </w:lvl>
  </w:abstractNum>
  <w:abstractNum w:abstractNumId="60">
    <w:nsid w:val="7DE67713"/>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9"/>
    </w:lvl>
  </w:abstractNum>
  <w:abstractNum w:abstractNumId="61">
    <w:nsid w:val="555C55B5"/>
    <w:multiLevelType w:val="hybridMultilevel"/>
    <w:lvl w:ilvl="0">
      <w:lvlJc w:val="left"/>
      <w:lvlText w:val="(%1)"/>
      <w:numFmt w:val="upperLetter"/>
      <w:start w:val="35"/>
    </w:lvl>
  </w:abstractNum>
  <w:abstractNum w:abstractNumId="62">
    <w:nsid w:val="3FA62ACA"/>
    <w:multiLevelType w:val="hybridMultilevel"/>
    <w:lvl w:ilvl="0">
      <w:lvlJc w:val="left"/>
      <w:lvlText w:val="%1"/>
      <w:numFmt w:val="decimal"/>
      <w:start w:val="1"/>
    </w:lvl>
    <w:lvl w:ilvl="1">
      <w:lvlJc w:val="left"/>
      <w:lvlText w:val="(%2)"/>
      <w:numFmt w:val="lowerLetter"/>
      <w:start w:val="2"/>
    </w:lvl>
  </w:abstractNum>
  <w:abstractNum w:abstractNumId="63">
    <w:nsid w:val="14FCE74E"/>
    <w:multiLevelType w:val="hybridMultilevel"/>
    <w:lvl w:ilvl="0">
      <w:lvlJc w:val="left"/>
      <w:lvlText w:val="(%1)"/>
      <w:numFmt w:val="decimal"/>
      <w:start w:val="4"/>
    </w:lvl>
    <w:lvl w:ilvl="1">
      <w:lvlJc w:val="left"/>
      <w:lvlText w:val="%2"/>
      <w:numFmt w:val="lowerLetter"/>
      <w:start w:val="1"/>
    </w:lvl>
  </w:abstractNum>
  <w:abstractNum w:abstractNumId="64">
    <w:nsid w:val="6A3DD3E8"/>
    <w:multiLevelType w:val="hybridMultilevel"/>
    <w:lvl w:ilvl="0">
      <w:lvlJc w:val="left"/>
      <w:lvlText w:val="(%1)"/>
      <w:numFmt w:val="lowerRoman"/>
      <w:start w:val="2"/>
    </w:lvl>
    <w:lvl w:ilvl="1">
      <w:lvlJc w:val="left"/>
      <w:lvlText w:val="(%2)"/>
      <w:numFmt w:val="decimal"/>
      <w:start w:val="1"/>
    </w:lvl>
  </w:abstractNum>
  <w:abstractNum w:abstractNumId="65">
    <w:nsid w:val="71C91298"/>
    <w:multiLevelType w:val="hybridMultilevel"/>
    <w:lvl w:ilvl="0">
      <w:lvlJc w:val="left"/>
      <w:lvlText w:val="(%1)"/>
      <w:numFmt w:val="decimal"/>
      <w:start w:val="4"/>
    </w:lvl>
  </w:abstractNum>
  <w:abstractNum w:abstractNumId="66">
    <w:nsid w:val="9DAF632"/>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67">
    <w:nsid w:val="53299938"/>
    <w:multiLevelType w:val="hybridMultilevel"/>
    <w:lvl w:ilvl="0">
      <w:lvlJc w:val="left"/>
      <w:lvlText w:val="%1"/>
      <w:numFmt w:val="lowerRoman"/>
      <w:start w:val="1"/>
    </w:lvl>
    <w:lvl w:ilvl="1">
      <w:lvlJc w:val="left"/>
      <w:lvlText w:val="(%2)"/>
      <w:numFmt w:val="upperLetter"/>
      <w:start w:val="4"/>
    </w:lvl>
  </w:abstractNum>
  <w:abstractNum w:abstractNumId="68">
    <w:nsid w:val="1FBFE8E0"/>
    <w:multiLevelType w:val="hybridMultilevel"/>
    <w:lvl w:ilvl="0">
      <w:lvlJc w:val="left"/>
      <w:lvlText w:val="(%1)"/>
      <w:numFmt w:val="lowerRoman"/>
      <w:start w:val="1"/>
    </w:lvl>
    <w:lvl w:ilvl="1">
      <w:lvlJc w:val="left"/>
      <w:lvlText w:val="(%2)"/>
      <w:numFmt w:val="upperLetter"/>
      <w:start w:val="5"/>
    </w:lvl>
  </w:abstractNum>
  <w:abstractNum w:abstractNumId="69">
    <w:nsid w:val="5092CA79"/>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70">
    <w:nsid w:val="1D545C4D"/>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3"/>
    </w:lvl>
    <w:lvl w:ilvl="3">
      <w:lvlJc w:val="left"/>
      <w:lvlText w:val="-"/>
      <w:numFmt w:val="bullet"/>
      <w:start w:val="1"/>
    </w:lvl>
  </w:abstractNum>
  <w:abstractNum w:abstractNumId="71">
    <w:nsid w:val="59ADEA3D"/>
    <w:multiLevelType w:val="hybridMultilevel"/>
    <w:lvl w:ilvl="0">
      <w:lvlJc w:val="left"/>
      <w:lvlText w:val="%1"/>
      <w:numFmt w:val="lowerRoman"/>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72">
    <w:nsid w:val="288F1A34"/>
    <w:multiLevelType w:val="hybridMultilevel"/>
    <w:lvl w:ilvl="0">
      <w:lvlJc w:val="left"/>
      <w:lvlText w:val="(%1)"/>
      <w:numFmt w:val="lowerRoman"/>
      <w:start w:val="10"/>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73">
    <w:nsid w:val="2A155DBC"/>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74">
    <w:nsid w:val="1D9F6E5F"/>
    <w:multiLevelType w:val="hybridMultilevel"/>
    <w:lvl w:ilvl="0">
      <w:lvlJc w:val="left"/>
      <w:lvlText w:val="%1"/>
      <w:numFmt w:val="upperLetter"/>
      <w:start w:val="1"/>
    </w:lvl>
    <w:lvl w:ilvl="1">
      <w:lvlJc w:val="left"/>
      <w:lvlText w:val="(%2)"/>
      <w:numFmt w:val="lowerRoman"/>
      <w:start w:val="2"/>
    </w:lvl>
  </w:abstractNum>
  <w:abstractNum w:abstractNumId="75">
    <w:nsid w:val="97E1B4E"/>
    <w:multiLevelType w:val="hybridMultilevel"/>
    <w:lvl w:ilvl="0">
      <w:lvlJc w:val="left"/>
      <w:lvlText w:val="(%1)"/>
      <w:numFmt w:val="upperLetter"/>
      <w:start w:val="3"/>
    </w:lvl>
    <w:lvl w:ilvl="1">
      <w:lvlJc w:val="left"/>
      <w:lvlText w:val="%2"/>
      <w:numFmt w:val="lowerRoman"/>
      <w:start w:val="1"/>
    </w:lvl>
  </w:abstractNum>
  <w:abstractNum w:abstractNumId="76">
    <w:nsid w:val="51088277"/>
    <w:multiLevelType w:val="hybridMultilevel"/>
    <w:lvl w:ilvl="0">
      <w:lvlJc w:val="left"/>
      <w:lvlText w:val="(%1)"/>
      <w:numFmt w:val="upperLetter"/>
      <w:start w:val="1"/>
    </w:lvl>
  </w:abstractNum>
  <w:abstractNum w:abstractNumId="77">
    <w:nsid w:val="1CA0C5FA"/>
    <w:multiLevelType w:val="hybridMultilevel"/>
    <w:lvl w:ilvl="0">
      <w:lvlJc w:val="left"/>
      <w:lvlText w:val="(%1)"/>
      <w:numFmt w:val="upperLetter"/>
      <w:start w:val="1"/>
    </w:lvl>
    <w:lvl w:ilvl="1">
      <w:lvlJc w:val="left"/>
      <w:lvlText w:val="(%2)"/>
      <w:numFmt w:val="lowerRoman"/>
      <w:start w:val="1"/>
    </w:lvl>
  </w:abstractNum>
  <w:abstractNum w:abstractNumId="78">
    <w:nsid w:val="53584BCB"/>
    <w:multiLevelType w:val="hybridMultilevel"/>
    <w:lvl w:ilvl="0">
      <w:lvlJc w:val="left"/>
      <w:lvlText w:val="(%1)"/>
      <w:numFmt w:val="lowerRoman"/>
      <w:start w:val="2"/>
    </w:lvl>
  </w:abstractNum>
  <w:abstractNum w:abstractNumId="79">
    <w:nsid w:val="415E286C"/>
    <w:multiLevelType w:val="hybridMultilevel"/>
    <w:lvl w:ilvl="0">
      <w:lvlJc w:val="left"/>
      <w:lvlText w:val="X"/>
      <w:numFmt w:val="bullet"/>
      <w:start w:val="1"/>
    </w:lvl>
  </w:abstractNum>
  <w:abstractNum w:abstractNumId="80">
    <w:nsid w:val="7C58FD05"/>
    <w:multiLevelType w:val="hybridMultilevel"/>
    <w:lvl w:ilvl="0">
      <w:lvlJc w:val="left"/>
      <w:lvlText w:val="Y"/>
      <w:numFmt w:val="bullet"/>
      <w:start w:val="1"/>
    </w:lvl>
    <w:lvl w:ilvl="1">
      <w:lvlJc w:val="left"/>
      <w:lvlText w:val="(%2)"/>
      <w:numFmt w:val="lowerLetter"/>
      <w:start w:val="25"/>
    </w:lvl>
  </w:abstractNum>
  <w:abstractNum w:abstractNumId="81">
    <w:nsid w:val="23D86AA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1"/>
    </w:lvl>
  </w:abstractNum>
  <w:abstractNum w:abstractNumId="82">
    <w:nsid w:val="45E6D486"/>
    <w:multiLevelType w:val="hybridMultilevel"/>
    <w:lvl w:ilvl="0">
      <w:lvlJc w:val="left"/>
      <w:lvlText w:val="(%1)"/>
      <w:numFmt w:val="lowerLetter"/>
      <w:start w:val="25"/>
    </w:lvl>
  </w:abstractNum>
  <w:abstractNum w:abstractNumId="83">
    <w:nsid w:val="5C10FE21"/>
    <w:multiLevelType w:val="hybridMultilevel"/>
    <w:lvl w:ilvl="0">
      <w:lvlJc w:val="left"/>
      <w:lvlText w:val="(%1)"/>
      <w:numFmt w:val="decimal"/>
      <w:start w:val="2"/>
    </w:lvl>
  </w:abstractNum>
  <w:abstractNum w:abstractNumId="84">
    <w:nsid w:val="E7FFA2B"/>
    <w:multiLevelType w:val="hybridMultilevel"/>
    <w:lvl w:ilvl="0">
      <w:lvlJc w:val="left"/>
      <w:lvlText w:val="(%1)"/>
      <w:numFmt w:val="lowerRoman"/>
      <w:start w:val="4"/>
    </w:lvl>
  </w:abstractNum>
  <w:abstractNum w:abstractNumId="85">
    <w:nsid w:val="3C5991AA"/>
    <w:multiLevelType w:val="hybridMultilevel"/>
    <w:lvl w:ilvl="0">
      <w:lvlJc w:val="left"/>
      <w:lvlText w:val="D"/>
      <w:numFmt w:val="bullet"/>
      <w:start w:val="1"/>
    </w:lvl>
  </w:abstractNum>
  <w:abstractNum w:abstractNumId="86">
    <w:nsid w:val="4BD8591A"/>
    <w:multiLevelType w:val="hybridMultilevel"/>
    <w:lvl w:ilvl="0">
      <w:lvlJc w:val="left"/>
      <w:lvlText w:val="(%1)"/>
      <w:numFmt w:val="lowerRoman"/>
      <w:start w:val="5"/>
    </w:lvl>
  </w:abstractNum>
  <w:abstractNum w:abstractNumId="87">
    <w:nsid w:val="78DF6A55"/>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88">
    <w:nsid w:val="39B7AAA2"/>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abstractNum>
  <w:abstractNum w:abstractNumId="89">
    <w:nsid w:val="2B0D8DBE"/>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90">
    <w:nsid w:val="6C80EC70"/>
    <w:multiLevelType w:val="hybridMultilevel"/>
    <w:lvl w:ilvl="0">
      <w:lvlJc w:val="left"/>
      <w:lvlText w:val="(%1)"/>
      <w:numFmt w:val="upperLetter"/>
      <w:start w:val="5"/>
    </w:lvl>
    <w:lvl w:ilvl="1">
      <w:lvlJc w:val="left"/>
      <w:lvlText w:val="(%2)"/>
      <w:numFmt w:val="lowerRoman"/>
      <w:start w:val="1"/>
    </w:lvl>
  </w:abstractNum>
  <w:abstractNum w:abstractNumId="91">
    <w:nsid w:val="379E21B5"/>
    <w:multiLevelType w:val="hybridMultilevel"/>
    <w:lvl w:ilvl="0">
      <w:lvlJc w:val="left"/>
      <w:lvlText w:val="(%1)"/>
      <w:numFmt w:val="upperLetter"/>
      <w:start w:val="6"/>
    </w:lvl>
  </w:abstractNum>
  <w:abstractNum w:abstractNumId="92">
    <w:nsid w:val="69E373"/>
    <w:multiLevelType w:val="hybridMultilevel"/>
    <w:lvl w:ilvl="0">
      <w:lvlJc w:val="left"/>
      <w:lvlText w:val="(%1)"/>
      <w:numFmt w:val="upperLetter"/>
      <w:start w:val="7"/>
    </w:lvl>
  </w:abstractNum>
  <w:abstractNum w:abstractNumId="93">
    <w:nsid w:val="2C27173B"/>
    <w:multiLevelType w:val="hybridMultilevel"/>
    <w:lvl w:ilvl="0">
      <w:lvlJc w:val="left"/>
      <w:lvlText w:val="%1"/>
      <w:numFmt w:val="lowerLetter"/>
      <w:start w:val="1"/>
    </w:lvl>
    <w:lvl w:ilvl="1">
      <w:lvlJc w:val="left"/>
      <w:lvlText w:val="(%2)"/>
      <w:numFmt w:val="upperLetter"/>
      <w:start w:val="1"/>
    </w:lvl>
  </w:abstractNum>
  <w:abstractNum w:abstractNumId="94">
    <w:nsid w:val="4C9B0904"/>
    <w:multiLevelType w:val="hybridMultilevel"/>
    <w:lvl w:ilvl="0">
      <w:lvlJc w:val="left"/>
      <w:lvlText w:val="(%1)"/>
      <w:numFmt w:val="lowerLetter"/>
      <w:start w:val="25"/>
    </w:lvl>
    <w:lvl w:ilvl="1">
      <w:lvlJc w:val="left"/>
      <w:lvlText w:val="(%2)"/>
      <w:numFmt w:val="upperLetter"/>
      <w:start w:val="2"/>
    </w:lvl>
  </w:abstractNum>
  <w:abstractNum w:abstractNumId="95">
    <w:nsid w:val="6AA7B75C"/>
    <w:multiLevelType w:val="hybridMultilevel"/>
    <w:lvl w:ilvl="0">
      <w:lvlJc w:val="left"/>
      <w:lvlText w:val="(%1)"/>
      <w:numFmt w:val="upperLetter"/>
      <w:start w:val="1"/>
    </w:lvl>
  </w:abstractNum>
  <w:abstractNum w:abstractNumId="96">
    <w:nsid w:val="1DF029D3"/>
    <w:multiLevelType w:val="hybridMultilevel"/>
    <w:lvl w:ilvl="0">
      <w:lvlJc w:val="left"/>
      <w:lvlText w:val="(%1)"/>
      <w:numFmt w:val="lowerRoman"/>
      <w:start w:val="1"/>
    </w:lvl>
  </w:abstractNum>
  <w:abstractNum w:abstractNumId="97">
    <w:nsid w:val="5675FF36"/>
    <w:multiLevelType w:val="hybridMultilevel"/>
    <w:lvl w:ilvl="0">
      <w:lvlJc w:val="left"/>
      <w:lvlText w:val="(%1)"/>
      <w:numFmt w:val="upperLetter"/>
      <w:start w:val="2"/>
    </w:lvl>
    <w:lvl w:ilvl="1">
      <w:lvlJc w:val="left"/>
      <w:lvlText w:val="-"/>
      <w:numFmt w:val="bullet"/>
      <w:start w:val="1"/>
    </w:lvl>
  </w:abstractNum>
  <w:abstractNum w:abstractNumId="98">
    <w:nsid w:val="3DD15094"/>
    <w:multiLevelType w:val="hybridMultilevel"/>
    <w:lvl w:ilvl="0">
      <w:lvlJc w:val="left"/>
      <w:lvlText w:val="(%1)"/>
      <w:numFmt w:val="upperLetter"/>
      <w:start w:val="3"/>
    </w:lvl>
  </w:abstractNum>
  <w:abstractNum w:abstractNumId="99">
    <w:nsid w:val="3DB012B3"/>
    <w:multiLevelType w:val="hybridMultilevel"/>
    <w:lvl w:ilvl="0">
      <w:lvlJc w:val="left"/>
      <w:lvlText w:val="(%1)"/>
      <w:numFmt w:val="upperLetter"/>
      <w:start w:val="4"/>
    </w:lvl>
  </w:abstractNum>
  <w:abstractNum w:abstractNumId="100">
    <w:nsid w:val="2708C9AF"/>
    <w:multiLevelType w:val="hybridMultilevel"/>
    <w:lvl w:ilvl="0">
      <w:lvlJc w:val="left"/>
      <w:lvlText w:val="(%1)"/>
      <w:numFmt w:val="upperLetter"/>
      <w:start w:val="1"/>
    </w:lvl>
  </w:abstractNum>
  <w:abstractNum w:abstractNumId="101">
    <w:nsid w:val="5B25ACE2"/>
    <w:multiLevelType w:val="hybridMultilevel"/>
    <w:lvl w:ilvl="0">
      <w:lvlJc w:val="left"/>
      <w:lvlText w:val="(%1)"/>
      <w:numFmt w:val="upperLetter"/>
      <w:start w:val="1"/>
    </w:lvl>
    <w:lvl w:ilvl="1">
      <w:lvlJc w:val="left"/>
      <w:lvlText w:val="(%2)"/>
      <w:numFmt w:val="lowerRoman"/>
      <w:start w:val="1"/>
    </w:lvl>
  </w:abstractNum>
  <w:abstractNum w:abstractNumId="102">
    <w:nsid w:val="175DFCF0"/>
    <w:multiLevelType w:val="hybridMultilevel"/>
    <w:lvl w:ilvl="0">
      <w:lvlJc w:val="left"/>
      <w:lvlText w:val="(%1)"/>
      <w:numFmt w:val="decimal"/>
      <w:start w:val="1"/>
    </w:lvl>
  </w:abstractNum>
  <w:abstractNum w:abstractNumId="103">
    <w:nsid w:val="4F97E3E4"/>
    <w:multiLevelType w:val="hybridMultilevel"/>
    <w:lvl w:ilvl="0">
      <w:lvlJc w:val="left"/>
      <w:lvlText w:val="(%1)"/>
      <w:numFmt w:val="decimal"/>
      <w:start w:val="2"/>
    </w:lvl>
  </w:abstractNum>
  <w:abstractNum w:abstractNumId="104">
    <w:nsid w:val="53B0A9E"/>
    <w:multiLevelType w:val="hybridMultilevel"/>
    <w:lvl w:ilvl="0">
      <w:lvlJc w:val="left"/>
      <w:lvlText w:val="(%1)"/>
      <w:numFmt w:val="upperLetter"/>
      <w:start w:val="2"/>
    </w:lvl>
  </w:abstractNum>
  <w:abstractNum w:abstractNumId="105">
    <w:nsid w:val="34FD6B4F"/>
    <w:multiLevelType w:val="hybridMultilevel"/>
    <w:lvl w:ilvl="0">
      <w:lvlJc w:val="left"/>
      <w:lvlText w:val="(%1)"/>
      <w:numFmt w:val="upperLetter"/>
      <w:start w:val="1"/>
    </w:lvl>
    <w:lvl w:ilvl="1">
      <w:lvlJc w:val="left"/>
      <w:lvlText w:val="(%2)"/>
      <w:numFmt w:val="lowerRoman"/>
      <w:start w:val="1"/>
    </w:lvl>
  </w:abstractNum>
  <w:abstractNum w:abstractNumId="106">
    <w:nsid w:val="5915FF32"/>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107">
    <w:nsid w:val="56438D15"/>
    <w:multiLevelType w:val="hybridMultilevel"/>
    <w:lvl w:ilvl="0">
      <w:lvlJc w:val="left"/>
      <w:lvlText w:val="%1"/>
      <w:numFmt w:val="upperLetter"/>
      <w:start w:val="1"/>
    </w:lvl>
    <w:lvl w:ilvl="1">
      <w:lvlJc w:val="left"/>
      <w:lvlText w:val="(%2)"/>
      <w:numFmt w:val="lowerRoman"/>
      <w:start w:val="4"/>
    </w:lvl>
    <w:lvl w:ilvl="2">
      <w:lvlJc w:val="left"/>
      <w:lvlText w:val="(%3)"/>
      <w:numFmt w:val="decimal"/>
      <w:start w:val="1"/>
    </w:lvl>
    <w:lvl w:ilvl="3">
      <w:lvlJc w:val="left"/>
      <w:lvlText w:val="-"/>
      <w:numFmt w:val="bullet"/>
      <w:start w:val="1"/>
    </w:lvl>
  </w:abstractNum>
  <w:abstractNum w:abstractNumId="108">
    <w:nsid w:val="519E3149"/>
    <w:multiLevelType w:val="hybridMultilevel"/>
    <w:lvl w:ilvl="0">
      <w:lvlJc w:val="left"/>
      <w:lvlText w:val="(%1)"/>
      <w:numFmt w:val="lowerRoman"/>
      <w:start w:val="8"/>
    </w:lvl>
    <w:lvl w:ilvl="1">
      <w:lvlJc w:val="left"/>
      <w:lvlText w:val="(%2)"/>
      <w:numFmt w:val="decimal"/>
      <w:start w:val="1"/>
    </w:lvl>
  </w:abstractNum>
  <w:abstractNum w:abstractNumId="109">
    <w:nsid w:val="2C6E4AFD"/>
    <w:multiLevelType w:val="hybridMultilevel"/>
    <w:lvl w:ilvl="0">
      <w:lvlJc w:val="left"/>
      <w:lvlText w:val="(%1)"/>
      <w:numFmt w:val="upperLetter"/>
      <w:start w:val="2"/>
    </w:lvl>
  </w:abstractNum>
  <w:abstractNum w:abstractNumId="110">
    <w:nsid w:val="17A1B582"/>
    <w:multiLevelType w:val="hybridMultilevel"/>
    <w:lvl w:ilvl="0">
      <w:lvlJc w:val="left"/>
      <w:lvlText w:val="(%1)"/>
      <w:numFmt w:val="upperLetter"/>
      <w:start w:val="1"/>
    </w:lvl>
  </w:abstractNum>
  <w:abstractNum w:abstractNumId="111">
    <w:nsid w:val="4DF72E4E"/>
    <w:multiLevelType w:val="hybridMultilevel"/>
    <w:lvl w:ilvl="0">
      <w:lvlJc w:val="left"/>
      <w:lvlText w:val="(%1)"/>
      <w:numFmt w:val="upperLetter"/>
      <w:start w:val="1"/>
    </w:lvl>
    <w:lvl w:ilvl="1">
      <w:lvlJc w:val="left"/>
      <w:lvlText w:val="-"/>
      <w:numFmt w:val="bullet"/>
      <w:start w:val="1"/>
    </w:lvl>
  </w:abstractNum>
  <w:abstractNum w:abstractNumId="112">
    <w:nsid w:val="5046B5A9"/>
    <w:multiLevelType w:val="hybridMultilevel"/>
    <w:lvl w:ilvl="0">
      <w:lvlJc w:val="left"/>
      <w:lvlText w:val="(%1)"/>
      <w:numFmt w:val="upperLetter"/>
      <w:start w:val="2"/>
    </w:lvl>
  </w:abstractNum>
  <w:abstractNum w:abstractNumId="113">
    <w:nsid w:val="5D888A08"/>
    <w:multiLevelType w:val="hybridMultilevel"/>
    <w:lvl w:ilvl="0">
      <w:lvlJc w:val="left"/>
      <w:lvlText w:val="(%1)"/>
      <w:numFmt w:val="lowerLetter"/>
      <w:start w:val="25"/>
    </w:lvl>
    <w:lvl w:ilvl="1">
      <w:lvlJc w:val="left"/>
      <w:lvlText w:val="(%2)"/>
      <w:numFmt w:val="upperLetter"/>
      <w:start w:val="4"/>
    </w:lvl>
  </w:abstractNum>
  <w:abstractNum w:abstractNumId="114">
    <w:nsid w:val="2A082C70"/>
    <w:multiLevelType w:val="hybridMultilevel"/>
    <w:lvl w:ilvl="0">
      <w:lvlJc w:val="left"/>
      <w:lvlText w:val="(%1)"/>
      <w:numFmt w:val="lowerLetter"/>
      <w:start w:val="9"/>
    </w:lvl>
    <w:lvl w:ilvl="1">
      <w:lvlJc w:val="left"/>
      <w:lvlText w:val="(%2)"/>
      <w:numFmt w:val="upperLetter"/>
      <w:start w:val="5"/>
    </w:lvl>
  </w:abstractNum>
  <w:abstractNum w:abstractNumId="115">
    <w:nsid w:val="5EC6AFD4"/>
    <w:multiLevelType w:val="hybridMultilevel"/>
    <w:lvl w:ilvl="0">
      <w:lvlJc w:val="left"/>
      <w:lvlText w:val="(%1)"/>
      <w:numFmt w:val="upperLetter"/>
      <w:start w:val="1"/>
    </w:lvl>
  </w:abstractNum>
  <w:abstractNum w:abstractNumId="116">
    <w:nsid w:val="19E21BB2"/>
    <w:multiLevelType w:val="hybridMultilevel"/>
    <w:lvl w:ilvl="0">
      <w:lvlJc w:val="left"/>
      <w:lvlText w:val="(%1)"/>
      <w:numFmt w:val="upperLetter"/>
      <w:start w:val="1"/>
    </w:lvl>
  </w:abstractNum>
  <w:abstractNum w:abstractNumId="117">
    <w:nsid w:val="75E0858A"/>
    <w:multiLevelType w:val="hybridMultilevel"/>
    <w:lvl w:ilvl="0">
      <w:lvlJc w:val="left"/>
      <w:lvlText w:val="(%1)"/>
      <w:numFmt w:val="upperLetter"/>
      <w:start w:val="1"/>
    </w:lvl>
    <w:lvl w:ilvl="1">
      <w:lvlJc w:val="left"/>
      <w:lvlText w:val="-"/>
      <w:numFmt w:val="bullet"/>
      <w:start w:val="1"/>
    </w:lvl>
  </w:abstractNum>
  <w:abstractNum w:abstractNumId="118">
    <w:nsid w:val="57A61A29"/>
    <w:multiLevelType w:val="hybridMultilevel"/>
    <w:lvl w:ilvl="0">
      <w:lvlJc w:val="left"/>
      <w:lvlText w:val="(%1)"/>
      <w:numFmt w:val="upperLetter"/>
      <w:start w:val="1"/>
    </w:lvl>
    <w:lvl w:ilvl="1">
      <w:lvlJc w:val="left"/>
      <w:lvlText w:val="(%2)"/>
      <w:numFmt w:val="lowerRoman"/>
      <w:start w:val="1"/>
    </w:lvl>
  </w:abstractNum>
  <w:abstractNum w:abstractNumId="119">
    <w:nsid w:val="5399C654"/>
    <w:multiLevelType w:val="hybridMultilevel"/>
    <w:lvl w:ilvl="0">
      <w:lvlJc w:val="left"/>
      <w:lvlText w:val="(%1)"/>
      <w:numFmt w:val="upperLetter"/>
      <w:start w:val="2"/>
    </w:lvl>
  </w:abstractNum>
  <w:abstractNum w:abstractNumId="120">
    <w:nsid w:val="20EE1348"/>
    <w:multiLevelType w:val="hybridMultilevel"/>
    <w:lvl w:ilvl="0">
      <w:lvlJc w:val="left"/>
      <w:lvlText w:val="(%1)"/>
      <w:numFmt w:val="upperLetter"/>
      <w:start w:val="1"/>
    </w:lvl>
  </w:abstractNum>
  <w:abstractNum w:abstractNumId="121">
    <w:nsid w:val="4427069A"/>
    <w:multiLevelType w:val="hybridMultilevel"/>
    <w:lvl w:ilvl="0">
      <w:lvlJc w:val="left"/>
      <w:lvlText w:val="(%1)"/>
      <w:numFmt w:val="upperLetter"/>
      <w:start w:val="1"/>
    </w:lvl>
  </w:abstractNum>
  <w:abstractNum w:abstractNumId="122">
    <w:nsid w:val="B37E80A"/>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23">
    <w:nsid w:val="2157F6BC"/>
    <w:multiLevelType w:val="hybridMultilevel"/>
    <w:lvl w:ilvl="0">
      <w:lvlJc w:val="left"/>
      <w:lvlText w:val="(%1)"/>
      <w:numFmt w:val="upperLetter"/>
      <w:start w:val="4"/>
    </w:lvl>
  </w:abstractNum>
  <w:abstractNum w:abstractNumId="124">
    <w:nsid w:val="704E1DD5"/>
    <w:multiLevelType w:val="hybridMultilevel"/>
    <w:lvl w:ilvl="0">
      <w:lvlJc w:val="left"/>
      <w:lvlText w:val="(%1)"/>
      <w:numFmt w:val="upperLetter"/>
      <w:start w:val="1"/>
    </w:lvl>
    <w:lvl w:ilvl="1">
      <w:lvlJc w:val="left"/>
      <w:lvlText w:val="-"/>
      <w:numFmt w:val="bullet"/>
      <w:start w:val="1"/>
    </w:lvl>
  </w:abstractNum>
  <w:abstractNum w:abstractNumId="125">
    <w:nsid w:val="57D2F10E"/>
    <w:multiLevelType w:val="hybridMultilevel"/>
    <w:lvl w:ilvl="0">
      <w:lvlJc w:val="left"/>
      <w:lvlText w:val="(%1)"/>
      <w:numFmt w:val="upperLetter"/>
      <w:start w:val="8"/>
    </w:lvl>
  </w:abstractNum>
  <w:abstractNum w:abstractNumId="126">
    <w:nsid w:val="BFFAE18"/>
    <w:multiLevelType w:val="hybridMultilevel"/>
    <w:lvl w:ilvl="0">
      <w:lvlJc w:val="left"/>
      <w:lvlText w:val="(%1)"/>
      <w:numFmt w:val="upperLetter"/>
      <w:start w:val="1"/>
    </w:lvl>
  </w:abstractNum>
  <w:abstractNum w:abstractNumId="127">
    <w:nsid w:val="E3E47A8"/>
    <w:multiLevelType w:val="hybridMultilevel"/>
    <w:lvl w:ilvl="0">
      <w:lvlJc w:val="left"/>
      <w:lvlText w:val="(%1)"/>
      <w:numFmt w:val="upperLetter"/>
      <w:start w:val="1"/>
    </w:lvl>
    <w:lvl w:ilvl="1">
      <w:lvlJc w:val="left"/>
      <w:lvlText w:val="(%2)"/>
      <w:numFmt w:val="lowerRoman"/>
      <w:start w:val="1"/>
    </w:lvl>
  </w:abstractNum>
  <w:abstractNum w:abstractNumId="128">
    <w:nsid w:val="2E48F044"/>
    <w:multiLevelType w:val="hybridMultilevel"/>
    <w:lvl w:ilvl="0">
      <w:lvlJc w:val="left"/>
      <w:lvlText w:val="(%1)"/>
      <w:numFmt w:val="upperLetter"/>
      <w:start w:val="1"/>
    </w:lvl>
  </w:abstractNum>
  <w:abstractNum w:abstractNumId="129">
    <w:nsid w:val="49D0FEAC"/>
    <w:multiLevelType w:val="hybridMultilevel"/>
    <w:lvl w:ilvl="0">
      <w:lvlJc w:val="left"/>
      <w:lvlText w:val="(%1)"/>
      <w:numFmt w:val="upperLetter"/>
      <w:start w:val="1"/>
    </w:lvl>
  </w:abstractNum>
  <w:abstractNum w:abstractNumId="130">
    <w:nsid w:val="4BEE5A5B"/>
    <w:multiLevelType w:val="hybridMultilevel"/>
    <w:lvl w:ilvl="0">
      <w:lvlJc w:val="left"/>
      <w:lvlText w:val="(%1)"/>
      <w:numFmt w:val="upperLetter"/>
      <w:start w:val="3"/>
    </w:lvl>
  </w:abstractNum>
  <w:abstractNum w:abstractNumId="131">
    <w:nsid w:val="5551B9F3"/>
    <w:multiLevelType w:val="hybridMultilevel"/>
    <w:lvl w:ilvl="0">
      <w:lvlJc w:val="left"/>
      <w:lvlText w:val="*"/>
      <w:numFmt w:val="bullet"/>
      <w:start w:val="1"/>
    </w:lvl>
  </w:abstractNum>
  <w:abstractNum w:abstractNumId="132">
    <w:nsid w:val="24F6AB8E"/>
    <w:multiLevelType w:val="hybridMultilevel"/>
    <w:lvl w:ilvl="0">
      <w:lvlJc w:val="left"/>
      <w:lvlText w:val="%1."/>
      <w:numFmt w:val="decimal"/>
      <w:start w:val="1"/>
    </w:lvl>
  </w:abstractNum>
  <w:abstractNum w:abstractNumId="133">
    <w:nsid w:val="634C574C"/>
    <w:multiLevelType w:val="hybridMultilevel"/>
    <w:lvl w:ilvl="0">
      <w:lvlJc w:val="left"/>
      <w:lvlText w:val="%1."/>
      <w:numFmt w:val="decimal"/>
      <w:start w:val="12"/>
    </w:lvl>
    <w:lvl w:ilvl="1">
      <w:lvlJc w:val="left"/>
      <w:lvlText w:val="*"/>
      <w:numFmt w:val="bullet"/>
      <w:start w:val="1"/>
    </w:lvl>
  </w:abstractNum>
  <w:abstractNum w:abstractNumId="134">
    <w:nsid w:val="24E99DD7"/>
    <w:multiLevelType w:val="hybridMultilevel"/>
    <w:lvl w:ilvl="0">
      <w:lvlJc w:val="left"/>
      <w:lvlText w:val="*"/>
      <w:numFmt w:val="bullet"/>
      <w:start w:val="1"/>
    </w:lvl>
  </w:abstractNum>
  <w:abstractNum w:abstractNumId="135">
    <w:nsid w:val="2A31B62D"/>
    <w:multiLevelType w:val="hybridMultilevel"/>
    <w:lvl w:ilvl="0">
      <w:lvlJc w:val="left"/>
      <w:lvlText w:val="☐"/>
      <w:numFmt w:val="bullet"/>
      <w:start w:val="1"/>
    </w:lvl>
  </w:abstractNum>
  <w:abstractNum w:abstractNumId="136">
    <w:nsid w:val="1849C29B"/>
    <w:multiLevelType w:val="hybridMultilevel"/>
    <w:lvl w:ilvl="0">
      <w:lvlJc w:val="left"/>
      <w:lvlText w:val="*"/>
      <w:numFmt w:val="bullet"/>
      <w:start w:val="1"/>
    </w:lvl>
  </w:abstractNum>
  <w:abstractNum w:abstractNumId="137">
    <w:nsid w:val="7DFF9D09"/>
    <w:multiLevelType w:val="hybridMultilevel"/>
    <w:lvl w:ilvl="0">
      <w:lvlJc w:val="left"/>
      <w:lvlText w:val="☐"/>
      <w:numFmt w:val="bullet"/>
      <w:start w:val="1"/>
    </w:lvl>
  </w:abstractNum>
  <w:abstractNum w:abstractNumId="138">
    <w:nsid w:val="754342"/>
    <w:multiLevelType w:val="hybridMultilevel"/>
    <w:lvl w:ilvl="0">
      <w:lvlJc w:val="left"/>
      <w:lvlText w:val="*"/>
      <w:numFmt w:val="bullet"/>
      <w:start w:val="1"/>
    </w:lvl>
  </w:abstractNum>
  <w:abstractNum w:abstractNumId="139">
    <w:nsid w:val="69E7F3E5"/>
    <w:multiLevelType w:val="hybridMultilevel"/>
    <w:lvl w:ilvl="0">
      <w:lvlJc w:val="left"/>
      <w:lvlText w:val="%1."/>
      <w:numFmt w:val="decimal"/>
      <w:start w:val="1"/>
    </w:lvl>
  </w:abstractNum>
  <w:abstractNum w:abstractNumId="140">
    <w:nsid w:val="2A6DE806"/>
    <w:multiLevelType w:val="hybridMultilevel"/>
    <w:lvl w:ilvl="0">
      <w:lvlJc w:val="left"/>
      <w:lvlText w:val="(%1)"/>
      <w:numFmt w:val="decimal"/>
      <w:start w:val="1"/>
    </w:lvl>
    <w:lvl w:ilvl="1">
      <w:lvlJc w:val="left"/>
      <w:lvlText w:val="(%2)"/>
      <w:numFmt w:val="upperLetter"/>
      <w:start w:val="1"/>
    </w:lvl>
  </w:abstractNum>
  <w:abstractNum w:abstractNumId="141">
    <w:nsid w:val="1816F8C4"/>
    <w:multiLevelType w:val="hybridMultilevel"/>
    <w:lvl w:ilvl="0">
      <w:lvlJc w:val="left"/>
      <w:lvlText w:val="(%1)"/>
      <w:numFmt w:val="lowerRoman"/>
      <w:start w:val="3"/>
    </w:lvl>
  </w:abstractNum>
  <w:abstractNum w:abstractNumId="142">
    <w:nsid w:val="37DF223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2025-11-17T15:19:36Z</dcterms:created>
  <dcterms:modified xsi:type="dcterms:W3CDTF">2025-11-17T15:19:36Z</dcterms:modified>
</cp:coreProperties>
</file>