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142875</wp:posOffset>
            </wp:positionV>
            <wp:extent cx="498919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jc w:val="both"/>
        <w:ind w:firstLine="360"/>
        <w:spacing w:after="0" w:line="259"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August 24,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part of our registration statement on Form S-1 (No. 333-258348) with the information contained in our Current Report on Form 8-K,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on April 26, 2022 (the “</w:t>
      </w:r>
      <w:r>
        <w:rPr>
          <w:rFonts w:ascii="Arial" w:cs="Arial" w:eastAsia="Arial" w:hAnsi="Arial"/>
          <w:sz w:val="18"/>
          <w:szCs w:val="18"/>
          <w:i w:val="1"/>
          <w:iCs w:val="1"/>
          <w:color w:val="auto"/>
        </w:rPr>
        <w:t>Current Report</w:t>
      </w:r>
      <w:r>
        <w:rPr>
          <w:rFonts w:ascii="Arial" w:cs="Arial" w:eastAsia="Arial" w:hAnsi="Arial"/>
          <w:sz w:val="18"/>
          <w:szCs w:val="18"/>
          <w:color w:val="auto"/>
        </w:rPr>
        <w:t>”). Accordingly, we have attached the Current Report to this prospectus supplement.</w:t>
      </w:r>
    </w:p>
    <w:p>
      <w:pPr>
        <w:spacing w:after="0" w:line="187" w:lineRule="exact"/>
        <w:rPr>
          <w:sz w:val="24"/>
          <w:szCs w:val="24"/>
          <w:color w:val="auto"/>
        </w:rPr>
      </w:pPr>
    </w:p>
    <w:p>
      <w:pPr>
        <w:ind w:right="60" w:firstLine="360"/>
        <w:spacing w:after="0" w:line="290"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 (i) 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65" w:lineRule="exact"/>
        <w:rPr>
          <w:sz w:val="24"/>
          <w:szCs w:val="24"/>
          <w:color w:val="auto"/>
        </w:rPr>
      </w:pPr>
    </w:p>
    <w:p>
      <w:pPr>
        <w:ind w:right="280" w:firstLine="360"/>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ind w:right="620" w:firstLine="360"/>
        <w:spacing w:after="0" w:line="308" w:lineRule="auto"/>
        <w:rPr>
          <w:sz w:val="20"/>
          <w:szCs w:val="20"/>
          <w:color w:val="auto"/>
        </w:rPr>
      </w:pPr>
      <w:r>
        <w:rPr>
          <w:rFonts w:ascii="Arial" w:cs="Arial" w:eastAsia="Arial" w:hAnsi="Arial"/>
          <w:sz w:val="17"/>
          <w:szCs w:val="17"/>
          <w:color w:val="auto"/>
        </w:rPr>
        <w:t>We are a “controlled company” within the meaning of Nasdaq rules and, as a result, qualify for exemptions from certain corporate governance requirements. Ayar, our majority stockholder, also currently has the ability to nominate five of the nine directors to our Board.</w:t>
      </w:r>
    </w:p>
    <w:p>
      <w:pPr>
        <w:spacing w:after="0" w:line="146" w:lineRule="exact"/>
        <w:rPr>
          <w:sz w:val="24"/>
          <w:szCs w:val="24"/>
          <w:color w:val="auto"/>
        </w:rPr>
      </w:pPr>
    </w:p>
    <w:p>
      <w:pPr>
        <w:ind w:right="20" w:firstLine="324"/>
        <w:spacing w:after="0" w:line="263"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is listed on The Nasdaq Stock Market LLC under the symbol “LCID”. On April 25, 2022, the closing price of our Class A common stock was $19.33 per share.</w:t>
      </w:r>
    </w:p>
    <w:p>
      <w:pPr>
        <w:spacing w:after="0" w:line="180" w:lineRule="exact"/>
        <w:rPr>
          <w:sz w:val="24"/>
          <w:szCs w:val="24"/>
          <w:color w:val="auto"/>
        </w:rPr>
      </w:pPr>
    </w:p>
    <w:p>
      <w:pPr>
        <w:ind w:right="20" w:firstLine="360"/>
        <w:spacing w:after="0" w:line="282" w:lineRule="auto"/>
        <w:rPr>
          <w:sz w:val="20"/>
          <w:szCs w:val="20"/>
          <w:color w:val="auto"/>
        </w:rPr>
      </w:pPr>
      <w:r>
        <w:rPr>
          <w:rFonts w:ascii="Arial" w:cs="Arial" w:eastAsia="Arial" w:hAnsi="Arial"/>
          <w:sz w:val="18"/>
          <w:szCs w:val="18"/>
          <w:b w:val="1"/>
          <w:bCs w:val="1"/>
          <w:color w:val="auto"/>
        </w:rPr>
        <w:t>Investing in our Class A common stock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 and in our other documents subsequently filed with the SEC, including the Annual Report.</w:t>
      </w:r>
    </w:p>
    <w:p>
      <w:pPr>
        <w:spacing w:after="0" w:line="162" w:lineRule="exact"/>
        <w:rPr>
          <w:sz w:val="24"/>
          <w:szCs w:val="24"/>
          <w:color w:val="auto"/>
        </w:rPr>
      </w:pPr>
    </w:p>
    <w:p>
      <w:pPr>
        <w:ind w:firstLine="360"/>
        <w:spacing w:after="0" w:line="282" w:lineRule="auto"/>
        <w:rPr>
          <w:sz w:val="20"/>
          <w:szCs w:val="20"/>
          <w:color w:val="auto"/>
        </w:rPr>
      </w:pPr>
      <w:r>
        <w:rPr>
          <w:rFonts w:ascii="Arial" w:cs="Arial" w:eastAsia="Arial" w:hAnsi="Arial"/>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20, 2022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64" w:right="339" w:bottom="1440" w:gutter="0" w:footer="0" w:header="0"/>
        </w:sectPr>
      </w:pPr>
    </w:p>
    <w:p>
      <w:pPr>
        <w:spacing w:after="0" w:line="20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(I.R.S. Employer Identification No.)</w:t>
      </w:r>
    </w:p>
    <w:p>
      <w:pPr>
        <w:spacing w:after="0" w:line="404" w:lineRule="exact"/>
        <w:rPr>
          <w:sz w:val="20"/>
          <w:szCs w:val="20"/>
          <w:color w:val="auto"/>
        </w:rPr>
      </w:pPr>
    </w:p>
    <w:p>
      <w:pPr>
        <w:sectPr>
          <w:pgSz w:w="11900" w:h="16838" w:orient="portrait"/>
          <w:cols w:equalWidth="0" w:num="3">
            <w:col w:w="4320" w:space="720"/>
            <w:col w:w="2280" w:space="720"/>
            <w:col w:w="3200"/>
          </w:cols>
          <w:pgMar w:left="320" w:top="1264" w:right="339" w:bottom="1440" w:gutter="0" w:footer="0" w:header="0"/>
          <w:type w:val="continuous"/>
        </w:sectPr>
      </w:pPr>
    </w:p>
    <w:p>
      <w:pPr>
        <w:jc w:val="center"/>
        <w:ind w:right="1660"/>
        <w:spacing w:after="0"/>
        <w:rPr>
          <w:sz w:val="20"/>
          <w:szCs w:val="20"/>
          <w:color w:val="auto"/>
        </w:rPr>
      </w:pPr>
      <w:r>
        <w:rPr>
          <w:rFonts w:ascii="Arial" w:cs="Arial" w:eastAsia="Arial" w:hAnsi="Arial"/>
          <w:sz w:val="18"/>
          <w:szCs w:val="18"/>
          <w:b w:val="1"/>
          <w:bCs w:val="1"/>
          <w:color w:val="auto"/>
        </w:rPr>
        <w:t>7373 Gateway Boulevard</w:t>
      </w:r>
    </w:p>
    <w:p>
      <w:pPr>
        <w:spacing w:after="0" w:line="27"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89" w:lineRule="exact"/>
        <w:rPr>
          <w:sz w:val="20"/>
          <w:szCs w:val="20"/>
          <w:color w:val="auto"/>
        </w:rPr>
      </w:pPr>
    </w:p>
    <w:p>
      <w:pPr>
        <w:sectPr>
          <w:pgSz w:w="11900" w:h="16838" w:orient="portrait"/>
          <w:cols w:equalWidth="0" w:num="2">
            <w:col w:w="7320" w:space="720"/>
            <w:col w:w="3200"/>
          </w:cols>
          <w:pgMar w:left="320" w:top="1264"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0"/>
          <w:szCs w:val="20"/>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Item 1.01 – Entry into a Material Definitive Agreement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April 20, 2022, Lucid LLC, a wholly owned subsidiary of Lucid Group, Inc. (collectively, the “Company”), entered into a binding letter of undertaking (the “Letter of Undertaking”) with the Ministry of Finance of the Kingdom of Saudi Arabia (“KSA”).</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terms of the Letter of Undertaking, the Government of KSA and its entities and corporate subsidiaries (collectively, the “Kingdom”) undertake to purchase up to 100,000 vehicles from the Company over a ten-year period, with an initial commitment to purchase 50,000 vehicles and an option to purchase up to an additional 50,000 vehicles during such ten-year period.</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purchase price is determined by the lower of (i) the standard retail price for the applicable vehicle in the KSA; and (ii) the standard retail price for the applicable vehicle in the United States, plus actual cost of logistics, importing, and other actual costs of delivering and homologating vehicles to KSA regulations. The order quantity by the Kingdom will initially range from 1,000 and 2,000 vehicles annually and increase to between 4,000 and 7,000 vehicles annually starting in 2025 unless otherwise agreed by the Kingdom and the Company. The delivery of the vehicles is required to commence no later than the second quarter of 2023. The foregoing description does not constitute a complete summary of the terms of the Letter of Undertaking and is qualified in its entirety by reference to the copy of the Letter of Undertaking, which will be filed as an exhibit to the Company’s Quarterly Report on Form 10-Q for the quarter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2022</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Sherry House</w:t>
      </w:r>
    </w:p>
    <w:p>
      <w:pPr>
        <w:spacing w:after="0" w:line="7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2022-04-26T15:53:45Z</dcterms:created>
  <dcterms:modified xsi:type="dcterms:W3CDTF">2022-04-26T15:53:45Z</dcterms:modified>
</cp:coreProperties>
</file>