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329565</wp:posOffset>
            </wp:positionV>
            <wp:extent cx="7141210" cy="241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361315</wp:posOffset>
            </wp:positionV>
            <wp:extent cx="71412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SCHEDULE 14A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Proxy Statement Pursuant to Section 14(a) of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Securities 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Check the appropriate box: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Preliminary Proxy Statement</w:t>
      </w:r>
    </w:p>
    <w:p>
      <w:pPr>
        <w:spacing w:after="0" w:line="20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Proxy Statement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Additional Materials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1916430</wp:posOffset>
            </wp:positionH>
            <wp:positionV relativeFrom="paragraph">
              <wp:posOffset>140335</wp:posOffset>
            </wp:positionV>
            <wp:extent cx="3310255" cy="2165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21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Lucid Group,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14605</wp:posOffset>
            </wp:positionV>
            <wp:extent cx="714121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144145</wp:posOffset>
            </wp:positionV>
            <wp:extent cx="7141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(Name of Person(s) Filing Proxy Statement, if other than the Registrant)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Payment of Filing Fee (Check the appropriate box):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No fee required.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paid previously with preliminary materials.</w:t>
      </w:r>
    </w:p>
    <w:p>
      <w:pPr>
        <w:spacing w:after="0" w:line="208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188595</wp:posOffset>
            </wp:positionV>
            <wp:extent cx="71412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204470</wp:posOffset>
            </wp:positionV>
            <wp:extent cx="7141210" cy="24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677545</wp:posOffset>
            </wp:positionV>
            <wp:extent cx="71412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4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425450</wp:posOffset>
            </wp:positionV>
            <wp:extent cx="6884670" cy="9161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916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670" cy="9161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916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2022-04-28T07:18:05Z</dcterms:created>
  <dcterms:modified xsi:type="dcterms:W3CDTF">2022-04-28T07:18:05Z</dcterms:modified>
</cp:coreProperties>
</file>