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1"/>
        </w:trPr>
        <w:tc>
          <w:tcPr>
            <w:tcW w:w="156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2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7"/>
        </w:trPr>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gridSpan w:val="7"/>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8"/>
              </w:rPr>
              <w:t>As filed with the Securities and Exchange Commission on August 29, 2022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w w:val="99"/>
              </w:rPr>
              <w:t>Registration No. 333-            ​</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840" w:type="dxa"/>
            <w:vAlign w:val="bottom"/>
            <w:tcBorders>
              <w:top w:val="single" w:sz="8" w:color="auto"/>
              <w:bottom w:val="single" w:sz="8" w:color="auto"/>
            </w:tcBorders>
            <w:gridSpan w:val="2"/>
          </w:tcPr>
          <w:p>
            <w:pPr>
              <w:spacing w:after="0"/>
              <w:rPr>
                <w:sz w:val="2"/>
                <w:szCs w:val="2"/>
                <w:color w:val="auto"/>
              </w:rPr>
            </w:pPr>
          </w:p>
        </w:tc>
        <w:tc>
          <w:tcPr>
            <w:tcW w:w="1920" w:type="dxa"/>
            <w:vAlign w:val="bottom"/>
            <w:tcBorders>
              <w:top w:val="single" w:sz="8" w:color="auto"/>
              <w:bottom w:val="single" w:sz="8" w:color="auto"/>
            </w:tcBorders>
            <w:gridSpan w:val="2"/>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200" w:type="dxa"/>
            <w:vAlign w:val="bottom"/>
            <w:tcBorders>
              <w:top w:val="single" w:sz="8" w:color="auto"/>
              <w:bottom w:val="single" w:sz="8" w:color="auto"/>
            </w:tcBorders>
            <w:gridSpan w:val="2"/>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980" w:type="dxa"/>
            <w:vAlign w:val="bottom"/>
            <w:gridSpan w:val="7"/>
          </w:tcPr>
          <w:p>
            <w:pPr>
              <w:ind w:left="1140"/>
              <w:spacing w:after="0" w:line="246" w:lineRule="exact"/>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80" w:type="dxa"/>
            <w:vAlign w:val="bottom"/>
            <w:gridSpan w:val="4"/>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9"/>
              </w:rPr>
              <w:t>Washington, D.C. 20549</w:t>
            </w: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80" w:type="dxa"/>
            <w:vAlign w:val="bottom"/>
            <w:gridSpan w:val="4"/>
          </w:tcPr>
          <w:p>
            <w:pPr>
              <w:jc w:val="center"/>
              <w:ind w:right="640"/>
              <w:spacing w:after="0"/>
              <w:rPr>
                <w:sz w:val="20"/>
                <w:szCs w:val="20"/>
                <w:color w:val="auto"/>
              </w:rPr>
            </w:pPr>
            <w:r>
              <w:rPr>
                <w:rFonts w:ascii="Times New Roman" w:cs="Times New Roman" w:eastAsia="Times New Roman" w:hAnsi="Times New Roman"/>
                <w:sz w:val="25"/>
                <w:szCs w:val="25"/>
                <w:b w:val="1"/>
                <w:bCs w:val="1"/>
                <w:color w:val="auto"/>
                <w:w w:val="97"/>
              </w:rPr>
              <w:t>FORM S-3</w:t>
            </w: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80" w:type="dxa"/>
            <w:vAlign w:val="bottom"/>
            <w:gridSpan w:val="4"/>
          </w:tcPr>
          <w:p>
            <w:pPr>
              <w:jc w:val="center"/>
              <w:ind w:right="680"/>
              <w:spacing w:after="0" w:line="139" w:lineRule="exact"/>
              <w:rPr>
                <w:sz w:val="20"/>
                <w:szCs w:val="20"/>
                <w:color w:val="auto"/>
              </w:rPr>
            </w:pPr>
            <w:r>
              <w:rPr>
                <w:rFonts w:ascii="Times New Roman" w:cs="Times New Roman" w:eastAsia="Times New Roman" w:hAnsi="Times New Roman"/>
                <w:sz w:val="13"/>
                <w:szCs w:val="13"/>
                <w:b w:val="1"/>
                <w:bCs w:val="1"/>
                <w:color w:val="auto"/>
                <w:w w:val="99"/>
              </w:rPr>
              <w:t>REGISTRATION STATEMENT</w:t>
            </w:r>
          </w:p>
        </w:tc>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580" w:type="dxa"/>
            <w:vAlign w:val="bottom"/>
            <w:gridSpan w:val="4"/>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UNDER</w:t>
            </w:r>
          </w:p>
        </w:tc>
        <w:tc>
          <w:tcPr>
            <w:tcW w:w="2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THE SECURITIES ACT OF 1933</w:t>
            </w:r>
            <w:r>
              <w:rPr>
                <w:rFonts w:ascii="Times New Roman" w:cs="Times New Roman" w:eastAsia="Times New Roman" w:hAnsi="Times New Roman"/>
                <w:sz w:val="25"/>
                <w:szCs w:val="25"/>
                <w:color w:val="auto"/>
              </w:rPr>
              <w:t>​</w:t>
            </w: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0" w:type="dxa"/>
            <w:vAlign w:val="bottom"/>
            <w:gridSpan w:val="5"/>
          </w:tcPr>
          <w:p>
            <w:pPr>
              <w:jc w:val="center"/>
              <w:ind w:right="20"/>
              <w:spacing w:after="0"/>
              <w:rPr>
                <w:sz w:val="20"/>
                <w:szCs w:val="20"/>
                <w:color w:val="auto"/>
              </w:rPr>
            </w:pPr>
            <w:r>
              <w:rPr>
                <w:rFonts w:ascii="Times New Roman" w:cs="Times New Roman" w:eastAsia="Times New Roman" w:hAnsi="Times New Roman"/>
                <w:sz w:val="25"/>
                <w:szCs w:val="25"/>
                <w:b w:val="1"/>
                <w:bCs w:val="1"/>
                <w:color w:val="auto"/>
                <w:w w:val="96"/>
              </w:rPr>
              <w:t>LUCID GROUP, INC.</w:t>
            </w: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20" w:type="dxa"/>
            <w:vAlign w:val="bottom"/>
            <w:vMerge w:val="restart"/>
          </w:tcPr>
          <w:p>
            <w:pPr>
              <w:jc w:val="center"/>
              <w:ind w:left="328"/>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200" w:type="dxa"/>
            <w:vAlign w:val="bottom"/>
            <w:gridSpan w:val="5"/>
          </w:tcPr>
          <w:p>
            <w:pPr>
              <w:jc w:val="center"/>
              <w:spacing w:after="0" w:line="123" w:lineRule="exact"/>
              <w:rPr>
                <w:sz w:val="20"/>
                <w:szCs w:val="20"/>
                <w:color w:val="auto"/>
              </w:rPr>
            </w:pPr>
            <w:r>
              <w:rPr>
                <w:rFonts w:ascii="Times New Roman" w:cs="Times New Roman" w:eastAsia="Times New Roman" w:hAnsi="Times New Roman"/>
                <w:sz w:val="13"/>
                <w:szCs w:val="13"/>
                <w:color w:val="auto"/>
              </w:rPr>
              <w:t>(Exact Name of Registrant as Specified in Its Charter)</w:t>
            </w:r>
            <w:r>
              <w:rPr>
                <w:rFonts w:ascii="Times New Roman" w:cs="Times New Roman" w:eastAsia="Times New Roman" w:hAnsi="Times New Roman"/>
                <w:sz w:val="14"/>
                <w:szCs w:val="14"/>
                <w:color w:val="auto"/>
              </w:rPr>
              <w:t>​</w:t>
            </w:r>
          </w:p>
        </w:tc>
        <w:tc>
          <w:tcPr>
            <w:tcW w:w="2560" w:type="dxa"/>
            <w:vAlign w:val="bottom"/>
            <w:vMerge w:val="restart"/>
          </w:tcPr>
          <w:p>
            <w:pPr>
              <w:jc w:val="right"/>
              <w:ind w:right="1312"/>
              <w:spacing w:after="0"/>
              <w:rPr>
                <w:sz w:val="20"/>
                <w:szCs w:val="20"/>
                <w:color w:val="auto"/>
              </w:rPr>
            </w:pPr>
            <w:r>
              <w:rPr>
                <w:rFonts w:ascii="Times New Roman" w:cs="Times New Roman" w:eastAsia="Times New Roman" w:hAnsi="Times New Roman"/>
                <w:sz w:val="13"/>
                <w:szCs w:val="13"/>
                <w:b w:val="1"/>
                <w:bCs w:val="1"/>
                <w:color w:val="auto"/>
              </w:rPr>
              <w:t>85-0891392</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ind w:left="9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560" w:type="dxa"/>
            <w:vAlign w:val="bottom"/>
            <w:vMerge w:val="continue"/>
          </w:tcPr>
          <w:p>
            <w:pPr>
              <w:spacing w:after="0"/>
              <w:rPr>
                <w:sz w:val="11"/>
                <w:szCs w:val="11"/>
                <w:color w:val="auto"/>
              </w:rPr>
            </w:pPr>
          </w:p>
        </w:tc>
        <w:tc>
          <w:tcPr>
            <w:tcW w:w="740" w:type="dxa"/>
            <w:vAlign w:val="bottom"/>
            <w:gridSpan w:val="2"/>
          </w:tcPr>
          <w:p>
            <w:pPr>
              <w:ind w:left="6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06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20" w:type="dxa"/>
            <w:vAlign w:val="bottom"/>
          </w:tcPr>
          <w:p>
            <w:pPr>
              <w:jc w:val="center"/>
              <w:ind w:left="288"/>
              <w:spacing w:after="0" w:line="148"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620" w:type="dxa"/>
            <w:vAlign w:val="bottom"/>
          </w:tcPr>
          <w:p>
            <w:pPr>
              <w:spacing w:after="0"/>
              <w:rPr>
                <w:sz w:val="12"/>
                <w:szCs w:val="12"/>
                <w:color w:val="auto"/>
              </w:rPr>
            </w:pPr>
          </w:p>
        </w:tc>
        <w:tc>
          <w:tcPr>
            <w:tcW w:w="960" w:type="dxa"/>
            <w:vAlign w:val="bottom"/>
          </w:tcPr>
          <w:p>
            <w:pPr>
              <w:ind w:left="900"/>
              <w:spacing w:after="0" w:line="148" w:lineRule="exact"/>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3"/>
                <w:szCs w:val="13"/>
                <w:color w:val="auto"/>
              </w:rPr>
              <w:t>​</w:t>
            </w:r>
          </w:p>
        </w:tc>
        <w:tc>
          <w:tcPr>
            <w:tcW w:w="2560" w:type="dxa"/>
            <w:vAlign w:val="bottom"/>
          </w:tcPr>
          <w:p>
            <w:pPr>
              <w:jc w:val="center"/>
              <w:ind w:right="812"/>
              <w:spacing w:after="0" w:line="148" w:lineRule="exact"/>
              <w:rPr>
                <w:sz w:val="20"/>
                <w:szCs w:val="20"/>
                <w:color w:val="auto"/>
              </w:rPr>
            </w:pPr>
            <w:r>
              <w:rPr>
                <w:rFonts w:ascii="Times New Roman" w:cs="Times New Roman" w:eastAsia="Times New Roman" w:hAnsi="Times New Roman"/>
                <w:sz w:val="13"/>
                <w:szCs w:val="13"/>
                <w:color w:val="auto"/>
              </w:rPr>
              <w:t>(I.R.S. Employer</w:t>
            </w:r>
          </w:p>
        </w:tc>
        <w:tc>
          <w:tcPr>
            <w:tcW w:w="740" w:type="dxa"/>
            <w:vAlign w:val="bottom"/>
            <w:gridSpan w:val="2"/>
          </w:tcPr>
          <w:p>
            <w:pPr>
              <w:ind w:left="680"/>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20" w:type="dxa"/>
            <w:vAlign w:val="bottom"/>
          </w:tcPr>
          <w:p>
            <w:pPr>
              <w:jc w:val="center"/>
              <w:ind w:left="328"/>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60" w:type="dxa"/>
            <w:vAlign w:val="bottom"/>
          </w:tcPr>
          <w:p>
            <w:pPr>
              <w:jc w:val="center"/>
              <w:ind w:right="792"/>
              <w:spacing w:after="0"/>
              <w:rPr>
                <w:sz w:val="20"/>
                <w:szCs w:val="20"/>
                <w:color w:val="auto"/>
              </w:rPr>
            </w:pPr>
            <w:r>
              <w:rPr>
                <w:rFonts w:ascii="Times New Roman" w:cs="Times New Roman" w:eastAsia="Times New Roman" w:hAnsi="Times New Roman"/>
                <w:sz w:val="13"/>
                <w:szCs w:val="13"/>
                <w:color w:val="auto"/>
              </w:rPr>
              <w:t>Identification Number)</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58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8"/>
              </w:rPr>
              <w:t>7373 Gateway Blvd</w:t>
            </w:r>
          </w:p>
        </w:tc>
        <w:tc>
          <w:tcPr>
            <w:tcW w:w="2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8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Newark, CA 94560</w:t>
            </w:r>
          </w:p>
        </w:tc>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80" w:type="dxa"/>
            <w:vAlign w:val="bottom"/>
            <w:gridSpan w:val="4"/>
          </w:tcPr>
          <w:p>
            <w:pPr>
              <w:jc w:val="center"/>
              <w:ind w:right="640"/>
              <w:spacing w:after="0" w:line="151" w:lineRule="exact"/>
              <w:rPr>
                <w:sz w:val="20"/>
                <w:szCs w:val="20"/>
                <w:color w:val="auto"/>
              </w:rPr>
            </w:pPr>
            <w:r>
              <w:rPr>
                <w:rFonts w:ascii="Times New Roman" w:cs="Times New Roman" w:eastAsia="Times New Roman" w:hAnsi="Times New Roman"/>
                <w:sz w:val="14"/>
                <w:szCs w:val="14"/>
                <w:b w:val="1"/>
                <w:bCs w:val="1"/>
                <w:color w:val="auto"/>
                <w:w w:val="97"/>
              </w:rPr>
              <w:t>Telephone: (510) 648-3553</w:t>
            </w:r>
          </w:p>
        </w:tc>
        <w:tc>
          <w:tcPr>
            <w:tcW w:w="2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980" w:type="dxa"/>
            <w:vAlign w:val="bottom"/>
            <w:gridSpan w:val="7"/>
          </w:tcPr>
          <w:p>
            <w:pPr>
              <w:jc w:val="center"/>
              <w:ind w:right="272"/>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6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8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9"/>
              </w:rPr>
              <w:t>Peter Rawlinson</w:t>
            </w:r>
          </w:p>
        </w:tc>
        <w:tc>
          <w:tcPr>
            <w:tcW w:w="2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80" w:type="dxa"/>
            <w:vAlign w:val="bottom"/>
            <w:gridSpan w:val="4"/>
          </w:tcPr>
          <w:p>
            <w:pPr>
              <w:jc w:val="center"/>
              <w:ind w:right="6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Chief Executive Officer</w:t>
            </w:r>
          </w:p>
        </w:tc>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580" w:type="dxa"/>
            <w:vAlign w:val="bottom"/>
            <w:gridSpan w:val="4"/>
          </w:tcPr>
          <w:p>
            <w:pPr>
              <w:jc w:val="center"/>
              <w:ind w:right="680"/>
              <w:spacing w:after="0" w:line="137" w:lineRule="exact"/>
              <w:rPr>
                <w:sz w:val="20"/>
                <w:szCs w:val="20"/>
                <w:color w:val="auto"/>
              </w:rPr>
            </w:pPr>
            <w:r>
              <w:rPr>
                <w:rFonts w:ascii="Times New Roman" w:cs="Times New Roman" w:eastAsia="Times New Roman" w:hAnsi="Times New Roman"/>
                <w:sz w:val="14"/>
                <w:szCs w:val="14"/>
                <w:b w:val="1"/>
                <w:bCs w:val="1"/>
                <w:color w:val="auto"/>
                <w:w w:val="98"/>
              </w:rPr>
              <w:t>7373 Gateway Blvd.</w:t>
            </w:r>
          </w:p>
        </w:tc>
        <w:tc>
          <w:tcPr>
            <w:tcW w:w="2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8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Newark, CA 94560</w:t>
            </w:r>
          </w:p>
        </w:tc>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80" w:type="dxa"/>
            <w:vAlign w:val="bottom"/>
            <w:gridSpan w:val="4"/>
          </w:tcPr>
          <w:p>
            <w:pPr>
              <w:jc w:val="center"/>
              <w:ind w:right="640"/>
              <w:spacing w:after="0" w:line="151" w:lineRule="exact"/>
              <w:rPr>
                <w:sz w:val="20"/>
                <w:szCs w:val="20"/>
                <w:color w:val="auto"/>
              </w:rPr>
            </w:pPr>
            <w:r>
              <w:rPr>
                <w:rFonts w:ascii="Times New Roman" w:cs="Times New Roman" w:eastAsia="Times New Roman" w:hAnsi="Times New Roman"/>
                <w:sz w:val="14"/>
                <w:szCs w:val="14"/>
                <w:b w:val="1"/>
                <w:bCs w:val="1"/>
                <w:color w:val="auto"/>
                <w:w w:val="97"/>
              </w:rPr>
              <w:t>Telephone: (510) 648-3553</w:t>
            </w:r>
          </w:p>
        </w:tc>
        <w:tc>
          <w:tcPr>
            <w:tcW w:w="2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980" w:type="dxa"/>
            <w:vAlign w:val="bottom"/>
            <w:gridSpan w:val="7"/>
          </w:tcPr>
          <w:p>
            <w:pPr>
              <w:jc w:val="center"/>
              <w:ind w:right="272"/>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6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i w:val="1"/>
                <w:iCs w:val="1"/>
                <w:color w:val="auto"/>
              </w:rPr>
              <w:t>Copy to:</w:t>
            </w:r>
          </w:p>
        </w:tc>
        <w:tc>
          <w:tcPr>
            <w:tcW w:w="2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220" w:type="dxa"/>
            <w:vAlign w:val="bottom"/>
          </w:tcPr>
          <w:p>
            <w:pPr>
              <w:jc w:val="center"/>
              <w:ind w:left="288"/>
              <w:spacing w:after="0"/>
              <w:rPr>
                <w:sz w:val="20"/>
                <w:szCs w:val="20"/>
                <w:color w:val="auto"/>
              </w:rPr>
            </w:pPr>
            <w:r>
              <w:rPr>
                <w:rFonts w:ascii="Times New Roman" w:cs="Times New Roman" w:eastAsia="Times New Roman" w:hAnsi="Times New Roman"/>
                <w:sz w:val="13"/>
                <w:szCs w:val="13"/>
                <w:b w:val="1"/>
                <w:bCs w:val="1"/>
                <w:color w:val="auto"/>
                <w:w w:val="99"/>
              </w:rPr>
              <w:t>Jonathan Butler</w:t>
            </w:r>
          </w:p>
        </w:tc>
        <w:tc>
          <w:tcPr>
            <w:tcW w:w="620" w:type="dxa"/>
            <w:vAlign w:val="bottom"/>
          </w:tcPr>
          <w:p>
            <w:pPr>
              <w:spacing w:after="0"/>
              <w:rPr>
                <w:sz w:val="14"/>
                <w:szCs w:val="14"/>
                <w:color w:val="auto"/>
              </w:rPr>
            </w:pPr>
          </w:p>
        </w:tc>
        <w:tc>
          <w:tcPr>
            <w:tcW w:w="9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560" w:type="dxa"/>
            <w:vAlign w:val="bottom"/>
          </w:tcPr>
          <w:p>
            <w:pPr>
              <w:jc w:val="center"/>
              <w:ind w:right="812"/>
              <w:spacing w:after="0"/>
              <w:rPr>
                <w:sz w:val="20"/>
                <w:szCs w:val="20"/>
                <w:color w:val="auto"/>
              </w:rPr>
            </w:pPr>
            <w:r>
              <w:rPr>
                <w:rFonts w:ascii="Times New Roman" w:cs="Times New Roman" w:eastAsia="Times New Roman" w:hAnsi="Times New Roman"/>
                <w:sz w:val="13"/>
                <w:szCs w:val="13"/>
                <w:b w:val="1"/>
                <w:bCs w:val="1"/>
                <w:color w:val="auto"/>
                <w:w w:val="99"/>
              </w:rPr>
              <w:t>Emily Roberts</w:t>
            </w: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jc w:val="center"/>
              <w:ind w:left="308"/>
              <w:spacing w:after="0"/>
              <w:rPr>
                <w:sz w:val="20"/>
                <w:szCs w:val="20"/>
                <w:color w:val="auto"/>
              </w:rPr>
            </w:pPr>
            <w:r>
              <w:rPr>
                <w:rFonts w:ascii="Times New Roman" w:cs="Times New Roman" w:eastAsia="Times New Roman" w:hAnsi="Times New Roman"/>
                <w:sz w:val="13"/>
                <w:szCs w:val="13"/>
                <w:b w:val="1"/>
                <w:bCs w:val="1"/>
                <w:color w:val="auto"/>
                <w:w w:val="99"/>
              </w:rPr>
              <w:t>General Counsel and Secretary</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tcPr>
          <w:p>
            <w:pPr>
              <w:jc w:val="center"/>
              <w:ind w:right="812"/>
              <w:spacing w:after="0"/>
              <w:rPr>
                <w:sz w:val="20"/>
                <w:szCs w:val="20"/>
                <w:color w:val="auto"/>
              </w:rPr>
            </w:pPr>
            <w:r>
              <w:rPr>
                <w:rFonts w:ascii="Times New Roman" w:cs="Times New Roman" w:eastAsia="Times New Roman" w:hAnsi="Times New Roman"/>
                <w:sz w:val="13"/>
                <w:szCs w:val="13"/>
                <w:b w:val="1"/>
                <w:bCs w:val="1"/>
                <w:color w:val="auto"/>
                <w:w w:val="99"/>
              </w:rPr>
              <w:t>Davis Polk &amp; Wardwell LLP</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jc w:val="center"/>
              <w:ind w:left="308"/>
              <w:spacing w:after="0"/>
              <w:rPr>
                <w:sz w:val="20"/>
                <w:szCs w:val="20"/>
                <w:color w:val="auto"/>
              </w:rPr>
            </w:pPr>
            <w:r>
              <w:rPr>
                <w:rFonts w:ascii="Times New Roman" w:cs="Times New Roman" w:eastAsia="Times New Roman" w:hAnsi="Times New Roman"/>
                <w:sz w:val="13"/>
                <w:szCs w:val="13"/>
                <w:b w:val="1"/>
                <w:bCs w:val="1"/>
                <w:color w:val="auto"/>
                <w:w w:val="99"/>
              </w:rPr>
              <w:t>Lucid Group, Inc.</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tcPr>
          <w:p>
            <w:pPr>
              <w:jc w:val="center"/>
              <w:ind w:right="812"/>
              <w:spacing w:after="0"/>
              <w:rPr>
                <w:sz w:val="20"/>
                <w:szCs w:val="20"/>
                <w:color w:val="auto"/>
              </w:rPr>
            </w:pPr>
            <w:r>
              <w:rPr>
                <w:rFonts w:ascii="Times New Roman" w:cs="Times New Roman" w:eastAsia="Times New Roman" w:hAnsi="Times New Roman"/>
                <w:sz w:val="13"/>
                <w:szCs w:val="13"/>
                <w:b w:val="1"/>
                <w:bCs w:val="1"/>
                <w:color w:val="auto"/>
                <w:w w:val="98"/>
              </w:rPr>
              <w:t>1600 El Camino Real</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jc w:val="center"/>
              <w:ind w:left="288"/>
              <w:spacing w:after="0"/>
              <w:rPr>
                <w:sz w:val="20"/>
                <w:szCs w:val="20"/>
                <w:color w:val="auto"/>
              </w:rPr>
            </w:pPr>
            <w:r>
              <w:rPr>
                <w:rFonts w:ascii="Times New Roman" w:cs="Times New Roman" w:eastAsia="Times New Roman" w:hAnsi="Times New Roman"/>
                <w:sz w:val="13"/>
                <w:szCs w:val="13"/>
                <w:b w:val="1"/>
                <w:bCs w:val="1"/>
                <w:color w:val="auto"/>
                <w:w w:val="99"/>
              </w:rPr>
              <w:t>7373 Gateway Blvd.</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tcPr>
          <w:p>
            <w:pPr>
              <w:jc w:val="center"/>
              <w:ind w:right="812"/>
              <w:spacing w:after="0"/>
              <w:rPr>
                <w:sz w:val="20"/>
                <w:szCs w:val="20"/>
                <w:color w:val="auto"/>
              </w:rPr>
            </w:pPr>
            <w:r>
              <w:rPr>
                <w:rFonts w:ascii="Times New Roman" w:cs="Times New Roman" w:eastAsia="Times New Roman" w:hAnsi="Times New Roman"/>
                <w:sz w:val="13"/>
                <w:szCs w:val="13"/>
                <w:b w:val="1"/>
                <w:bCs w:val="1"/>
                <w:color w:val="auto"/>
              </w:rPr>
              <w:t>Menlo Park, CA 94025</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jc w:val="center"/>
              <w:ind w:left="288"/>
              <w:spacing w:after="0"/>
              <w:rPr>
                <w:sz w:val="20"/>
                <w:szCs w:val="20"/>
                <w:color w:val="auto"/>
              </w:rPr>
            </w:pPr>
            <w:r>
              <w:rPr>
                <w:rFonts w:ascii="Times New Roman" w:cs="Times New Roman" w:eastAsia="Times New Roman" w:hAnsi="Times New Roman"/>
                <w:sz w:val="13"/>
                <w:szCs w:val="13"/>
                <w:b w:val="1"/>
                <w:bCs w:val="1"/>
                <w:color w:val="auto"/>
              </w:rPr>
              <w:t>Newark, CA 94560</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tcPr>
          <w:p>
            <w:pPr>
              <w:jc w:val="right"/>
              <w:ind w:right="1232"/>
              <w:spacing w:after="0"/>
              <w:rPr>
                <w:sz w:val="20"/>
                <w:szCs w:val="20"/>
                <w:color w:val="auto"/>
              </w:rPr>
            </w:pPr>
            <w:r>
              <w:rPr>
                <w:rFonts w:ascii="Times New Roman" w:cs="Times New Roman" w:eastAsia="Times New Roman" w:hAnsi="Times New Roman"/>
                <w:sz w:val="13"/>
                <w:szCs w:val="13"/>
                <w:b w:val="1"/>
                <w:bCs w:val="1"/>
                <w:color w:val="auto"/>
              </w:rPr>
              <w:t>(650) 752-2000</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20" w:type="dxa"/>
            <w:vAlign w:val="bottom"/>
          </w:tcPr>
          <w:p>
            <w:pPr>
              <w:jc w:val="center"/>
              <w:ind w:left="328"/>
              <w:spacing w:after="0"/>
              <w:rPr>
                <w:sz w:val="20"/>
                <w:szCs w:val="20"/>
                <w:color w:val="auto"/>
              </w:rPr>
            </w:pPr>
            <w:r>
              <w:rPr>
                <w:rFonts w:ascii="Times New Roman" w:cs="Times New Roman" w:eastAsia="Times New Roman" w:hAnsi="Times New Roman"/>
                <w:sz w:val="13"/>
                <w:szCs w:val="13"/>
                <w:b w:val="1"/>
                <w:bCs w:val="1"/>
                <w:color w:val="auto"/>
              </w:rPr>
              <w:t>(510) 648-3553</w:t>
            </w: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94615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p>
      <w:pPr>
        <w:spacing w:after="0" w:line="21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29" w:lineRule="exact"/>
        <w:rPr>
          <w:sz w:val="24"/>
          <w:szCs w:val="24"/>
          <w:color w:val="auto"/>
        </w:rPr>
      </w:pPr>
    </w:p>
    <w:p>
      <w:pPr>
        <w:ind w:left="500" w:right="380" w:firstLine="36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53" w:lineRule="exact"/>
        <w:rPr>
          <w:sz w:val="24"/>
          <w:szCs w:val="24"/>
          <w:color w:val="auto"/>
        </w:rPr>
      </w:pPr>
    </w:p>
    <w:p>
      <w:pPr>
        <w:ind w:left="500" w:right="12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2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8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2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firstLine="360"/>
        <w:spacing w:after="0" w:line="22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500" w:type="dxa"/>
        <w:tblCellMar>
          <w:top w:w="0" w:type="dxa"/>
          <w:left w:w="0" w:type="dxa"/>
          <w:bottom w:w="0" w:type="dxa"/>
          <w:right w:w="0" w:type="dxa"/>
        </w:tblCellMar>
      </w:tblPr>
      <w:tr>
        <w:trPr>
          <w:trHeight w:val="127"/>
        </w:trPr>
        <w:tc>
          <w:tcPr>
            <w:tcW w:w="340" w:type="dxa"/>
            <w:vAlign w:val="bottom"/>
          </w:tcPr>
          <w:p>
            <w:pPr>
              <w:spacing w:after="0" w:line="127" w:lineRule="exact"/>
              <w:rPr>
                <w:sz w:val="20"/>
                <w:szCs w:val="20"/>
                <w:color w:val="auto"/>
              </w:rPr>
            </w:pPr>
            <w:r>
              <w:rPr>
                <w:rFonts w:ascii="Times New Roman" w:cs="Times New Roman" w:eastAsia="Times New Roman" w:hAnsi="Times New Roman"/>
                <w:sz w:val="13"/>
                <w:szCs w:val="13"/>
                <w:color w:val="auto"/>
              </w:rPr>
              <w:t>Large​</w:t>
            </w:r>
          </w:p>
        </w:tc>
        <w:tc>
          <w:tcPr>
            <w:tcW w:w="980" w:type="dxa"/>
            <w:vAlign w:val="bottom"/>
          </w:tcPr>
          <w:p>
            <w:pPr>
              <w:ind w:left="20"/>
              <w:spacing w:after="0" w:line="127" w:lineRule="exact"/>
              <w:rPr>
                <w:sz w:val="20"/>
                <w:szCs w:val="20"/>
                <w:color w:val="auto"/>
              </w:rPr>
            </w:pPr>
            <w:r>
              <w:rPr>
                <w:rFonts w:ascii="Times New Roman" w:cs="Times New Roman" w:eastAsia="Times New Roman" w:hAnsi="Times New Roman"/>
                <w:sz w:val="13"/>
                <w:szCs w:val="13"/>
                <w:color w:val="auto"/>
              </w:rPr>
              <w:t>accelerated filer</w:t>
            </w:r>
          </w:p>
        </w:tc>
        <w:tc>
          <w:tcPr>
            <w:tcW w:w="3600" w:type="dxa"/>
            <w:vAlign w:val="bottom"/>
          </w:tcPr>
          <w:p>
            <w:pPr>
              <w:ind w:left="60"/>
              <w:spacing w:after="0" w:line="127" w:lineRule="exact"/>
              <w:rPr>
                <w:sz w:val="20"/>
                <w:szCs w:val="20"/>
                <w:color w:val="auto"/>
              </w:rPr>
            </w:pPr>
            <w:r>
              <w:rPr>
                <w:rFonts w:ascii="MS PGothic" w:cs="MS PGothic" w:eastAsia="MS PGothic" w:hAnsi="MS PGothic"/>
                <w:sz w:val="13"/>
                <w:szCs w:val="13"/>
                <w:color w:val="auto"/>
              </w:rPr>
              <w:t>☒</w:t>
            </w:r>
          </w:p>
        </w:tc>
        <w:tc>
          <w:tcPr>
            <w:tcW w:w="760" w:type="dxa"/>
            <w:vAlign w:val="bottom"/>
          </w:tcPr>
          <w:p>
            <w:pPr>
              <w:ind w:left="680"/>
              <w:spacing w:after="0" w:line="12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line="127" w:lineRule="exact"/>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40"/>
              <w:spacing w:after="0" w:line="127" w:lineRule="exact"/>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27"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35"/>
        </w:trPr>
        <w:tc>
          <w:tcPr>
            <w:tcW w:w="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1"/>
                <w:szCs w:val="11"/>
                <w:color w:val="auto"/>
              </w:rPr>
            </w:pPr>
          </w:p>
        </w:tc>
        <w:tc>
          <w:tcPr>
            <w:tcW w:w="3600" w:type="dxa"/>
            <w:vAlign w:val="bottom"/>
            <w:vMerge w:val="restart"/>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(Do not check if a smaller reporting company)</w:t>
            </w:r>
          </w:p>
        </w:tc>
        <w:tc>
          <w:tcPr>
            <w:tcW w:w="760" w:type="dxa"/>
            <w:vAlign w:val="bottom"/>
          </w:tcPr>
          <w:p>
            <w:pPr>
              <w:ind w:left="6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vMerge w:val="restart"/>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3"/>
        </w:trPr>
        <w:tc>
          <w:tcPr>
            <w:tcW w:w="132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Non-accelerated filer</w:t>
            </w:r>
          </w:p>
        </w:tc>
        <w:tc>
          <w:tcPr>
            <w:tcW w:w="360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7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rPr>
          <w:sz w:val="20"/>
          <w:szCs w:val="20"/>
          <w:color w:val="auto"/>
        </w:rPr>
      </w:pPr>
      <w:r>
        <w:rPr>
          <w:rFonts w:ascii="Times New Roman" w:cs="Times New Roman" w:eastAsia="Times New Roman" w:hAnsi="Times New Roman"/>
          <w:sz w:val="13"/>
          <w:szCs w:val="13"/>
          <w:color w:val="auto"/>
        </w:rPr>
        <w:t>​</w:t>
      </w:r>
    </w:p>
    <w:p>
      <w:pPr>
        <w:spacing w:after="0"/>
        <w:rPr>
          <w:sz w:val="20"/>
          <w:szCs w:val="20"/>
          <w:color w:val="auto"/>
        </w:rPr>
      </w:pPr>
      <w:r>
        <w:rPr>
          <w:rFonts w:ascii="Times New Roman" w:cs="Times New Roman" w:eastAsia="Times New Roman" w:hAnsi="Times New Roman"/>
          <w:sz w:val="13"/>
          <w:szCs w:val="13"/>
          <w:color w:val="auto"/>
        </w:rPr>
        <w:t>​</w:t>
      </w:r>
    </w:p>
    <w:p>
      <w:pPr>
        <w:spacing w:after="0" w:line="150" w:lineRule="exact"/>
        <w:rPr>
          <w:sz w:val="24"/>
          <w:szCs w:val="24"/>
          <w:color w:val="auto"/>
        </w:rPr>
      </w:pPr>
    </w:p>
    <w:p>
      <w:pPr>
        <w:sectPr>
          <w:pgSz w:w="11900" w:h="16838" w:orient="portrait"/>
          <w:cols w:equalWidth="0" w:num="2">
            <w:col w:w="10140" w:space="80"/>
            <w:col w:w="60"/>
          </w:cols>
          <w:pgMar w:left="580" w:top="205" w:right="1039" w:bottom="1440" w:gutter="0" w:footer="0" w:header="0"/>
          <w:type w:val="continuous"/>
        </w:sectPr>
      </w:pPr>
    </w:p>
    <w:p>
      <w:pPr>
        <w:ind w:left="500" w:right="140" w:firstLine="360"/>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32385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STATEMENT PURSUANT TO RULE 429</w:t>
      </w:r>
    </w:p>
    <w:p>
      <w:pPr>
        <w:spacing w:after="0" w:line="29" w:lineRule="exact"/>
        <w:rPr>
          <w:sz w:val="24"/>
          <w:szCs w:val="24"/>
          <w:color w:val="auto"/>
        </w:rPr>
      </w:pPr>
    </w:p>
    <w:p>
      <w:pPr>
        <w:ind w:left="500" w:right="220" w:firstLine="360"/>
        <w:spacing w:after="0" w:line="213" w:lineRule="auto"/>
        <w:rPr>
          <w:sz w:val="20"/>
          <w:szCs w:val="20"/>
          <w:color w:val="auto"/>
        </w:rPr>
      </w:pPr>
      <w:r>
        <w:rPr>
          <w:rFonts w:ascii="Times New Roman" w:cs="Times New Roman" w:eastAsia="Times New Roman" w:hAnsi="Times New Roman"/>
          <w:sz w:val="14"/>
          <w:szCs w:val="14"/>
          <w:color w:val="auto"/>
        </w:rPr>
        <w:t>Pursuant to Rule 429 under the Securities Act, the prospectus that is a part of this registration statement is a combined prospectus that relates to and will be used in connection with: (1) the offer and sale by Lucid Group, Inc. (the “Company”) of up to $8,000,000,000 in the aggregate of the securities identified</w:t>
      </w:r>
    </w:p>
    <w:p>
      <w:pPr>
        <w:jc w:val="center"/>
        <w:ind w:right="40"/>
        <w:spacing w:after="0" w:line="222" w:lineRule="auto"/>
        <w:rPr>
          <w:sz w:val="20"/>
          <w:szCs w:val="20"/>
          <w:color w:val="auto"/>
        </w:rPr>
      </w:pPr>
      <w:r>
        <w:rPr>
          <w:rFonts w:ascii="Times New Roman" w:cs="Times New Roman" w:eastAsia="Times New Roman" w:hAnsi="Times New Roman"/>
          <w:sz w:val="14"/>
          <w:szCs w:val="14"/>
          <w:color w:val="auto"/>
        </w:rPr>
        <w:t>herein from time to time in one or more offerings; (2) the issuance by the Company of an aggregate of up to 44,350,000 shares of the Company’s Class A</w:t>
      </w:r>
    </w:p>
    <w:p>
      <w:pPr>
        <w:spacing w:after="0" w:line="1" w:lineRule="exact"/>
        <w:rPr>
          <w:sz w:val="24"/>
          <w:szCs w:val="24"/>
          <w:color w:val="auto"/>
        </w:rPr>
      </w:pPr>
    </w:p>
    <w:p>
      <w:pPr>
        <w:ind w:left="500" w:right="220"/>
        <w:spacing w:after="0" w:line="211" w:lineRule="auto"/>
        <w:rPr>
          <w:sz w:val="20"/>
          <w:szCs w:val="20"/>
          <w:color w:val="auto"/>
        </w:rPr>
      </w:pPr>
      <w:r>
        <w:rPr>
          <w:rFonts w:ascii="Times New Roman" w:cs="Times New Roman" w:eastAsia="Times New Roman" w:hAnsi="Times New Roman"/>
          <w:sz w:val="14"/>
          <w:szCs w:val="14"/>
          <w:color w:val="auto"/>
        </w:rPr>
        <w:t>common stock, par value $0.0001 per share (“common stock”), consisting of (a) 42,850,000 shares of common stock issuable upon exercise of the Private Placement Warrants (as defined below) and (b) 1,500,000 shares of common stock issuable upon exercise of the Working Capital Warrants (as defined below);</w:t>
      </w:r>
    </w:p>
    <w:p>
      <w:pPr>
        <w:ind w:left="500"/>
        <w:spacing w:after="0" w:line="222" w:lineRule="auto"/>
        <w:rPr>
          <w:sz w:val="20"/>
          <w:szCs w:val="20"/>
          <w:color w:val="auto"/>
        </w:rPr>
      </w:pPr>
      <w:r>
        <w:rPr>
          <w:rFonts w:ascii="Times New Roman" w:cs="Times New Roman" w:eastAsia="Times New Roman" w:hAnsi="Times New Roman"/>
          <w:sz w:val="14"/>
          <w:szCs w:val="14"/>
          <w:color w:val="auto"/>
        </w:rPr>
        <w:t>and (3) the offer and resale from time to time by the selling securityholders named herein (the “Selling Securityholders”), or their permitted transferees, of: (a)</w:t>
      </w:r>
    </w:p>
    <w:p>
      <w:pPr>
        <w:ind w:left="500" w:right="120"/>
        <w:spacing w:after="0" w:line="211" w:lineRule="auto"/>
        <w:rPr>
          <w:sz w:val="20"/>
          <w:szCs w:val="20"/>
          <w:color w:val="auto"/>
        </w:rPr>
      </w:pPr>
      <w:r>
        <w:rPr>
          <w:rFonts w:ascii="Times New Roman" w:cs="Times New Roman" w:eastAsia="Times New Roman" w:hAnsi="Times New Roman"/>
          <w:sz w:val="14"/>
          <w:szCs w:val="14"/>
          <w:color w:val="auto"/>
        </w:rPr>
        <w:t>up to 1,189,450,445 shares of common stock, consisting of (i) 1,115,163,848 issued and outstanding shares of common stock, (ii) 29,936,597 shares of common stock subject to vesting and/or exercise of the assumed Legacy Lucid Awards (as defined below) and (iii) 44,350,000 shares of common stock issuable upon</w:t>
      </w:r>
    </w:p>
    <w:p>
      <w:pPr>
        <w:ind w:left="500" w:right="140"/>
        <w:spacing w:after="0" w:line="239" w:lineRule="auto"/>
        <w:rPr>
          <w:sz w:val="20"/>
          <w:szCs w:val="20"/>
          <w:color w:val="auto"/>
        </w:rPr>
      </w:pPr>
      <w:r>
        <w:rPr>
          <w:rFonts w:ascii="Times New Roman" w:cs="Times New Roman" w:eastAsia="Times New Roman" w:hAnsi="Times New Roman"/>
          <w:sz w:val="14"/>
          <w:szCs w:val="14"/>
          <w:color w:val="auto"/>
        </w:rPr>
        <w:t>exercise of the Private Placement Warrants and the Working Capital Warrants; and (b) 44,350,000 warrants representing the Private Placement Warrants and the Working Capital Warrants.</w:t>
      </w:r>
    </w:p>
    <w:p>
      <w:pPr>
        <w:ind w:left="500" w:right="260" w:firstLine="360"/>
        <w:spacing w:after="0" w:line="213" w:lineRule="auto"/>
        <w:rPr>
          <w:sz w:val="20"/>
          <w:szCs w:val="20"/>
          <w:color w:val="auto"/>
        </w:rPr>
      </w:pPr>
      <w:r>
        <w:rPr>
          <w:rFonts w:ascii="Times New Roman" w:cs="Times New Roman" w:eastAsia="Times New Roman" w:hAnsi="Times New Roman"/>
          <w:sz w:val="14"/>
          <w:szCs w:val="14"/>
          <w:color w:val="auto"/>
        </w:rPr>
        <w:t>All of the securities listed in (2) and (3) above were previously registered on the Company’s registration statement No. 333-258348, as amended, which was originally declared effective on August 24, 2021 (the “Existing Registration Statement”). To the registrant’s knowledge, all of the securities listed in</w:t>
      </w:r>
    </w:p>
    <w:p>
      <w:pPr>
        <w:spacing w:after="0" w:line="1" w:lineRule="exact"/>
        <w:rPr>
          <w:sz w:val="24"/>
          <w:szCs w:val="24"/>
          <w:color w:val="auto"/>
        </w:rPr>
      </w:pPr>
    </w:p>
    <w:p>
      <w:pPr>
        <w:jc w:val="both"/>
        <w:ind w:left="500" w:right="160" w:hanging="8"/>
        <w:spacing w:after="0" w:line="233" w:lineRule="auto"/>
        <w:tabs>
          <w:tab w:leader="none" w:pos="715"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have not been sold or otherwise disposed of by the Selling Securityholders. This registration statement shall constitute a post-effective amendment to the Existing Registration Statement, and such post-effective amendment shall hereafter become effective concurrently with the effectiveness of this registration statement and in accordance with Section 8(c) of the Securities Act.</w:t>
      </w:r>
    </w:p>
    <w:p>
      <w:pPr>
        <w:ind w:left="500" w:right="220" w:firstLine="360"/>
        <w:spacing w:after="0" w:line="230"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w:t>
      </w:r>
    </w:p>
    <w:p>
      <w:pPr>
        <w:ind w:left="500" w:right="380"/>
        <w:spacing w:after="0" w:line="239" w:lineRule="auto"/>
        <w:rPr>
          <w:sz w:val="20"/>
          <w:szCs w:val="20"/>
          <w:color w:val="auto"/>
        </w:rPr>
      </w:pPr>
      <w:r>
        <w:rPr>
          <w:rFonts w:ascii="Times New Roman" w:cs="Times New Roman" w:eastAsia="Times New Roman" w:hAnsi="Times New Roman"/>
          <w:sz w:val="14"/>
          <w:szCs w:val="14"/>
          <w:b w:val="1"/>
          <w:bCs w:val="1"/>
          <w:color w:val="auto"/>
        </w:rPr>
        <w:t>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32385</wp:posOffset>
            </wp:positionV>
            <wp:extent cx="6189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20"/>
          </w:cols>
          <w:pgMar w:left="580" w:top="97" w:right="109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440" w:type="dxa"/>
        <w:tblCellMar>
          <w:top w:w="0" w:type="dxa"/>
          <w:left w:w="0" w:type="dxa"/>
          <w:bottom w:w="0" w:type="dxa"/>
          <w:right w:w="0" w:type="dxa"/>
        </w:tblCellMar>
      </w:tblPr>
      <w:tr>
        <w:trPr>
          <w:trHeight w:val="268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registration statement filed with the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securities in any jurisdiction where the</w:t>
            </w:r>
          </w:p>
        </w:tc>
      </w:tr>
      <w:tr>
        <w:trPr>
          <w:trHeight w:val="147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an offer to buy these</w:t>
            </w:r>
          </w:p>
        </w:tc>
      </w:tr>
      <w:tr>
        <w:trPr>
          <w:trHeight w:val="62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sell</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soliciting</w:t>
            </w:r>
          </w:p>
        </w:tc>
      </w:tr>
      <w:tr>
        <w:trPr>
          <w:trHeight w:val="185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selling securityholders</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these securities and is not</w:t>
            </w:r>
          </w:p>
        </w:tc>
      </w:tr>
      <w:tr>
        <w:trPr>
          <w:trHeight w:val="104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Neither we nor</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an offer to sell</w:t>
            </w:r>
          </w:p>
        </w:tc>
      </w:tr>
      <w:tr>
        <w:trPr>
          <w:trHeight w:val="123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prospectus is not</w:t>
            </w:r>
          </w:p>
        </w:tc>
      </w:tr>
      <w:tr>
        <w:trPr>
          <w:trHeight w:val="99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effective. This</w:t>
            </w:r>
          </w:p>
        </w:tc>
      </w:tr>
      <w:tr>
        <w:trPr>
          <w:trHeight w:val="27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prospectus is not</w:t>
            </w:r>
          </w:p>
        </w:tc>
        <w:tc>
          <w:tcPr>
            <w:tcW w:w="300" w:type="dxa"/>
            <w:vAlign w:val="bottom"/>
            <w:textDirection w:val="btLr"/>
          </w:tcPr>
          <w:p>
            <w:pPr>
              <w:ind w:left="162"/>
              <w:spacing w:after="0"/>
              <w:rPr>
                <w:sz w:val="20"/>
                <w:szCs w:val="20"/>
                <w:color w:val="auto"/>
              </w:rPr>
            </w:pPr>
            <w:r>
              <w:rPr>
                <w:rFonts w:ascii="Arial" w:cs="Arial" w:eastAsia="Arial" w:hAnsi="Arial"/>
                <w:sz w:val="12"/>
                <w:szCs w:val="12"/>
                <w:b w:val="1"/>
                <w:bCs w:val="1"/>
                <w:color w:val="FC0014"/>
                <w:w w:val="72"/>
              </w:rPr>
              <w:t>Securities and Exchange Commission isofferorsaleisnotpermitted.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SUBJECT TO COMPLETION DATED AUGUST 29,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97155</wp:posOffset>
            </wp:positionV>
            <wp:extent cx="3540125" cy="231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012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$8,000,000,000</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Common Stock</w:t>
      </w:r>
    </w:p>
    <w:p>
      <w:pPr>
        <w:jc w:val="center"/>
        <w:ind w:right="40"/>
        <w:spacing w:after="0" w:line="233" w:lineRule="auto"/>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Depositary Shares</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40"/>
        <w:spacing w:after="0" w:line="233" w:lineRule="auto"/>
        <w:rPr>
          <w:sz w:val="20"/>
          <w:szCs w:val="20"/>
          <w:color w:val="auto"/>
        </w:rPr>
      </w:pPr>
      <w:r>
        <w:rPr>
          <w:rFonts w:ascii="Times New Roman" w:cs="Times New Roman" w:eastAsia="Times New Roman" w:hAnsi="Times New Roman"/>
          <w:sz w:val="22"/>
          <w:szCs w:val="22"/>
          <w:b w:val="1"/>
          <w:bCs w:val="1"/>
          <w:color w:val="auto"/>
        </w:rPr>
        <w:t>Warrants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Purchase Contracts</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Offered by Lucid Group, Inc.</w:t>
      </w:r>
    </w:p>
    <w:p>
      <w:pPr>
        <w:spacing w:after="0" w:line="4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Up to 44,350,000 Shares of Common Stock</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Up to 1,189,450,445 Shares of Common Stock</w:t>
      </w:r>
    </w:p>
    <w:p>
      <w:pPr>
        <w:jc w:val="center"/>
        <w:ind w:right="40"/>
        <w:spacing w:after="0" w:line="233" w:lineRule="auto"/>
        <w:rPr>
          <w:sz w:val="20"/>
          <w:szCs w:val="20"/>
          <w:color w:val="auto"/>
        </w:rPr>
      </w:pPr>
      <w:r>
        <w:rPr>
          <w:rFonts w:ascii="Times New Roman" w:cs="Times New Roman" w:eastAsia="Times New Roman" w:hAnsi="Times New Roman"/>
          <w:sz w:val="22"/>
          <w:szCs w:val="22"/>
          <w:b w:val="1"/>
          <w:bCs w:val="1"/>
          <w:color w:val="auto"/>
        </w:rPr>
        <w:t>Up to 44,350,000 Warrants to Purchase Common Stock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Securityholders</w:t>
      </w:r>
    </w:p>
    <w:p>
      <w:pPr>
        <w:spacing w:after="0" w:line="84"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5"/>
          <w:szCs w:val="15"/>
          <w:color w:val="auto"/>
        </w:rPr>
        <w:t>Lucid Group, Inc. may from time to time offer and sell common stock, preferred stock, depositary shares representing preferred stock, debt securities, warrants, purchase contracts or units in one or more offerings of up to $8,000,000,000 in aggregate offering price. In addition, this prospectus relates to the issuance by us of up to 44,350,000 shares of the Company’s Class A common stock, par value $0.0001 per share (“common stock”), consisting of (a) 42,850,000 shares of common stock that are issuable upon exercise of the Private Placement Warrants (as defined below) and (b) 1,500,000 shares of common stock issuable upon exercise of the Working Capital Warrants (as defined below).</w:t>
      </w:r>
    </w:p>
    <w:p>
      <w:pPr>
        <w:spacing w:after="0" w:line="245"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15"/>
          <w:szCs w:val="15"/>
          <w:color w:val="auto"/>
        </w:rPr>
        <w:t>The prospectus also relates to the offer and resale from time to time by the selling securityholders named in this prospectus (the “Selling Securityholders”), or their permitted transferees, of (a) up to 1,189,450,445 shares of common stock, consisting of (i) 1,115,163,848 issued and outstanding shares of common stock, (ii) 29,936,597 shares of common stock subject to vesting and/or exercise of the assumed Legacy Lucid Awards (as defined below) and (iii) 44,350,000 shares of common stock issuable upon exercise of the Private Placement Warrants and the Working Capital Warrants, and (b) 44,350,000 warrants representing the Private Placement Warrants and the Working Capital Warrants.</w:t>
      </w:r>
    </w:p>
    <w:p>
      <w:pPr>
        <w:spacing w:after="0" w:line="24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5"/>
          <w:szCs w:val="15"/>
          <w:color w:val="auto"/>
        </w:rPr>
        <w:t>Our registration of the securities covered by this prospectus does not mean that either we or the Selling Securityholders will issue, offer or sell, as applicable, any of the securities. We and the Selling Securityholders may offer and sell the securities covered by this prospectus in a number of different ways and at varying prices. The securities may be sold directly to you, through agents, or through underwriters and dealers. If agents, underwriters or dealers are used to sell the securities, we will name them in a prospectus supplement. We provide more information about how we and the Selling Securityholders may sell the securities in the section entitled “Plan of Distribution.”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“Description of Capital Stock” for more information.</w:t>
      </w:r>
    </w:p>
    <w:p>
      <w:pPr>
        <w:spacing w:after="0" w:line="248" w:lineRule="exact"/>
        <w:rPr>
          <w:sz w:val="20"/>
          <w:szCs w:val="20"/>
          <w:color w:val="auto"/>
        </w:rPr>
      </w:pPr>
    </w:p>
    <w:p>
      <w:pPr>
        <w:ind w:right="20" w:firstLine="360"/>
        <w:spacing w:after="0" w:line="271" w:lineRule="auto"/>
        <w:rPr>
          <w:sz w:val="20"/>
          <w:szCs w:val="20"/>
          <w:color w:val="auto"/>
        </w:rPr>
      </w:pPr>
      <w:r>
        <w:rPr>
          <w:rFonts w:ascii="Times New Roman" w:cs="Times New Roman" w:eastAsia="Times New Roman" w:hAnsi="Times New Roman"/>
          <w:sz w:val="15"/>
          <w:szCs w:val="15"/>
          <w:color w:val="auto"/>
        </w:rPr>
        <w:t>Our majority stockholder, Ayar (as defined below), owned approximately 60.7% of our outstanding common stock as of June 30, 2022. As a result, we are a “controlled company” within the meaning of Nasdaq rules and, as a result, qualify for exemptions from certain corporate governance requirements. Ayar also currently has the ability to nominate five of the nine directors to our Board (as defined below).</w:t>
      </w:r>
    </w:p>
    <w:p>
      <w:pPr>
        <w:spacing w:after="0" w:line="50" w:lineRule="exact"/>
        <w:rPr>
          <w:sz w:val="20"/>
          <w:szCs w:val="20"/>
          <w:color w:val="auto"/>
        </w:rPr>
      </w:pPr>
    </w:p>
    <w:p>
      <w:pPr>
        <w:ind w:right="260" w:firstLine="360"/>
        <w:spacing w:after="0" w:line="257" w:lineRule="auto"/>
        <w:rPr>
          <w:sz w:val="20"/>
          <w:szCs w:val="20"/>
          <w:color w:val="auto"/>
        </w:rPr>
      </w:pPr>
      <w:r>
        <w:rPr>
          <w:rFonts w:ascii="Times New Roman" w:cs="Times New Roman" w:eastAsia="Times New Roman" w:hAnsi="Times New Roman"/>
          <w:sz w:val="15"/>
          <w:szCs w:val="15"/>
          <w:color w:val="auto"/>
        </w:rPr>
        <w:t>We will receive proceeds from the issuance and sale of our common stock, preferred stock, depositary shares representing preferred stock, debt securities, warrants, purchase contracts or units. We will not receive any proceeds from the sale of shares of common stock or warrants by the Selling Securityholders pursuant to this prospectus, except with respect to amounts received by us upon exercise of the warrants to the extent such warrants are exercised for cash. However, we will pay certain expenses associated with the sale of securities pursuant to this prospectus, as described in the section titled “Plan of Distribution.”</w:t>
      </w:r>
    </w:p>
    <w:p>
      <w:pPr>
        <w:spacing w:after="0" w:line="62" w:lineRule="exact"/>
        <w:rPr>
          <w:sz w:val="20"/>
          <w:szCs w:val="20"/>
          <w:color w:val="auto"/>
        </w:rPr>
      </w:pPr>
    </w:p>
    <w:p>
      <w:pPr>
        <w:ind w:right="60" w:firstLine="360"/>
        <w:spacing w:after="0" w:line="280" w:lineRule="auto"/>
        <w:rPr>
          <w:sz w:val="20"/>
          <w:szCs w:val="20"/>
          <w:color w:val="auto"/>
        </w:rPr>
      </w:pPr>
      <w:r>
        <w:rPr>
          <w:rFonts w:ascii="Times New Roman" w:cs="Times New Roman" w:eastAsia="Times New Roman" w:hAnsi="Times New Roman"/>
          <w:sz w:val="15"/>
          <w:szCs w:val="15"/>
          <w:color w:val="auto"/>
        </w:rPr>
        <w:t>Our common stock is listed on The Nasdaq Stock Market LLC under the symbol “LCID.” On August 26, 2022, the closing price of our common stock was $16.24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64135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2" w:lineRule="exact"/>
        <w:rPr>
          <w:sz w:val="20"/>
          <w:szCs w:val="20"/>
          <w:color w:val="auto"/>
        </w:rPr>
      </w:pPr>
    </w:p>
    <w:p>
      <w:pPr>
        <w:ind w:firstLine="360"/>
        <w:spacing w:after="0" w:line="264" w:lineRule="auto"/>
        <w:rPr>
          <w:rFonts w:ascii="Times New Roman" w:cs="Times New Roman" w:eastAsia="Times New Roman" w:hAnsi="Times New Roman"/>
          <w:sz w:val="15"/>
          <w:szCs w:val="15"/>
          <w:b w:val="1"/>
          <w:bCs w:val="1"/>
          <w:color w:val="0000EE"/>
        </w:rPr>
      </w:pPr>
      <w:r>
        <w:rPr>
          <w:rFonts w:ascii="Times New Roman" w:cs="Times New Roman" w:eastAsia="Times New Roman" w:hAnsi="Times New Roman"/>
          <w:sz w:val="15"/>
          <w:szCs w:val="15"/>
          <w:b w:val="1"/>
          <w:bCs w:val="1"/>
          <w:color w:val="auto"/>
        </w:rPr>
        <w:t xml:space="preserve">Investing in these securities involves certain risks. You should review carefully the risks and uncertainties described under the heading “Risk </w:t>
      </w:r>
      <w:hyperlink r:id="rId13">
        <w:r>
          <w:rPr>
            <w:rFonts w:ascii="Times New Roman" w:cs="Times New Roman" w:eastAsia="Times New Roman" w:hAnsi="Times New Roman"/>
            <w:sz w:val="15"/>
            <w:szCs w:val="15"/>
            <w:b w:val="1"/>
            <w:bCs w:val="1"/>
            <w:color w:val="auto"/>
          </w:rPr>
          <w:t xml:space="preserve">Factors” beginning on page </w:t>
        </w:r>
        <w:r>
          <w:rPr>
            <w:rFonts w:ascii="Times New Roman" w:cs="Times New Roman" w:eastAsia="Times New Roman" w:hAnsi="Times New Roman"/>
            <w:sz w:val="15"/>
            <w:szCs w:val="15"/>
            <w:b w:val="1"/>
            <w:bCs w:val="1"/>
            <w:u w:val="single" w:color="auto"/>
            <w:color w:val="0000EE"/>
          </w:rPr>
          <w:t>3</w:t>
        </w:r>
        <w:r>
          <w:rPr>
            <w:rFonts w:ascii="Times New Roman" w:cs="Times New Roman" w:eastAsia="Times New Roman" w:hAnsi="Times New Roman"/>
            <w:sz w:val="15"/>
            <w:szCs w:val="15"/>
            <w:b w:val="1"/>
            <w:bCs w:val="1"/>
            <w:color w:val="auto"/>
          </w:rPr>
          <w:t xml:space="preserve"> of this prospectus, and beginning on page 46 of our </w:t>
        </w:r>
        <w:r>
          <w:rPr>
            <w:rFonts w:ascii="Times New Roman" w:cs="Times New Roman" w:eastAsia="Times New Roman" w:hAnsi="Times New Roman"/>
            <w:sz w:val="15"/>
            <w:szCs w:val="15"/>
            <w:b w:val="1"/>
            <w:bCs w:val="1"/>
            <w:u w:val="single" w:color="auto"/>
            <w:color w:val="0000EE"/>
          </w:rPr>
          <w:t>Quarterly Report on Form 10-Q for the quarter ended June 30,</w:t>
        </w:r>
      </w:hyperlink>
      <w:r>
        <w:rPr>
          <w:rFonts w:ascii="Times New Roman" w:cs="Times New Roman" w:eastAsia="Times New Roman" w:hAnsi="Times New Roman"/>
          <w:sz w:val="15"/>
          <w:szCs w:val="15"/>
          <w:b w:val="1"/>
          <w:bCs w:val="1"/>
          <w:color w:val="auto"/>
        </w:rPr>
        <w:t xml:space="preserve"> </w:t>
      </w:r>
      <w:hyperlink r:id="rId13">
        <w:r>
          <w:rPr>
            <w:rFonts w:ascii="Times New Roman" w:cs="Times New Roman" w:eastAsia="Times New Roman" w:hAnsi="Times New Roman"/>
            <w:sz w:val="15"/>
            <w:szCs w:val="15"/>
            <w:b w:val="1"/>
            <w:bCs w:val="1"/>
            <w:u w:val="single" w:color="auto"/>
            <w:color w:val="0000EE"/>
          </w:rPr>
          <w:t>2022</w:t>
        </w:r>
        <w:r>
          <w:rPr>
            <w:rFonts w:ascii="Times New Roman" w:cs="Times New Roman" w:eastAsia="Times New Roman" w:hAnsi="Times New Roman"/>
            <w:sz w:val="15"/>
            <w:szCs w:val="15"/>
            <w:b w:val="1"/>
            <w:bCs w:val="1"/>
            <w:color w:val="000000"/>
          </w:rPr>
          <w:t>, both of which are incorporated herein by reference, as amended or supplemented from time to time by any risk factors we include in</w:t>
        </w:r>
      </w:hyperlink>
      <w:r>
        <w:rPr>
          <w:rFonts w:ascii="Times New Roman" w:cs="Times New Roman" w:eastAsia="Times New Roman" w:hAnsi="Times New Roman"/>
          <w:sz w:val="15"/>
          <w:szCs w:val="15"/>
          <w:b w:val="1"/>
          <w:bCs w:val="1"/>
          <w:color w:val="0000EE"/>
        </w:rPr>
        <w:t xml:space="preserve"> </w:t>
      </w:r>
      <w:r>
        <w:rPr>
          <w:rFonts w:ascii="Times New Roman" w:cs="Times New Roman" w:eastAsia="Times New Roman" w:hAnsi="Times New Roman"/>
          <w:sz w:val="15"/>
          <w:szCs w:val="15"/>
          <w:b w:val="1"/>
          <w:bCs w:val="1"/>
          <w:color w:val="000000"/>
        </w:rPr>
        <w:t>subsequent Annual or Quarterly Reports on Form 10-K or 10-Q, respectively, and incorporated herein by reference.</w:t>
      </w:r>
    </w:p>
    <w:p>
      <w:pPr>
        <w:spacing w:after="0" w:line="51" w:lineRule="exact"/>
        <w:rPr>
          <w:sz w:val="20"/>
          <w:szCs w:val="20"/>
          <w:color w:val="auto"/>
        </w:rPr>
      </w:pPr>
    </w:p>
    <w:p>
      <w:pPr>
        <w:ind w:right="400" w:firstLine="360"/>
        <w:spacing w:after="0" w:line="285"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98425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146050</wp:posOffset>
            </wp:positionV>
            <wp:extent cx="68065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900" w:space="240"/>
            <w:col w:w="9080"/>
          </w:cols>
          <w:pgMar w:left="580" w:top="97" w:right="109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114300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Frequently Used Terms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Material United States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128905</wp:posOffset>
            </wp:positionV>
            <wp:extent cx="1234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tabs>
          <w:tab w:leader="none" w:pos="44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u w:val="single" w:color="auto"/>
          <w:color w:val="0000EE"/>
        </w:rPr>
        <w:t xml:space="preserve">i </w:t>
      </w:r>
      <w:r>
        <w:rPr>
          <w:rFonts w:ascii="Times New Roman" w:cs="Times New Roman" w:eastAsia="Times New Roman" w:hAnsi="Times New Roman"/>
          <w:sz w:val="18"/>
          <w:szCs w:val="18"/>
          <w:b w:val="1"/>
          <w:bCs w:val="1"/>
          <w:color w:val="000000"/>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846" w:lineRule="exact"/>
        <w:rPr>
          <w:sz w:val="20"/>
          <w:szCs w:val="20"/>
          <w:color w:val="auto"/>
        </w:rPr>
      </w:pPr>
    </w:p>
    <w:p>
      <w:pPr>
        <w:sectPr>
          <w:pgSz w:w="11900" w:h="16838" w:orient="portrait"/>
          <w:cols w:equalWidth="0" w:num="2">
            <w:col w:w="8200" w:space="720"/>
            <w:col w:w="959"/>
          </w:cols>
          <w:pgMar w:left="580" w:top="97" w:right="1440" w:bottom="1440" w:gutter="0" w:footer="0" w:header="0"/>
        </w:sectPr>
      </w:pPr>
    </w:p>
    <w:p>
      <w:pPr>
        <w:ind w:left="1260" w:right="779" w:firstLine="360"/>
        <w:spacing w:after="0" w:line="24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w:t>
      </w:r>
    </w:p>
    <w:p>
      <w:pPr>
        <w:spacing w:after="0" w:line="11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or any accompanying prospectus supplement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applicable prospectus supplement.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330"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w:t>
      </w:r>
    </w:p>
    <w:p>
      <w:pPr>
        <w:sectPr>
          <w:pgSz w:w="11900" w:h="16838" w:orient="portrait"/>
          <w:cols w:equalWidth="0" w:num="1">
            <w:col w:w="9879"/>
          </w:cols>
          <w:pgMar w:left="580" w:top="97" w:right="1440" w:bottom="1440" w:gutter="0" w:footer="0" w:header="0"/>
          <w:type w:val="continuous"/>
        </w:sectPr>
      </w:pPr>
    </w:p>
    <w:p>
      <w:pPr>
        <w:spacing w:after="0" w:line="3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On July 23, 2021, or the Closing Date, our predecessor Churchill consummated the Transactions, including the previously announced Merger pursuant to the terms of the Merger Agreement, which, among other things, provided for the merger of Merger Sub with and into Atieva, Inc., d/b/a Lucid Motors, with Atieva, Inc. surviving such merger as a wholly owned subsidiary of Churchill (each defined term as defined below). In connection with the Transactions, Churchill changed its name to Lucid Group, Inc. and listed shares of its common stock on the Nasdaq Global Select Market under the ticker symbol “LCID.”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FAQ: About This Form S-3</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What is a Form S-3 registration statement?</w:t>
      </w:r>
    </w:p>
    <w:p>
      <w:pPr>
        <w:spacing w:after="0" w:line="16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Form S-3 is a simplified and abbreviated form for registering securities with the SEC. In certain cases, domestic companies are eligible to use Form S-3 instead of a longer Form S-1. Filing a Form S-3 offers distinct time and cost savings over filing a Form S-1.</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Why is Lucid filing a Form S-3?</w:t>
      </w:r>
    </w:p>
    <w:p>
      <w:pPr>
        <w:spacing w:after="0" w:line="14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believe that an effective registration statement on Form S-3 will provide us with greater flexibility to raise capital in the future. In addition, our Investor Rights Agreement requires us to convert our existing Form S-1 registration statement into a Form S-3 as soon as practicable after we are eligible to use Form S-3.</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Why is Lucid filing a Form S-3 now?</w:t>
      </w:r>
    </w:p>
    <w:p>
      <w:pPr>
        <w:spacing w:after="0" w:line="160" w:lineRule="exact"/>
        <w:rPr>
          <w:sz w:val="20"/>
          <w:szCs w:val="20"/>
          <w:color w:val="auto"/>
        </w:rPr>
      </w:pPr>
    </w:p>
    <w:p>
      <w:pPr>
        <w:ind w:left="1260" w:right="1439" w:firstLine="360"/>
        <w:spacing w:after="0" w:line="282" w:lineRule="auto"/>
        <w:rPr>
          <w:sz w:val="20"/>
          <w:szCs w:val="20"/>
          <w:color w:val="auto"/>
        </w:rPr>
      </w:pPr>
      <w:r>
        <w:rPr>
          <w:rFonts w:ascii="Times New Roman" w:cs="Times New Roman" w:eastAsia="Times New Roman" w:hAnsi="Times New Roman"/>
          <w:sz w:val="18"/>
          <w:szCs w:val="18"/>
          <w:color w:val="auto"/>
        </w:rPr>
        <w:t>We became eligible to file a registration statement on Form S-3 on August 1, 2022, twelve calendar months following the closing of the Transactions.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Is Lucid currently offering and selling $8 billion in new securities?</w:t>
      </w:r>
    </w:p>
    <w:p>
      <w:pPr>
        <w:spacing w:after="0" w:line="16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Lucid is not offering or selling any new securities as of the filing of this registration statement. After this registration statement is declared effective by the SEC, we may, from time to time, issue, offer and sell any combination of the securities described in this prospectus in one or more offerings, up to an aggregate offering amount of $8 billion, over the three years after this registration statement is declared effective by the SEC. (This amount does not include shares of common stock that we may issue to holders of the Private Placement Warrants and the Working Capital Warrants pursuant to the exercise of those warrants under this registration statement.) If Lucid decides to raise capital in an offering under this registration statement after the registration statement is declared effective, Lucid will describe the specific details of that future offering in a prospectus supplement that is filed with the SEC.</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What are the other shares of common stock and warrants that are offered by this registration statement?</w:t>
      </w:r>
    </w:p>
    <w:p>
      <w:pPr>
        <w:spacing w:after="0" w:line="14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This registration statement also registers the resale of up to 1,189,450,445 shares of common stock and up to 44,350,000 warrants held by selling securityholders named in the section of this prospectus titled “Selling Securityholders” and referred to herein as the “Selling Securityholders.” These securities were previously registered on our Form S-1 shelf registration statement (File No. 333-258348), which was initially declared effective by the SEC on August 24, 2021, and which we sometimes refer to in this prospectus as the “Existing Registration Statement.” They include shares of common stock that are held by certain of our affiliates that are party to the Investor Rights Agreement, shares of common stock that Lucid sold in the PIPE Investment, the Private Placement Warrants and Working Capital Warrants. In addition, as with the Form S-1 shelf registration statement, we are registering the issuance of up to 44,350,000 shares of common stock that we may issue to holders of the Private Placement Warrants and the Working Capital Warrants upon the exercise of those warrants.</w:t>
      </w:r>
    </w:p>
    <w:p>
      <w:pPr>
        <w:spacing w:after="0" w:line="38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Why is Lucid registering the resale of these shares of common stock and warrants?</w:t>
      </w:r>
    </w:p>
    <w:p>
      <w:pPr>
        <w:spacing w:after="0" w:line="16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Investor Rights Agreement and the PIPE Subscription Agreements require us to register certain securities for resale by the Selling Securityholders. In general, the shares of common stock and warrants that we are registering for resale on this Form S-3 registration statement are subject to restrictions on resale under the U.S. federal securities laws that can make their resale more difficult if the resale is not registered. These include securities that were acquired in private placements, such as the Private Placement Warrants and the shares of common stock that were sold in the PIPE Investment. They also include securities that are held by our affiliates. We are registering all of these securities pursuant to our contractual obligations to allow the Selling Securityholders additional flexibility if they decide to sell. The registration of these securities does not mean that any Selling Securityholder has made a decision to sell their securities in the near term, or at all. The shares of common stock held by the Sponsor, as well as the Private Placement Warrants and the Working Capital Warrants and the shares issuable upon exercise of those warrants, are subject to restrictions on resale until January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11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2" w:lineRule="exact"/>
        <w:rPr>
          <w:sz w:val="20"/>
          <w:szCs w:val="20"/>
          <w:color w:val="auto"/>
        </w:rPr>
      </w:pPr>
    </w:p>
    <w:p>
      <w:pPr>
        <w:ind w:left="1800" w:right="11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Form 10-K for the year ended </w:t>
      </w:r>
      <w:hyperlink r:id="rId30">
        <w:r>
          <w:rPr>
            <w:rFonts w:ascii="Times New Roman" w:cs="Times New Roman" w:eastAsia="Times New Roman" w:hAnsi="Times New Roman"/>
            <w:sz w:val="18"/>
            <w:szCs w:val="18"/>
            <w:u w:val="single" w:color="auto"/>
            <w:color w:val="0000EE"/>
          </w:rPr>
          <w:t>December 31, 2021</w:t>
        </w:r>
      </w:hyperlink>
      <w:r>
        <w:rPr>
          <w:rFonts w:ascii="Times New Roman" w:cs="Times New Roman" w:eastAsia="Times New Roman" w:hAnsi="Times New Roman"/>
          <w:sz w:val="18"/>
          <w:szCs w:val="18"/>
          <w:color w:val="auto"/>
        </w:rPr>
        <w:t>, filed with the SEC on February 28, 2022;</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and June 30, 2022, filed with the SEC on </w:t>
      </w:r>
      <w:hyperlink r:id="rId31">
        <w:r>
          <w:rPr>
            <w:rFonts w:ascii="Times New Roman" w:cs="Times New Roman" w:eastAsia="Times New Roman" w:hAnsi="Times New Roman"/>
            <w:sz w:val="18"/>
            <w:szCs w:val="18"/>
            <w:u w:val="single" w:color="auto"/>
            <w:color w:val="0000EE"/>
          </w:rPr>
          <w:t>May 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w:t>
      </w:r>
      <w:hyperlink r:id="rId13">
        <w:r>
          <w:rPr>
            <w:rFonts w:ascii="Times New Roman" w:cs="Times New Roman" w:eastAsia="Times New Roman" w:hAnsi="Times New Roman"/>
            <w:sz w:val="18"/>
            <w:szCs w:val="18"/>
            <w:u w:val="single" w:color="auto"/>
            <w:color w:val="0000EE"/>
          </w:rPr>
          <w:t>August 3, 2022</w:t>
        </w:r>
      </w:hyperlink>
      <w:r>
        <w:rPr>
          <w:rFonts w:ascii="Times New Roman" w:cs="Times New Roman" w:eastAsia="Times New Roman" w:hAnsi="Times New Roman"/>
          <w:sz w:val="18"/>
          <w:szCs w:val="18"/>
          <w:color w:val="auto"/>
        </w:rPr>
        <w:t>, respectively;</w:t>
      </w:r>
    </w:p>
    <w:p>
      <w:pPr>
        <w:spacing w:after="0" w:line="53"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specifically incorporated by reference in our Annual Report on Form 10-K for the fiscal year ended December 31, 2021 from our Definitive Proxy Statement on </w:t>
      </w:r>
      <w:hyperlink r:id="rId3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28, 2022;</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3">
        <w:r>
          <w:rPr>
            <w:rFonts w:ascii="Times New Roman" w:cs="Times New Roman" w:eastAsia="Times New Roman" w:hAnsi="Times New Roman"/>
            <w:sz w:val="18"/>
            <w:szCs w:val="18"/>
            <w:u w:val="single" w:color="auto"/>
            <w:color w:val="0000EE"/>
          </w:rPr>
          <w:t>April 26, 2022</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June 2, 2022</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June 13, 2022</w:t>
        </w:r>
      </w:hyperlink>
      <w:r>
        <w:rPr>
          <w:rFonts w:ascii="Times New Roman" w:cs="Times New Roman" w:eastAsia="Times New Roman" w:hAnsi="Times New Roman"/>
          <w:sz w:val="18"/>
          <w:szCs w:val="18"/>
          <w:color w:val="auto"/>
        </w:rPr>
        <w:t xml:space="preserve"> and </w:t>
      </w:r>
      <w:hyperlink r:id="rId36">
        <w:r>
          <w:rPr>
            <w:rFonts w:ascii="Times New Roman" w:cs="Times New Roman" w:eastAsia="Times New Roman" w:hAnsi="Times New Roman"/>
            <w:sz w:val="18"/>
            <w:szCs w:val="18"/>
            <w:u w:val="single" w:color="auto"/>
            <w:color w:val="0000EE"/>
          </w:rPr>
          <w:t>June 15, 2022</w:t>
        </w:r>
      </w:hyperlink>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our Registration Statement on </w:t>
      </w:r>
      <w:hyperlink r:id="rId3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001-39408), filed with the SEC on July 23, 2021, including any amendments or reports filed for the purpose of updating such description.</w:t>
      </w:r>
    </w:p>
    <w:p>
      <w:pPr>
        <w:spacing w:after="0" w:line="95" w:lineRule="exact"/>
        <w:rPr>
          <w:rFonts w:ascii="Times New Roman" w:cs="Times New Roman" w:eastAsia="Times New Roman" w:hAnsi="Times New Roman"/>
          <w:sz w:val="18"/>
          <w:szCs w:val="18"/>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w:t>
      </w:r>
    </w:p>
    <w:p>
      <w:pPr>
        <w:spacing w:after="0" w:line="116" w:lineRule="exact"/>
        <w:rPr>
          <w:rFonts w:ascii="Times New Roman" w:cs="Times New Roman" w:eastAsia="Times New Roman" w:hAnsi="Times New Roman"/>
          <w:sz w:val="18"/>
          <w:szCs w:val="18"/>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SEC maintains a website at www.sec.gov, from which you can inspect these documents and other information we have filed electronically with the SEC. You may also request copies of these documents, at no cost to you, by contacting us at Investor Relations at 7373 Gateway Boulevard, Newark, CA 94560,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w:t>
      </w:r>
    </w:p>
    <w:p>
      <w:pPr>
        <w:spacing w:after="0" w:line="124" w:lineRule="exact"/>
        <w:rPr>
          <w:rFonts w:ascii="Times New Roman" w:cs="Times New Roman" w:eastAsia="Times New Roman" w:hAnsi="Times New Roman"/>
          <w:sz w:val="18"/>
          <w:szCs w:val="18"/>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Exhibits to these documents will not be sent, however, unless those exhibits have been specifically incorporated by reference into this prospectus. The information contained on, or that may be accessed through, our website is not part of, and is not incorporated into, this prospectus or the registration statement of which it forms a part.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15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“2009 Plan” are to the Atieva, Inc. 2009 Share Plan duly adopted by the board of directors of Legacy Lucid on December 17, 2009;</w:t>
      </w:r>
    </w:p>
    <w:p>
      <w:pPr>
        <w:spacing w:after="0" w:line="8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“2014 Plan” are to the Atieva, Inc. 2014 Share Plan duly adopted by the board of directors of Legacy Lucid on May 14, 2014;</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“2021 Plan” are to the Atieva, Inc. 2021 Stock Incentive Plan duly adopted by the compensation committee of the board of directors of Legacy Lucid on January 13, 2021 and approved by Legacy Lucid’s shareholders on January 21, 2021;</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“2026 Notes” are to the 1.25% Convertible Senior Notes due 2026 issued by us in December 2021;</w:t>
      </w:r>
    </w:p>
    <w:p>
      <w:pPr>
        <w:spacing w:after="0" w:line="144"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“ABL Credit Facility” are to the Credit Agreement, dated as of June 9, 2022, by and among Lucid Group, Inc., as the Borrower Representative, the other Borrowers party thereto from time to time, the Lenders and Issuing Banks from time to time party thereto and Bank of America, N.A., as Administrative Agent;</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“Ayar” are to Ayar Third Investment Company, an affiliate of PIF;</w:t>
      </w:r>
    </w:p>
    <w:p>
      <w:pPr>
        <w:spacing w:after="0" w:line="15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“Board” are, prior to consummation of the Transactions, to the board of directors of Legacy Lucid, and, following consummation of the Transactions, to the board of directors of Lucid Group;</w:t>
      </w:r>
    </w:p>
    <w:p>
      <w:pPr>
        <w:spacing w:after="0" w:line="8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0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“Churchill’s Class A common stock” are to Churchill’s Class A common stock, par value $0.0001 per share;</w:t>
      </w:r>
    </w:p>
    <w:p>
      <w:pPr>
        <w:spacing w:after="0" w:line="9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“Churchill’s Class B common stock” are to Churchill’s Class B common stock, par value $0.0001 per share;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“Churchill IPO” are to the initial public offering by Churchill which closed on August 3, 2020;</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“common stock” are to Lucid Group, Inc.’s Class A common stock par value $0.0001 per share;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“Closing” are to the consummation of the Transactions;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“Closing Date” are to July 23, 2021, the date on which the Transactions were consummated;</w:t>
      </w:r>
    </w:p>
    <w:p>
      <w:pPr>
        <w:spacing w:after="0" w:line="15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“current bylaws” are to the Company’s Amended and Restated Bylaws in effect as of the date of this prospectus;</w:t>
      </w:r>
    </w:p>
    <w:p>
      <w:pPr>
        <w:spacing w:after="0" w:line="8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“current certificate of incorporation” are to the Company’s Second Amended and Restated Certificate of Incorporation in effect as of the date of this prospectus;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“DGCL” are to the Delaware General Corporation Law,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 are to electric vehicle;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“Exchange Act” are to the Securities Exchange Act of 1934, as amended;</w:t>
      </w:r>
    </w:p>
    <w:p>
      <w:pPr>
        <w:spacing w:after="0" w:line="15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“Existing Registration Statement” are to the Company’s registration statement No. 333-258348, as amended, which was originally declared effective on August 24, 2021;</w:t>
      </w:r>
    </w:p>
    <w:p>
      <w:pPr>
        <w:spacing w:after="0" w:line="94"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“Incentive Plan” are to the Lucid Group, Inc. Amended and Restated 2021 Stock Incentive Plan (including the Lucid Group, Inc. 2021 Employee Stock Purchase Plan, attached thereto), duly adopted by the Board on April 27, 2022 and approved by the Company’s stockholders on June 9, 2022;</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“Investor Rights Agreement” are to the Investor Rights Agreement, dated as of February 22, 2021, by and among the Company, the Sponsor, Ayar and certain other parties thereto;</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“Legacy Lucid” or “Atieva” are to Atieva, Inc., d/b/a Lucid Motors, an exempted company incorporated with limited liability under the laws of the Cayman Islands, and its consolidated subsidiaries;</w:t>
      </w:r>
    </w:p>
    <w:p>
      <w:pPr>
        <w:spacing w:after="0" w:line="95"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“Legacy Lucid Awards” are to all issued and outstanding stock options, restricted stock units or other compensatory equity securities in respect of shares of Legacy Lucid outstanding as of immediately prior to the Closing of the Merger, including, without limitation, any Legacy Lucid Options and Legacy Lucid RSUs;</w:t>
      </w:r>
    </w:p>
    <w:p>
      <w:pPr>
        <w:spacing w:after="0" w:line="323"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“Legacy Lucid Common Shares” are to the common shares, par value $0.0001 per share, of Legacy Lucid;</w:t>
      </w:r>
    </w:p>
    <w:p>
      <w:pPr>
        <w:spacing w:after="0" w:line="95"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“Legacy Lucid Options” are to all issued and outstanding options to purchase or otherwise acquire Legacy Lucid Common Shares (whether or not vested) held by any person, including share options granted under any Legacy Lucid Share Plan;</w:t>
      </w:r>
    </w:p>
    <w:p>
      <w:pPr>
        <w:spacing w:after="0" w:line="10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“Legacy Lucid Share Plans” are to the 2009 Plan, the 2014 Plan, the 2021 Plan, in each case as amended from time to time in accordance with their terms;</w:t>
      </w:r>
    </w:p>
    <w:p>
      <w:pPr>
        <w:spacing w:after="0" w:line="95"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“Legacy Lucid RSUs” are to all issued and outstanding restricted stock unit awards with respect to Legacy Lucid Common Shares outstanding under any Legacy Lucid Share Plan;</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“Lucid Awards” are to Lucid Options and Lucid RSUs;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“Lucid Group” are to Lucid Group, Inc., a Delaware corporation, and its consolidated subsidiaries;</w:t>
      </w:r>
    </w:p>
    <w:p>
      <w:pPr>
        <w:spacing w:after="0" w:line="158"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“Lucid Options” are to all issued and outstanding options of the Company to purchase shares of common stock immediately following the closing of the Merger;</w:t>
      </w:r>
    </w:p>
    <w:p>
      <w:pPr>
        <w:spacing w:after="0" w:line="95"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“Lucid RSUs” are to all issued and outstanding restricted stock unit awards of the Company with respect to shares of common stock immediately following the closing of the Merger;</w:t>
      </w:r>
    </w:p>
    <w:p>
      <w:pPr>
        <w:spacing w:after="0" w:line="95"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“M. Klein and Company” are to M. Klein and Company, LLC, a Delaware limited liability company, and its affiliates;</w:t>
      </w:r>
    </w:p>
    <w:p>
      <w:pPr>
        <w:spacing w:after="0" w:line="8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“Merger” are to the merger of Merger Sub and Legacy Lucid, with Legacy Lucid surviving such merger as a wholly owned subsidiary of Churchill;</w:t>
      </w:r>
    </w:p>
    <w:p>
      <w:pPr>
        <w:spacing w:after="0" w:line="9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“Merger Agreement” are to that certain Agreement and Plan of Merger, dated as of February 22, 2021, by and among Churchill, Legacy Lucid and Air Merger Sub, Inc., a Delaware corporation and a direct, wholly- owned subsidiary of Churchill, as the same has been or may be amended, modified, supplemented or waived from time to time;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“Nasdaq” are to The Nasdaq Stock Market LLC;</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“PIF” are to the Public Investment Fund, the sovereign wealth fund of the Kingdom of Saudi Arabia;</w:t>
      </w:r>
    </w:p>
    <w:p>
      <w:pPr>
        <w:spacing w:after="0" w:line="14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“PIPE Investment” are to the private placement pursuant to which Churchill entered into PIPE Subscription Agreements with certain investors pursuant to which Churchill issued and sold to the PIPE Investors $2.5 billion of Churchill’s Class A common stock at a purchase price of $15.00 per share at the closing of the Merger;</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“PIPE Investors” are to the investors that participated in the PIPE Investment;</w:t>
      </w:r>
    </w:p>
    <w:p>
      <w:pPr>
        <w:spacing w:after="0" w:line="15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“PIPE Subscription Agreements” are to the common stock subscription agreements entered into by and among Churchill, and the investors party thereto, in each case, dated as of February 22, 2021 and entered into in connection with the PIPE Investment;</w:t>
      </w:r>
    </w:p>
    <w:p>
      <w:pPr>
        <w:spacing w:after="0" w:line="95"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“Private Placement Warrants” are to the Company’s warrants issued to the Sponsor in a private placement simultaneously with the closing of the Churchill IPO;</w:t>
      </w: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“Promissory Note”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 are to the United States Securities and Exchange Commission;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“Securities Act” are to the Securities Act of 1933, as amended;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“Selling Securityholders” are to the selling securityholders named herein;</w:t>
      </w:r>
    </w:p>
    <w:p>
      <w:pPr>
        <w:spacing w:after="0" w:line="15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“Sponsor” are to Churchill Sponsor IV LLC, a Delaware limited liability company and an affiliate of M. Klein and Company in which certain of Churchill’s directors and officers hold membership interests;</w:t>
      </w:r>
    </w:p>
    <w:p>
      <w:pPr>
        <w:spacing w:after="0" w:line="9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“Transactions” are to the Merger, together with the other transactions contemplated by the Merger Agreement and the related agreements;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“warrants” are to the Private Placement Warrants and the Working Capital Warrants;</w:t>
      </w:r>
    </w:p>
    <w:p>
      <w:pPr>
        <w:spacing w:after="0" w:line="15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“Warrant Agreement” are to the Warrant Agreement, dated July 29, 2020, entered into in connection with the Churchill IPO by and between Continental Stock Transfer &amp; Trust Company and Churchill; and</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“Working Capital Warrants” are to the Company’s warrants to purchase common stock pursuant to the terms of the Promissory Note, on terms identical to the terms of the Private Placement Warrants.</w:t>
      </w:r>
    </w:p>
    <w:p>
      <w:pPr>
        <w:spacing w:after="0" w:line="81" w:lineRule="exact"/>
        <w:rPr>
          <w:sz w:val="20"/>
          <w:szCs w:val="20"/>
          <w:color w:val="auto"/>
        </w:rPr>
      </w:pPr>
    </w:p>
    <w:p>
      <w:pPr>
        <w:jc w:val="both"/>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section to “Lucid,” the “Company,” “we,” “us,” “our,” and other similar terms refer to Legacy Lucid and its subsidiaries prior to the consummation of the Transaction, and Lucid Group, Inc., a Delaware corporation, and its subsidiaries after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 These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our financial and operating outlook, future market launches and international expansion, including our planned manufacturing facility in Saudi Arabia and related timing and value to Lucid, and our needs for additional financing. Such forward -looking statements are based on available current market material and our current expectations, beliefs and forecasts concerning future developments. Factors that may impact such forward-looking statements include:</w:t>
      </w:r>
    </w:p>
    <w:p>
      <w:pPr>
        <w:spacing w:after="0" w:line="298" w:lineRule="exact"/>
        <w:rPr>
          <w:sz w:val="20"/>
          <w:szCs w:val="20"/>
          <w:color w:val="auto"/>
        </w:rPr>
      </w:pPr>
    </w:p>
    <w:p>
      <w:pPr>
        <w:ind w:left="1800" w:right="4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 including the ongoing conflict between Russia and Ukraine;</w:t>
      </w:r>
    </w:p>
    <w:p>
      <w:pPr>
        <w:spacing w:after="0" w:line="40" w:lineRule="exact"/>
        <w:rPr>
          <w:rFonts w:ascii="Times New Roman" w:cs="Times New Roman" w:eastAsia="Times New Roman" w:hAnsi="Times New Roman"/>
          <w:sz w:val="18"/>
          <w:szCs w:val="18"/>
          <w:color w:val="auto"/>
        </w:rPr>
      </w:pPr>
    </w:p>
    <w:p>
      <w:pPr>
        <w:ind w:left="1800" w:right="105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uncertainty of our projected financial information;</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75"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product launches, including our ability to mass produce the Lucid Air and complete the tooling of our manufacturing facility;</w:t>
      </w:r>
    </w:p>
    <w:p>
      <w:pPr>
        <w:spacing w:after="0" w:line="268"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expansion of our manufacturing facility, the construction of new manufacturing facilities and the increase of our production capacity;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expenses;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our offerings;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pace and depth of electric vehicle adoption generally on our future business;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innovate;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maintain partnerships with original equipment manufacturers, vendors and technology providers;</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recruit and retain key employees, including our chief executive officer and executive team;</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vehicle recalls;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expand our brand and capture additional market share and the risks associated with negative press or reputational harm;</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utilize zero emission vehicle credits and obtain and utilize certain tax and other incentives;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equity or equity-linked securities in the future;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interest and principal on our indebtedness;</w:t>
      </w:r>
    </w:p>
    <w:p>
      <w:pPr>
        <w:spacing w:after="0" w:line="117"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to vehicle specifications which may impact performance, pricing, and other expectations;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on our supply chain, including COVID-related shutdowns of our suppliers’ facilities in China, projected results of operations, financial performance or other financial metrics, or on any of the foregoing risks; and</w:t>
      </w:r>
    </w:p>
    <w:p>
      <w:pPr>
        <w:spacing w:after="0" w:line="67" w:lineRule="exact"/>
        <w:rPr>
          <w:rFonts w:ascii="Times New Roman" w:cs="Times New Roman" w:eastAsia="Times New Roman" w:hAnsi="Times New Roman"/>
          <w:sz w:val="18"/>
          <w:szCs w:val="18"/>
          <w:color w:val="auto"/>
        </w:rPr>
      </w:pPr>
    </w:p>
    <w:p>
      <w:pPr>
        <w:ind w:left="1800" w:right="13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this prospectus or our other filings with the SEC, including any accompanying prospectus supplement.</w:t>
      </w:r>
    </w:p>
    <w:p>
      <w:pPr>
        <w:spacing w:after="0" w:line="9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i w:val="1"/>
          <w:iCs w:val="1"/>
          <w:color w:val="auto"/>
        </w:rPr>
        <w:t>This summary highlights selected information and does not contain all of the information that is</w:t>
      </w:r>
    </w:p>
    <w:p>
      <w:pPr>
        <w:spacing w:after="0" w:line="18" w:lineRule="exact"/>
        <w:rPr>
          <w:sz w:val="20"/>
          <w:szCs w:val="20"/>
          <w:color w:val="auto"/>
        </w:rPr>
      </w:pPr>
    </w:p>
    <w:p>
      <w:pPr>
        <w:jc w:val="both"/>
        <w:ind w:left="1280" w:right="539"/>
        <w:spacing w:after="0" w:line="242" w:lineRule="auto"/>
        <w:rPr>
          <w:sz w:val="20"/>
          <w:szCs w:val="20"/>
          <w:color w:val="auto"/>
        </w:rPr>
      </w:pPr>
      <w:r>
        <w:rPr>
          <w:rFonts w:ascii="Times New Roman" w:cs="Times New Roman" w:eastAsia="Times New Roman" w:hAnsi="Times New Roman"/>
          <w:sz w:val="18"/>
          <w:szCs w:val="18"/>
          <w:i w:val="1"/>
          <w:iCs w:val="1"/>
          <w:color w:val="auto"/>
        </w:rPr>
        <w:t>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Mission</w:t>
      </w:r>
    </w:p>
    <w:p>
      <w:pPr>
        <w:spacing w:after="0" w:line="148" w:lineRule="exact"/>
        <w:rPr>
          <w:sz w:val="20"/>
          <w:szCs w:val="20"/>
          <w:color w:val="auto"/>
        </w:rPr>
      </w:pPr>
    </w:p>
    <w:p>
      <w:pPr>
        <w:ind w:left="1280" w:right="499" w:firstLine="360"/>
        <w:spacing w:after="0" w:line="282" w:lineRule="auto"/>
        <w:rPr>
          <w:sz w:val="20"/>
          <w:szCs w:val="20"/>
          <w:color w:val="auto"/>
        </w:rPr>
      </w:pPr>
      <w:r>
        <w:rPr>
          <w:rFonts w:ascii="Times New Roman" w:cs="Times New Roman" w:eastAsia="Times New Roman" w:hAnsi="Times New Roman"/>
          <w:sz w:val="18"/>
          <w:szCs w:val="18"/>
          <w:color w:val="auto"/>
        </w:rPr>
        <w:t>Lucid’s mission is to inspire the adoption of sustainable energy by creating advanced technologies and the most captivating luxury electric vehicles, centered around the human experience.</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About Lucid</w:t>
      </w:r>
    </w:p>
    <w:p>
      <w:pPr>
        <w:spacing w:after="0" w:line="162" w:lineRule="exact"/>
        <w:rPr>
          <w:sz w:val="20"/>
          <w:szCs w:val="20"/>
          <w:color w:val="auto"/>
        </w:rPr>
      </w:pPr>
    </w:p>
    <w:p>
      <w:pPr>
        <w:ind w:left="1280" w:right="439" w:firstLine="360"/>
        <w:spacing w:after="0" w:line="243" w:lineRule="auto"/>
        <w:rPr>
          <w:sz w:val="20"/>
          <w:szCs w:val="20"/>
          <w:color w:val="auto"/>
        </w:rPr>
      </w:pPr>
      <w:r>
        <w:rPr>
          <w:rFonts w:ascii="Times New Roman" w:cs="Times New Roman" w:eastAsia="Times New Roman" w:hAnsi="Times New Roman"/>
          <w:sz w:val="18"/>
          <w:szCs w:val="18"/>
          <w:color w:val="auto"/>
        </w:rPr>
        <w:t>Lucid is a technology and automotive company that is setting new standards with its advanced luxury electric vehicles (EVs). Today, Lucid (i) designs, engineers, builds and sells electric vehicles, EV powertrains and battery systems in-house using our own equipment and factory, (ii) offers a refined customer experience at our own geographically distributed retail and service locations and through direct-to-consumer online and retail sales and (iii) boasts a strong product roadmap of future vehicle programs and technologies. Our focus on in-house technological innovation, vertical integration, and a “clean-sheet” approach to engineering and design have led to the development of our groundbreaking electric vehicle, the Lucid Air.</w:t>
      </w:r>
    </w:p>
    <w:p>
      <w:pPr>
        <w:spacing w:after="0" w:line="328" w:lineRule="exact"/>
        <w:rPr>
          <w:sz w:val="20"/>
          <w:szCs w:val="20"/>
          <w:color w:val="auto"/>
        </w:rPr>
      </w:pPr>
    </w:p>
    <w:p>
      <w:pPr>
        <w:ind w:left="1280" w:right="499" w:firstLine="360"/>
        <w:spacing w:after="0" w:line="245" w:lineRule="auto"/>
        <w:rPr>
          <w:sz w:val="20"/>
          <w:szCs w:val="20"/>
          <w:color w:val="auto"/>
        </w:rPr>
      </w:pPr>
      <w:r>
        <w:rPr>
          <w:rFonts w:ascii="Times New Roman" w:cs="Times New Roman" w:eastAsia="Times New Roman" w:hAnsi="Times New Roman"/>
          <w:sz w:val="18"/>
          <w:szCs w:val="18"/>
          <w:color w:val="auto"/>
        </w:rPr>
        <w:t>The Lucid Air is a luxury electric sedan that redefines both the luxury car segment and the electric vehicle space, with industry-leading EPA-accredited range of more than 500 miles on a single charge (depending on vehicle configuration). This range is enabled by an efficient, powerful powertrain that Lucid developed and builds in-house through vertically integrated manufacturing capacity. Our Space Concept underpins the Lucid Air’s design, merging a spacious interior with a smaller exterior profile that is reminiscent of a high-performance sports car. This achievement is enabled by our miniaturized drive-train components, which also result in increased storage capacity.</w:t>
      </w:r>
    </w:p>
    <w:p>
      <w:pPr>
        <w:spacing w:after="0" w:line="114"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The Lucid Air is manufactured at our greenfield electric vehicle manufacturing facility in Casa Grande, Arizona, Advanced Manufacturing Plant-1 (“AMP-1”).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w:t>
      </w:r>
    </w:p>
    <w:p>
      <w:pPr>
        <w:spacing w:after="0" w:line="114"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We began delivering the Lucid Air to customers in October 2021. We expect to launch additional</w:t>
      </w:r>
    </w:p>
    <w:p>
      <w:pPr>
        <w:spacing w:after="0" w:line="16" w:lineRule="exact"/>
        <w:rPr>
          <w:sz w:val="20"/>
          <w:szCs w:val="20"/>
          <w:color w:val="auto"/>
        </w:rPr>
      </w:pPr>
    </w:p>
    <w:p>
      <w:pPr>
        <w:ind w:left="1280" w:right="439"/>
        <w:spacing w:after="0" w:line="244" w:lineRule="auto"/>
        <w:rPr>
          <w:sz w:val="20"/>
          <w:szCs w:val="20"/>
          <w:color w:val="auto"/>
        </w:rPr>
      </w:pPr>
      <w:r>
        <w:rPr>
          <w:rFonts w:ascii="Times New Roman" w:cs="Times New Roman" w:eastAsia="Times New Roman" w:hAnsi="Times New Roman"/>
          <w:sz w:val="18"/>
          <w:szCs w:val="18"/>
          <w:color w:val="auto"/>
        </w:rPr>
        <w:t>vehicles over the coming decade. We have commenced design and engineering work for Project Gravity, a luxury sports utility vehicle that is expected to leverage many of the technological advancements and learnings from the Lucid Air. After the Lucid Air and Project Gravity, we plan to leverage our technological and manufacturing advancements to develop and manufacture progressively more affordable vehicles in higher volumes.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were originally known as Churchill Capital Corp IV. On July 23, 2021, Churchill, our predecessor company, consummated the Merger pursuant to the Merger Agreement, by and among Churchill, Legacy Lucid and Merger Sub. Pursuant to the Merger Agreement, Merger Sub merged with and into Legacy Lucid, with Legacy Lucid being the surviving company in the Merger. In connection with the Closing, each share of Churchill’s Class B common stock was converted on a one-to -one basis into a share of common stock. On the Closing Date, and in connection with the Closing, Churchill changed its name to Lucid Group, Inc.</w:t>
      </w:r>
    </w:p>
    <w:p>
      <w:pPr>
        <w:spacing w:after="0" w:line="114"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The Transactions were accounted for as a reverse recapitalization in accordance with GAAP. Under this method of accounting, Churchill was treated as the “acquired” company for financial reporting purposes. Accordingly, for accounting purposes, our financial statements represent a continuation of the financial statements of Legacy Lucid with the Transactions treated as the equivalent of Legacy Lucid issuing shares</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66" w:lineRule="auto"/>
        <w:rPr>
          <w:sz w:val="20"/>
          <w:szCs w:val="20"/>
          <w:color w:val="auto"/>
        </w:rPr>
      </w:pPr>
      <w:r>
        <w:rPr>
          <w:rFonts w:ascii="Times New Roman" w:cs="Times New Roman" w:eastAsia="Times New Roman" w:hAnsi="Times New Roman"/>
          <w:sz w:val="18"/>
          <w:szCs w:val="18"/>
          <w:color w:val="auto"/>
        </w:rPr>
        <w:t>for the net assets of Churchill, accompanied by a recapitalization. The net assets of Churchill are stated at historical cost, with no goodwill or other intangible assets recorded. Operations prior to the Transactions are reported as those of Legacy Lucid.</w:t>
      </w:r>
    </w:p>
    <w:p>
      <w:pPr>
        <w:spacing w:after="0" w:line="108" w:lineRule="exact"/>
        <w:rPr>
          <w:sz w:val="20"/>
          <w:szCs w:val="20"/>
          <w:color w:val="auto"/>
        </w:rPr>
      </w:pPr>
    </w:p>
    <w:p>
      <w:pPr>
        <w:ind w:left="1280" w:right="599" w:firstLine="360"/>
        <w:spacing w:after="0" w:line="253" w:lineRule="auto"/>
        <w:rPr>
          <w:sz w:val="20"/>
          <w:szCs w:val="20"/>
          <w:color w:val="auto"/>
        </w:rPr>
      </w:pPr>
      <w:r>
        <w:rPr>
          <w:rFonts w:ascii="Times New Roman" w:cs="Times New Roman" w:eastAsia="Times New Roman" w:hAnsi="Times New Roman"/>
          <w:sz w:val="18"/>
          <w:szCs w:val="18"/>
          <w:color w:val="auto"/>
        </w:rPr>
        <w:t>Immediately prior to the Closing, all of Legacy Lucid Preferred Shares then issued and outstanding were converted into Legacy Lucid Common Shares, in accordance with the terms of Legacy Lucid’s Memorandum and Articles of Association, such that each converted Legacy Lucid Preferred Share was no longer outstanding and ceased to exist, and each holder thereof thereafter ceased to have any rights with respect to such securities. At the Effective Time, each Legacy Lucid Common Share then issued and outstanding was automatically cancelled and the holders of Legacy Lucid Common Shares received</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2.644 shares of common stock in exchange for each Legacy Lucid Common Share they held at such time.</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Lucid Group, Inc. is a Delaware corporation. Our principal executive offices are located at</w:t>
      </w:r>
    </w:p>
    <w:p>
      <w:pPr>
        <w:spacing w:after="0" w:line="27" w:lineRule="exact"/>
        <w:rPr>
          <w:sz w:val="20"/>
          <w:szCs w:val="20"/>
          <w:color w:val="auto"/>
        </w:rPr>
      </w:pPr>
    </w:p>
    <w:p>
      <w:pPr>
        <w:ind w:left="1280" w:right="539"/>
        <w:spacing w:after="0" w:line="253" w:lineRule="auto"/>
        <w:rPr>
          <w:sz w:val="20"/>
          <w:szCs w:val="20"/>
          <w:color w:val="auto"/>
        </w:rPr>
      </w:pPr>
      <w:r>
        <w:rPr>
          <w:rFonts w:ascii="Times New Roman" w:cs="Times New Roman" w:eastAsia="Times New Roman" w:hAnsi="Times New Roman"/>
          <w:sz w:val="18"/>
          <w:szCs w:val="18"/>
          <w:color w:val="auto"/>
        </w:rPr>
        <w:t>7373 Gateway Blvd. Newark, CA 94560 and our telephone number at that address is (510) 648-3553. Our website is located 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48" w:lineRule="exact"/>
        <w:rPr>
          <w:sz w:val="20"/>
          <w:szCs w:val="20"/>
          <w:color w:val="auto"/>
        </w:rPr>
      </w:pPr>
    </w:p>
    <w:p>
      <w:pPr>
        <w:ind w:left="1280" w:right="599" w:firstLine="360"/>
        <w:spacing w:after="0" w:line="258" w:lineRule="auto"/>
        <w:rPr>
          <w:sz w:val="20"/>
          <w:szCs w:val="20"/>
          <w:color w:val="auto"/>
        </w:rPr>
      </w:pPr>
      <w:r>
        <w:rPr>
          <w:rFonts w:ascii="Times New Roman" w:cs="Times New Roman" w:eastAsia="Times New Roman" w:hAnsi="Times New Roman"/>
          <w:sz w:val="18"/>
          <w:szCs w:val="18"/>
          <w:color w:val="auto"/>
        </w:rPr>
        <w:t>As of June 30, 2022, our majority stockholder, Ayar, owned approximately 60.7% of our outstanding shares of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making an investment decision, you should carefully consider the following risk factors, in addition to the risks and uncertainties discussed above under “Special Note Regarding Forward -Looking Statements,” together with the risk factors described in our most recent Annual Report on Form 10-K and Quarterly Report on Form 10 -Q filed with the SEC and any subsequent Annual Report on Form 10-K, Quarterly Reports on Form 10-Q and Current Reports on Form 8-K that we file with the SEC after the date of this prospectus, as well as the other information contained or incorporated by reference in this prospectus, and any applicable prospectus supplement, in light of your particular investment objectives and financial circumstances. The occurrence of one or more of the events or circumstances described in such risk factors, alone or in combination with other events or circumstances, may have an adverse effect on our business, cash flows, financial condition and results of operations. We may face additional risks and uncertainties that are not presently known to us that we currently deem immaterial, which may also impair our business or financial condition.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1260" w:right="6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Private Placement Warrants and the Working Capital Warrants and we cannot guarantee that an active and liquid public market for the Private Placement Warrants and the Working Capital Warrants will develop.</w:t>
      </w:r>
    </w:p>
    <w:p>
      <w:pPr>
        <w:spacing w:after="0" w:line="101"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Our warrants are not listed on an exchange. A liquid trading market for our warrants may never develop, or if developed, it may not be sustained. In the absence of a liquid public trading market for our warrants:</w:t>
      </w:r>
    </w:p>
    <w:p>
      <w:pPr>
        <w:spacing w:after="0" w:line="277"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liquidate your investment in shares of our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resell their shares of your warrants at favorable prices, or at all;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our warrants may experience significant price volatility;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less efficiency in carrying out your purchase and sale orders.</w:t>
      </w:r>
    </w:p>
    <w:p>
      <w:pPr>
        <w:spacing w:after="0" w:line="221"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this volatility may negatively impact the market price of our common stock and the trading price of the 2026 Notes.</w:t>
      </w:r>
    </w:p>
    <w:p>
      <w:pPr>
        <w:spacing w:after="0" w:line="7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117"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 in general, or in our industry in particular;</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the number of unit reservations, financial projections and any other guidance or metrics that we may publicly disclose from time to time;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achievement of objectives under our business plan and the timing and amount of costs we incur in connection therewith;</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or investigations involving us;</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pandemics (such as COVID-19), inflation, changes in diplomatic and trade relationships and acts of war or terrorism, and natural disasters;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listed in this section “Risk Factors.”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most recently, the impact of the conflict between Ukraine and Russia, natural disasters, the novel coronavirus, COVID-19, and any other global pandemics, as well as general economic, political and market conditions such as recessions, inflation,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3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329"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39"/>
        <w:spacing w:after="0" w:line="258" w:lineRule="auto"/>
        <w:rPr>
          <w:sz w:val="20"/>
          <w:szCs w:val="20"/>
          <w:color w:val="auto"/>
        </w:rPr>
      </w:pPr>
      <w:r>
        <w:rPr>
          <w:rFonts w:ascii="Times New Roman" w:cs="Times New Roman" w:eastAsia="Times New Roman" w:hAnsi="Times New Roman"/>
          <w:sz w:val="18"/>
          <w:szCs w:val="18"/>
          <w:color w:val="auto"/>
        </w:rPr>
        <w:t>of our management’s attention and resources. Any adverse determination in any such litigation or any amounts paid to settle any such actual or threatened litigation could require that we make significant payments.</w:t>
      </w:r>
    </w:p>
    <w:p>
      <w:pPr>
        <w:spacing w:after="0" w:line="165" w:lineRule="exact"/>
        <w:rPr>
          <w:sz w:val="20"/>
          <w:szCs w:val="20"/>
          <w:color w:val="auto"/>
        </w:rPr>
      </w:pPr>
    </w:p>
    <w:p>
      <w:pPr>
        <w:ind w:left="12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7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32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1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Pursuant to the Investor Rights Agreement, the Sponsor has agreed to restrictions on the sale or transfer of shares of common stock, Private Placement Warrants and Working Capital Warrants held by it for a period of 18 months after the Closing of the Transactions. However, following the expiration of this lock-up period, the Sponsor will not be restricted from selling our securities held by it, other than by applicable securities laws. See “Plan of Distribution-Lock-up Agreements.”</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addition, pursuant to the Investor Rights Agreement, Ayar, the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73"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June 30, 2022, Ayar held approximately 60.7%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1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and Ayar beneficially own a significant equity interest in us and may take actions that conflict with your interests.</w:t>
      </w:r>
    </w:p>
    <w:p>
      <w:pPr>
        <w:spacing w:after="0" w:line="7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interests of the Sponsor and Ayar may not align with our interests and the interests of our other stockholders or securityholders.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for the foreseeable future.</w:t>
      </w:r>
    </w:p>
    <w:p>
      <w:pPr>
        <w:spacing w:after="0" w:line="162"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pacing w:after="0" w:line="110"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73"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9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61"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or employees to us or our stockholders;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6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governed by the internal affairs doctrine.</w:t>
      </w:r>
    </w:p>
    <w:p>
      <w:pPr>
        <w:spacing w:after="0" w:line="94"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65"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Delaware law and our current certificate of incorporation and our current bylaws may deter third parties from acquiring us and diminish the value of our common stock and the 2026 Notes.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current certificate of incorporation and our current bylaws provide for, among other things:</w:t>
      </w:r>
    </w:p>
    <w:p>
      <w:pPr>
        <w:spacing w:after="0" w:line="104" w:lineRule="exact"/>
        <w:rPr>
          <w:sz w:val="20"/>
          <w:szCs w:val="20"/>
          <w:color w:val="auto"/>
        </w:rPr>
      </w:pPr>
    </w:p>
    <w:p>
      <w:pPr>
        <w:ind w:left="1800" w:right="61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54"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Investor Rights Agreement, advance notice for nominations of directors by stockholders and for stockholders to include matters to be considered at stockholder meetings; and</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5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9" w:lineRule="exact"/>
        <w:rPr>
          <w:sz w:val="20"/>
          <w:szCs w:val="20"/>
          <w:color w:val="auto"/>
        </w:rPr>
      </w:pPr>
    </w:p>
    <w:p>
      <w:pPr>
        <w:ind w:left="1800" w:right="10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that resulted in the stockholder becoming an interested stockholder;</w:t>
      </w:r>
    </w:p>
    <w:p>
      <w:pPr>
        <w:spacing w:after="0" w:line="26"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54"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95"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spacing w:after="0" w:line="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three years owned, 15% or more of the votes of our outstanding voting stock. For purposes of this provision, “voting stock” means any class or series of stock entitled to vote generally in the election of directors.</w:t>
      </w:r>
    </w:p>
    <w:p>
      <w:pPr>
        <w:spacing w:after="0" w:line="102"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392" w:lineRule="exact"/>
        <w:rPr>
          <w:sz w:val="20"/>
          <w:szCs w:val="20"/>
          <w:color w:val="auto"/>
        </w:rPr>
      </w:pPr>
    </w:p>
    <w:p>
      <w:pPr>
        <w:jc w:val="both"/>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01"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may publish about us, our business and operations, our market, or our competitors.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Similarly, if any of the analysts who do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and the warrants (including shares of common stock underlying such warrants) offered by the Selling Securityholders pursuant to this prospectus will be sold by the Selling Securityholders for their respective accounts. We will not receive any of the proceeds from these sales.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receive up to an aggregate of approximately $510 million from the exercise of all of the Private Placement Warrants and the Working Capital Warrants, assuming the exercise in full of all such warrants for cash.</w:t>
      </w:r>
    </w:p>
    <w:p>
      <w:pPr>
        <w:spacing w:after="0" w:line="95"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Unless we inform you otherwise in a prospectus supplement, we intend to use the net proceeds from the sale of the securities offered by us by this prospectus, as well as from the exercise of the Private Placement Warrants and the Working Capital Warrants, for general corporate purposes, which may include capital expenditures and working capital. Our management will have broad discretion over the use of such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rights and preferences of, and is qualified in its entirety by, our current certificate of incorporation and current by-laws. The full texts of our current certificate of incorporation and our current bylaws are filed as exhibits the registration statement of which this prospectus is a part. For a complete description of the rights and preferences of our securities, we urge you to read our current certificate of incorporation, our current bylaws and the applicable provisions of Delaware law.</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Our current certificate of incorporation authorizes the issuance of shares of our capital stock, each with a par value of $0.0001, consisting of (a) 15,000,000,000 shares of common stock and (b) 10,000,000 shares of preferred stock. The outstanding shares of common stock are duly authorized, validly issued, fully paid and non-assessable.</w:t>
      </w:r>
    </w:p>
    <w:p>
      <w:pPr>
        <w:spacing w:after="0" w:line="99"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of June 30, 2022, there were (i) 1,672,543,611 shares of our common stock outstanding, (ii) no shares of preferred stock outstanding, and (iii) 44,350,000 shares of common stock issuable upon the exercise of Private Placement Warrants (including the Working Capital Warrants).</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Power</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 Dissolution and Winding Up</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holders of our common stock do not have preemptive or other subscription rights and there is no sinking fund or redemption provisions applicable to our common stock.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 and Working Capital Warrants</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Private Placement Warrants (including the common stock issuable upon exercise of the Private Placement Warrants) are, pursuant to the Investor Rights Agreement, not transferable, assignable or salable until January 23, 2023 and they will not be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112"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w:t>
      </w:r>
    </w:p>
    <w:p>
      <w:pPr>
        <w:spacing w:after="0" w:line="2"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w:t>
      </w:r>
    </w:p>
    <w:p>
      <w:pPr>
        <w:spacing w:after="0" w:line="117"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increased by a stock dividend payable in shares of our common stock, or by a split -up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1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11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 of our common stock or other similar event, then, on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66" w:lineRule="auto"/>
        <w:rPr>
          <w:sz w:val="20"/>
          <w:szCs w:val="20"/>
          <w:color w:val="auto"/>
        </w:rPr>
      </w:pPr>
      <w:r>
        <w:rPr>
          <w:rFonts w:ascii="Times New Roman" w:cs="Times New Roman" w:eastAsia="Times New Roman" w:hAnsi="Times New Roman"/>
          <w:sz w:val="18"/>
          <w:szCs w:val="18"/>
          <w:color w:val="auto"/>
        </w:rPr>
        <w:t>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our common stock purchasable upon the exercise of the Private Placement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w:t>
      </w:r>
    </w:p>
    <w:p>
      <w:pPr>
        <w:spacing w:after="0" w:line="12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 of shares of our common stock upon exercise of the Private Placement Warrants, each holder will be entitled to one vote for each share held of record on all matters to be voted on by stockholders.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86" w:lineRule="exact"/>
        <w:rPr>
          <w:sz w:val="20"/>
          <w:szCs w:val="20"/>
          <w:color w:val="auto"/>
        </w:rPr>
      </w:pPr>
    </w:p>
    <w:p>
      <w:pPr>
        <w:ind w:left="1260" w:right="599"/>
        <w:spacing w:after="0" w:line="271" w:lineRule="auto"/>
        <w:rPr>
          <w:sz w:val="20"/>
          <w:szCs w:val="20"/>
          <w:color w:val="auto"/>
        </w:rPr>
      </w:pPr>
      <w:r>
        <w:rPr>
          <w:rFonts w:ascii="Times New Roman" w:cs="Times New Roman" w:eastAsia="Times New Roman" w:hAnsi="Times New Roman"/>
          <w:sz w:val="18"/>
          <w:szCs w:val="18"/>
          <w:b w:val="1"/>
          <w:bCs w:val="1"/>
          <w:color w:val="auto"/>
        </w:rPr>
        <w:t>Effects of Our Current Certificate of Incorporation, Our Current Bylaws and Certain Provisions of Delaware Law</w:t>
      </w:r>
    </w:p>
    <w:p>
      <w:pPr>
        <w:spacing w:after="0" w:line="90"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1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69" w:lineRule="exact"/>
        <w:rPr>
          <w:sz w:val="20"/>
          <w:szCs w:val="20"/>
          <w:color w:val="auto"/>
        </w:rPr>
      </w:pPr>
    </w:p>
    <w:p>
      <w:pPr>
        <w:ind w:left="1800" w:right="10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that resulted in the stockholder becoming an interested stockholder;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08"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three years owned, 15% or more of the votes of our outstanding voting stock. For purposes of this provision, “voting stock” means any class or series of stock entitled to vote generally in the election of directors.</w:t>
      </w:r>
    </w:p>
    <w:p>
      <w:pPr>
        <w:spacing w:after="0" w:line="113"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Under the DGCL, unless otherwise provided in our current certificate of incorporation, directors serving on a board may be removed by the stockholders only for cause. Our current certificate of incorporation provides that no director may be removed from office by the stockholders except for cause with the affirmative vote of the holders of not less than two-thirds (66 2/3 %) of the total voting power of all of our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w:t>
      </w:r>
    </w:p>
    <w:p>
      <w:pPr>
        <w:spacing w:after="0" w:line="4" w:lineRule="exact"/>
        <w:rPr>
          <w:sz w:val="20"/>
          <w:szCs w:val="20"/>
          <w:color w:val="auto"/>
        </w:rPr>
      </w:pPr>
    </w:p>
    <w:p>
      <w:pPr>
        <w:ind w:left="1260" w:right="519"/>
        <w:spacing w:after="0"/>
        <w:tabs>
          <w:tab w:leader="none" w:pos="15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current certificate of incorporation provides that special meetings of the stockholders may be called only by the Board acting pursuant to a resolution adopted by a majority of the Board. Our amended</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6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336"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324"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20"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Company’s current certificate of incorporation provides that we must indemnify and advance expenses to our directors and officers to the full extent authorized by the DGCL.</w:t>
      </w:r>
    </w:p>
    <w:p>
      <w:pPr>
        <w:spacing w:after="0" w:line="9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6" w:lineRule="auto"/>
        <w:rPr>
          <w:sz w:val="20"/>
          <w:szCs w:val="20"/>
          <w:color w:val="auto"/>
        </w:rPr>
      </w:pPr>
      <w:r>
        <w:rPr>
          <w:rFonts w:ascii="Times New Roman" w:cs="Times New Roman" w:eastAsia="Times New Roman" w:hAnsi="Times New Roman"/>
          <w:sz w:val="18"/>
          <w:szCs w:val="18"/>
          <w:color w:val="auto"/>
        </w:rPr>
        <w:t>status or service as officers or directors, to the fullest extent permitted by law. We intend to enter into indemnification agreements with any new directors and executive officers, and certain other officers, in the future.</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2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maintains and expect to maintain standard policies of insurance that provide coverage</w:t>
      </w:r>
    </w:p>
    <w:p>
      <w:pPr>
        <w:spacing w:after="0" w:line="27" w:lineRule="exact"/>
        <w:rPr>
          <w:sz w:val="20"/>
          <w:szCs w:val="20"/>
          <w:color w:val="auto"/>
        </w:rPr>
      </w:pPr>
    </w:p>
    <w:p>
      <w:pPr>
        <w:ind w:left="1260" w:right="459"/>
        <w:spacing w:after="0" w:line="255" w:lineRule="auto"/>
        <w:tabs>
          <w:tab w:leader="none" w:pos="15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1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Company believes that these provisions, the insurance and the indemnity agreements are necessary to attract and retain talented and experienced officers and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our warrants is Equiniti Trust Company. 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description of debt securities does not purport to be complete and is subject to and qualified in its entirety by reference to the indenture, a form of which has been filed with the SEC as an exhibit to the registration statement of which this prospectus is a part. Any future supplemental indenture or similar document will also be so filed. You should read the indenture and any supplemental indenture or similar document because they, and not this summary, define your rights as a holder of our debt securities. All capitalized terms have the meanings specified in the indenture.</w:t>
      </w:r>
    </w:p>
    <w:p>
      <w:pPr>
        <w:spacing w:after="0" w:line="114"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As used in this prospectus, debt securities means the debentures, notes, bonds and other evidences of indebtedness that we may issue separately or upon exercise of a debt warrant from time to time. The debt securities may either be senior debt securities or subordinated debt securities. The debt securities we offer will be issued under an indenture between us and a trustee to be named therein. Debt securities, whether senior or subordinated, may be issued as convertible debt securities or exchangeable debt securities.</w:t>
      </w:r>
    </w:p>
    <w:p>
      <w:pPr>
        <w:spacing w:after="0" w:line="114"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used in this “Description of Debt Securities,” the terms “Lucid,” “we,” “our,” and “us” refer to Lucid Group, Inc. and do not, unless otherwise specified, include our subsidiaries.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General Terms of the Indenture</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debt securities will be our direct unsecured obligations. The senior debt securities will rank equally with all of our other senior unsecured and unsubordinated debt. The subordinated debt securities will be subordinate and junior in right of payment to all of our present and future senior indebtedness to the extent and in the manner described in the prospectus supplement and as set forth in the supplemental indenture, board resolution or officers’ certificate relating to such offering.</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because of interest payment and other characteristics. Special U.S. federal income tax considerations applicable to debt securities issued with original issue discount will be described in more detail in any applicable prospectus supplement.</w:t>
      </w:r>
    </w:p>
    <w:p>
      <w:pPr>
        <w:spacing w:after="0" w:line="11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for a series of debt securities that we issue will describe, among other things, the following terms of the offered debt securities:</w:t>
      </w:r>
    </w:p>
    <w:p>
      <w:pPr>
        <w:spacing w:after="0" w:line="54"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9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issued in fully registered form without coupons or in a form registered as to principal only with coupons;</w:t>
      </w:r>
    </w:p>
    <w:p>
      <w:pPr>
        <w:spacing w:after="0" w:line="4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issued in the form of one or more global securities and whether all or a portion of the principal amount of the debt securities is represented thereby;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debt securities will be issued;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and the manner in which principal, premium or interest will be payable and the place or places where the debt securities may be presented for transfer and, if applicable, conversion or exchange;</w:t>
      </w:r>
    </w:p>
    <w:p>
      <w:pPr>
        <w:spacing w:after="0" w:line="54"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the dates from which interest, if any, will accrue, and the dates when interest is payable;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the extensions;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or obligations to redeem or purchase the debt securities, including sinking fund or partial redemption payments;</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provisions, if any, including conversion or exchange prices or rates and adjustments thereto;</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of payment of principal or interest;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applicable to any debt securities issued at a discount from their stated principal amount;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pursuant to which any debt securities will be subordinate to any of our other debt;</w:t>
      </w:r>
    </w:p>
    <w:p>
      <w:pPr>
        <w:spacing w:after="0" w:line="103"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71"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remarketing of the debt securities;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covenants affording holders of debt protection with respect to our operations, financial condition or transactions involving us;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any debt securities.</w:t>
      </w:r>
    </w:p>
    <w:p>
      <w:pPr>
        <w:spacing w:after="0" w:line="158"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0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Debt securities issued by us will be structurally subordinated to all indebtedness and other liabilities of our subsidiaries.</w:t>
      </w:r>
    </w:p>
    <w:p>
      <w:pPr>
        <w:spacing w:after="0" w:line="81" w:lineRule="exact"/>
        <w:rPr>
          <w:sz w:val="20"/>
          <w:szCs w:val="20"/>
          <w:color w:val="auto"/>
        </w:rPr>
      </w:pPr>
    </w:p>
    <w:p>
      <w:pPr>
        <w:jc w:val="both"/>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any offering of subordinated debt securities will describe the specific subordination provisions, including the extent of subordination of payments by us of the principal of, premium, if any, and interest on such subordinated debt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68"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the ability of us or the holder to convert or exchange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cannot consolidate with or merge into, or convey, transfer or lease all or substantially all of our properties and assets to, any person unless (1) we will be the continuing corporation or (2) the successor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corporation or person to which our assets are conveyed, transferred or leased is a corporation, partnership, trust or other entity that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121"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This covenant would not apply to any recapitalization transaction, a change of control of us or a highly leveraged transaction, unless the transaction or change of control were structured to include a merger or consolidation or transfer or lease of all or substantially all of our assets.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term “Event of Default,” when used in the indenture, means any of the following:</w:t>
      </w:r>
    </w:p>
    <w:p>
      <w:pPr>
        <w:spacing w:after="0" w:line="54" w:lineRule="exact"/>
        <w:rPr>
          <w:sz w:val="20"/>
          <w:szCs w:val="20"/>
          <w:color w:val="auto"/>
        </w:rPr>
      </w:pPr>
    </w:p>
    <w:p>
      <w:pPr>
        <w:ind w:left="1800" w:right="55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for 30 days after the date payment is due and payable; provided that, an extension of an interest payment period in accordance with the terms of the debt securities shall not constitute a failure to pay interest;</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premium, if any, on any debt security when due, either at maturity, upon any redemption, by declaration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sinking fund payments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for 90 days after notice that performance was required;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relating to bankruptcy, insolvency or reorganization; or</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applicable resolution of our board of directors or the officers’ certificate or supplemental indenture under which we issue series of debt securities.</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indenture. If an Event of Default relating to the payment of interest, principal or any sinking fund installment involving any series of debt securities has occurred and is continuing, the trustee or the holders of not less than 25% in aggregate principal amount of the debt securities of each affected series may declare the entire principal of all the debt securities of that series to be due and payable immediately.</w:t>
      </w:r>
    </w:p>
    <w:p>
      <w:pPr>
        <w:spacing w:after="0" w:line="120"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If an Event of Default relating to the performance of other covenants has occurred and is continuing for a period of 90 days after notice of such, or involves all of the series of senior debt securities, then the trustee or the holders of not less than 25% in aggregate principal amount of all of the series of senior debt securities may declare the entire principal amount of all of the series of senior debt securities due and payable immediately.</w:t>
      </w:r>
    </w:p>
    <w:p>
      <w:pPr>
        <w:spacing w:after="0" w:line="32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Similarly, if an Event of Default relating to the performance of other covenants has occurred and is continuing for a period of 90 days after notice of such, or involves all of the series of subordinated debt securities, then the trustee or the holders of not less than 25% in aggregate principal amount of all of the series of subordinated debt securities may declare the entire principal amount of all of the series of subordinated debt securities due and payable immediately.</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however, the Event of Default relating to the performance of other covenants or any other Event of Default that has occurred and is continuing is for less than all of the series of senior debt securities or subordinated debt securities, as the case may be, then, the trustee or the holders of not less than 25% in aggregate principal amount of each affected series of the senior debt securities or the subordinated debt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If an Event of Default relating to events in bankruptcy, insolvency or reorganization occurs and is continuing, then the principal amount of all of the debt securities outstanding, and any accrued interest, will automatically become due and payable immediately, without any declaration or other act by the trustee or any holder.</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trustee shall within 90 days after the occurrence of default (or 30 days after it is known by the trustee) with respect to a particular series of debt securities, give the holders of the debt securities of such series notice of such default known to it; provided that, except in the case of a default or Event of Default in payment of the principal, premium, if any, of, or interest on, any debt security of such series or in the payment of any redemption obligation, the trustee may withhold the notice if, and so long as, it in good faith determines that withholding the notice is in the interests of the holders of debt securities of that series.</w:t>
      </w:r>
    </w:p>
    <w:p>
      <w:pPr>
        <w:spacing w:after="0" w:line="336"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68" w:lineRule="exact"/>
        <w:rPr>
          <w:sz w:val="20"/>
          <w:szCs w:val="20"/>
          <w:color w:val="auto"/>
        </w:rPr>
      </w:pPr>
    </w:p>
    <w:p>
      <w:pPr>
        <w:ind w:left="1800" w:right="9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default and continuance of that default;</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the affected series have requested that the trustee institute the action;</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reasonable security or indemnity satisfactory to it for expenses and liabilities that may be incurred by bringing the 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the request; and</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inconsistent direction by the holders of a majority in principal amount of the outstanding debt securities of the series.</w:t>
      </w:r>
    </w:p>
    <w:p>
      <w:pPr>
        <w:spacing w:after="0" w:line="9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99"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will be required to file annually with the trustee a certificate, signed by one of our officers, stating whether or not the officer knows of any default by us in compliance with any condition or covenant of the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120"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Unless and until it is exchanged in whole or in part for debt securities in definitive registered form, a registered global security may not be transferred except as a whole:</w:t>
      </w:r>
    </w:p>
    <w:p>
      <w:pPr>
        <w:spacing w:after="0" w:line="54"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for such registered global security to its nominee;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nominee of the depositary to the depositary or another nominee of the depositary;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depositary or its nominee to a successor of the depositary or a nominee of the successor.</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5"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dealers, underwriters, or agents participating in the distribution of the debt securities will designate the accounts to be credited;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99"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0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72" w:lineRule="exact"/>
        <w:rPr>
          <w:sz w:val="20"/>
          <w:szCs w:val="20"/>
          <w:color w:val="auto"/>
        </w:rPr>
      </w:pPr>
    </w:p>
    <w:p>
      <w:pPr>
        <w:ind w:left="1800" w:right="5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represented by a registered global security registered in their names;</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delivery of the debt securities in the definitive form;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securities under the indenture.</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1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10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Lucid, the trustee or any other agent of Lucid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33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as is now the case with the securities held for the accounts of customers registered in “street name.” We also expect that any of these payments will be the responsibility of the participants.</w:t>
      </w:r>
    </w:p>
    <w:p>
      <w:pPr>
        <w:spacing w:after="0" w:line="8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62"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We can discharge or defease our obligations under the indenture as set forth below. Unless otherwise set forth in the applicable prospectus supplement, the subordination provisions applicable to any subordinated debt securities will be expressly made subject to the discharge and defeasance provisions of the indenture.</w:t>
      </w:r>
    </w:p>
    <w:p>
      <w:pPr>
        <w:spacing w:after="0" w:line="31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may discharge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or foreign government obligations, as applicable, as trust funds, in an amount certified to be sufficient to pay when due, whether at maturity, upon redemption or otherwise, the principal of, premium, if any, and interest on the debt securities and any mandatory sinking fund payments.</w:t>
      </w:r>
    </w:p>
    <w:p>
      <w:pPr>
        <w:spacing w:after="0" w:line="121" w:lineRule="exact"/>
        <w:rPr>
          <w:sz w:val="20"/>
          <w:szCs w:val="20"/>
          <w:color w:val="auto"/>
        </w:rPr>
      </w:pPr>
    </w:p>
    <w:p>
      <w:pPr>
        <w:jc w:val="both"/>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we may also discharge any and all of our obligations to holders of any series of debt securities at any time (“legal defeasance”). We also may be released from the obligations imposed by any covenants of any outstanding series of debt securities and provisions of the indenture, and we may omit to comply with those covenants without creating an Event of Default (“covenant defeasance”). We may effect legal defeasance and covenant defeasance only if, among other things:</w:t>
      </w:r>
    </w:p>
    <w:p>
      <w:pPr>
        <w:spacing w:after="0" w:line="79" w:lineRule="exact"/>
        <w:rPr>
          <w:sz w:val="20"/>
          <w:szCs w:val="20"/>
          <w:color w:val="auto"/>
        </w:rPr>
      </w:pPr>
    </w:p>
    <w:p>
      <w:pPr>
        <w:ind w:left="1800" w:right="43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trustee cash or U.S. government obligations or foreign government obligations, as applicable, as trust funds, in an amount certified to be sufficient to pay at maturity (or upon redemption) the principal, premium, if any, and interest on all outstanding debt securities of the series; and</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legal defeasance or covenant defeasance and that legal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21"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4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indenture provides that we and the trustee may enter into supplemental indentures without the consent of the holders of debt securities to:</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secure any debt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corporation of our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for the protection of the holders of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one or more guarantees for the benefit of holders of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inconsistency in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forms or terms of debt securities of any series;</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of the indenture to this description of debt securities, the description of the notes included in the applicable prospectus supplement or any other relevant section of the applicable prospectus supplement describing the terms of the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materially adversely affect the right of any holder; and</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requirements of the SEC in order to effect or maintain the qualification of the indenture under the Trust Indenture Act of 1939, as amended.</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indenture also provides that we and the trustee may, with the consent of the holders of not less than a majority in aggregate principal amount of debt securities of all series of senior debt securities or subordinated debt securities, as the case may be, then outstanding and affected (voting as one class), add any provisions to, or change in any manner, eliminate or modify in any way the provisions of, the indenture or modify in any manner the rights of the holders of the debt securities.</w:t>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We and the trustee may not, however, without the consent of the holder of each outstanding debt security affected thereby:</w:t>
      </w:r>
    </w:p>
    <w:p>
      <w:pPr>
        <w:spacing w:after="0" w:line="54"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final maturity of any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premium,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of payment of interest;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 payable on redemption;</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(other than as may be provided otherwise with respect to a series), premium, if any, or interest is payable;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any debt security issued with an original issue discount that is payable upon acceleration or provable in bankruptcy;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subordination provisions or the definition of senior indebtedness applicable to any subordinated debt securities in a manner adverse to the holders of those securities;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provisions of the indenture relating to the debt securities not denominated in U.S. dollars;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any debt security when due;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of any series whose consent is required for any modification of the indenture, or the consent of whose holders is required for any waiver (of compliance with certain provisions of the indenture or certain defaults thereunder and their consequences) provided for in the indenture; or</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provisions set forth in this paragraph.</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in New York, New York.</w:t>
      </w:r>
    </w:p>
    <w:p>
      <w:pPr>
        <w:spacing w:after="0" w:line="120"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indenture contains limitations on the right of the trustee, should it become a creditor of Lucid,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1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4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indenture provides that no incorporator and no past, present or future stockholder, officer or director, of us or any successor corporation in their capacity as such shall have any individual liability for any of our obligations, covenants or agreements under the debt securities or the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 including, without limitation, Sections 5-1401 and 5-1402 of the New York General Obligations Law and New York Civil Practice Law and Rules 327(b).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62"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116"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a description of our outstanding warrants, see “Description of Capital Stock — Warrants.”</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0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 in respect of which this prospectus is being delivered:</w:t>
      </w:r>
    </w:p>
    <w:p>
      <w:pPr>
        <w:spacing w:after="0" w:line="54"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 which the securities or other rights purchasable upon exercise of such warrants may be purchased;</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any material United States Federal income tax considerations; and</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purchase contracts for the purchase or sale of:</w:t>
      </w:r>
    </w:p>
    <w:p>
      <w:pPr>
        <w:spacing w:after="0" w:line="54" w:lineRule="exact"/>
        <w:rPr>
          <w:sz w:val="20"/>
          <w:szCs w:val="20"/>
          <w:color w:val="auto"/>
        </w:rPr>
      </w:pPr>
    </w:p>
    <w:p>
      <w:pPr>
        <w:jc w:val="both"/>
        <w:ind w:left="1800" w:right="77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or equity securities issued by us or securities of third parties, a basket of such securities, an index or indices or such securities or any combination of the above as specified in the applicable prospectus supplement;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commodities.</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07"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679" w:firstLine="360"/>
        <w:spacing w:after="0" w:line="263"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shares of common stock, preferred shares, depositary shares representing preferred stock, debt securities, warrants, purchase contracts or any combination of such securities. The applicable supplement will describe:</w:t>
      </w:r>
    </w:p>
    <w:p>
      <w:pPr>
        <w:spacing w:after="0" w:line="292" w:lineRule="exact"/>
        <w:rPr>
          <w:sz w:val="20"/>
          <w:szCs w:val="20"/>
          <w:color w:val="auto"/>
        </w:rPr>
      </w:pPr>
    </w:p>
    <w:p>
      <w:pPr>
        <w:ind w:left="1800" w:right="6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securities comprising the units, including whether and under what circumstances the securities comprising the units may be traded separately;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are registering (1) the offer, issuance and sale by us of up to $8,000,000,000 in the aggregate of the securities identified herein from time to time in one or more offerings, (2) the issuance by us of an aggregate of up to 44,350,000 shares of common stock, consisting of (a) 42,850,000 shares of common stock issuable upon exercise of the Private Placement Warrants and (b) 1,500,000 shares of common stock issuable upon exercise of the Working Capital Warrants; and (3) the offer and resale from time to time by the Selling Securityholders, or their permitted transferees, of (a) up to 1,189,450,445 shares of common stock, consisting of (i) 1,115,163,848 issued and outstanding shares of common stock, (ii) 29,936,597 shares of common stock subject to vesting and/or exercise of the assumed Legacy Lucid Awards and</w:t>
      </w:r>
    </w:p>
    <w:p>
      <w:pPr>
        <w:spacing w:after="0" w:line="1" w:lineRule="exact"/>
        <w:rPr>
          <w:sz w:val="20"/>
          <w:szCs w:val="20"/>
          <w:color w:val="auto"/>
        </w:rPr>
      </w:pPr>
    </w:p>
    <w:p>
      <w:pPr>
        <w:ind w:left="1260" w:right="439"/>
        <w:spacing w:after="0" w:line="255"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44,350,000 shares of common stock issuable upon exercise of the Private Placement Warrants and the Working Capital Warrants, and (b) 44,350,000 warrants representing the Private Placement Warrants and the Working Capital Warrants.</w:t>
      </w:r>
    </w:p>
    <w:p>
      <w:pPr>
        <w:spacing w:after="0" w:line="11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will receive proceeds from the issuance and sale of our common stock, preferred stock, depositary shares representing preferred stock, debt securities, warrants, purchase contracts or units. We will pay any underwriting discounts and commissions and expenses incurred by us in connection with the sale of securities by us.</w:t>
      </w:r>
    </w:p>
    <w:p>
      <w:pPr>
        <w:spacing w:after="0" w:line="9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1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Global Select Market listing fees and fees and expenses of our counsel and our independent registered public accountants.</w:t>
      </w:r>
    </w:p>
    <w:p>
      <w:pPr>
        <w:spacing w:after="0" w:line="120"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securities to be offered and sold by us covered by this prospectus may be offered and sold from time to time. The securities beneficially owned by the Selling Securityholders covered by this prospectus may be offered and sold from time to time by the Selling Securityholders. The term “Selling Securityholders” includes their permitted transferees who later come to hold any of the Selling Securityholders’ interest in the common stock or warrants in accordance with the terms of the agreement(s) governing the registration rights applicable to such Selling Securityholder’s shares of common stock or warrants. The Selling Securityholders will act independently of us in making decisions with respect to the timing, manner and size of each sale.</w:t>
      </w:r>
    </w:p>
    <w:p>
      <w:pPr>
        <w:spacing w:after="0" w:line="324"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Such sales may be made on one or more exchanges or in the over-the-counter market or otherwise, at prices and under terms then prevailing or at prices related to the then current market price or in negotiated transactions. We and each Selling Securityholder reserves the right to accept and, together with our and its respective agents, to reject, any proposed purchase of securities to be made directly or through agents. We, the Selling Securityholders and any of their permitted transferees may sell the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338"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or, subject to the limitations set forth in any applicable registration rights agreement, the Selling Securityholders may use any one or more of the following methods when selling the securities offered by this prospectus: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40" w:lineRule="exact"/>
        <w:rPr>
          <w:rFonts w:ascii="Times New Roman" w:cs="Times New Roman" w:eastAsia="Times New Roman" w:hAnsi="Times New Roman"/>
          <w:sz w:val="18"/>
          <w:szCs w:val="18"/>
          <w:color w:val="auto"/>
        </w:rPr>
      </w:pPr>
    </w:p>
    <w:p>
      <w:pPr>
        <w:ind w:left="1800" w:right="16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securityholders of the Selling Securityholders;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requirements;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There can be no assurance that we or the Selling Securityholders will sell all or any of the securities offered by this prospectus. In addition, we and the Selling Securityholders may also sell securities under Rule 144 under the Securities Act, if available, or in other transactions exempt from registration, rather than under this prospectus. We and the Selling Securityholders, as applicable, have the sole and absolute discretion not to accept any purchase offer or make any sale of securities if we or they deem the purchase price to be unsatisfactory at any particular time.</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With respect to a particular offering of the securities by us or of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69"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to be offered and sold;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Securityholders;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us or the Selling Securityholders.</w:t>
      </w:r>
    </w:p>
    <w:p>
      <w:pPr>
        <w:spacing w:after="0" w:line="9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32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2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and 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common stock is listed on the Nasdaq under the symbol “LCID.”</w:t>
      </w:r>
    </w:p>
    <w:p>
      <w:pPr>
        <w:spacing w:after="0" w:line="11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We and the Selling Securityholders may authorize underwriters, broker-dealers or agents to solicit</w:t>
      </w:r>
    </w:p>
    <w:p>
      <w:pPr>
        <w:spacing w:after="0" w:line="16"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1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In effecting sales, broker-dealers or agents engaged by us or the Selling Securityholders may arrange for other broker-dealers to participate. Broker-dealers or agents may receive commissions, discounts or concessions from us or the Selling Securityholders in amounts to be negotiated immediately prior to the sale.</w:t>
      </w:r>
    </w:p>
    <w:p>
      <w:pPr>
        <w:spacing w:after="0" w:line="33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1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95"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337"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1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offering the securities covered by this prospectus, we,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0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2"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323"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12" w:lineRule="exact"/>
        <w:rPr>
          <w:sz w:val="20"/>
          <w:szCs w:val="20"/>
          <w:color w:val="auto"/>
        </w:rPr>
      </w:pPr>
    </w:p>
    <w:p>
      <w:pPr>
        <w:jc w:val="both"/>
        <w:ind w:left="1260" w:right="679" w:firstLine="360"/>
        <w:spacing w:after="0" w:line="263"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liabilities, including liabilities under the Securities Act, or to contribution with respect to payments which the agents, broker-dealers or underwriters may be required to make in respect thereof.</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Private Placement Warrants and Working Capital Warrants (including common stock issuable upon exercise of such warrants) are subject to restrictions on transfer, assignment and sale and, in certain circumstances, are subject to redemption. See “Description of Capital Stock — Warrants.”</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Equiniti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Pursuant to the Investor Rights Agreement and subject to certain exceptions, the Sponsor is restricted from selling or transferring common stock and Private Placement Warrants held by it for a period of 18 months beginning on the Closing Date.</w:t>
      </w:r>
    </w:p>
    <w:p>
      <w:pPr>
        <w:spacing w:after="0" w:line="10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Additionally, following certain underwritten offerings of our equity securities, parties to the Investor Rights Agreement will also agree to a customary market stand-off period not to exceed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This prospectus also relates to the resale by the Selling Securityholders from time to time of (a) up to 1,189,450,445 shares of common stock, consisting of (i) 1,115,163,848 issued and outstanding shares of common stock, (ii) 29,936,597 shares of common stock subject to vesting and/or exercise of the assumed Legacy Lucid Awards and (iii) 44,350,000 shares of common stock issuable upon exercise of the Private Placement Warrants and the Working Capital Warrants, and (b) 44,350,000 warrants representing the Private Placement Warrants and the Working Capital Warrants. The Selling Securityholders may from time to time offer and sell any or all of the common stock and warrants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common stock or warrants in accordance with the terms of the agreements governing the registration rights applicable to such Selling Securityholder’s shares of common stock or warrants.</w:t>
      </w:r>
    </w:p>
    <w:p>
      <w:pPr>
        <w:spacing w:after="0" w:line="353"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following table sets forth, based on representations from the Selling Securityholders and where applicable, filings with the SEC, the names of the Selling Securityholders, the aggregate number of shares of common stock and warrants beneficially owned, the aggregate number of shares of common stock and warrants that the Selling Securityholders may offer pursuant to this prospectus and the number of shares of common stock and warrants beneficially owned by the Selling Securityholders after the sale of the securities offered hereby. The Selling Securityholders may have sold, transferred or otherwise disposed of some or all of their shares of common stock or warrants, or may have purchased additional freely-tradeable shares of common stock or warrants since providing us with this information. We have based percentage ownership on 1,677,828,639 shares of common stock issued and outstanding as of August 15, 2022.</w:t>
      </w:r>
    </w:p>
    <w:p>
      <w:pPr>
        <w:spacing w:after="0" w:line="111" w:lineRule="exact"/>
        <w:rPr>
          <w:sz w:val="20"/>
          <w:szCs w:val="20"/>
          <w:color w:val="auto"/>
        </w:rPr>
      </w:pPr>
    </w:p>
    <w:p>
      <w:pPr>
        <w:ind w:left="1260" w:right="519" w:firstLine="360"/>
        <w:spacing w:after="0" w:line="272"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331"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and no other purchases or sales of our securities by the Selling Securityholders will have occurred.</w:t>
      </w:r>
    </w:p>
    <w:p>
      <w:pPr>
        <w:spacing w:after="0" w:line="109" w:lineRule="exact"/>
        <w:rPr>
          <w:sz w:val="20"/>
          <w:szCs w:val="20"/>
          <w:color w:val="auto"/>
        </w:rPr>
      </w:pPr>
    </w:p>
    <w:p>
      <w:pPr>
        <w:ind w:left="1260" w:right="439" w:firstLine="360"/>
        <w:spacing w:after="0" w:line="269"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Shares of Common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40" w:type="dxa"/>
            <w:vAlign w:val="bottom"/>
            <w:gridSpan w:val="9"/>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Beneficially Owned After the Offered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00" w:type="dxa"/>
            <w:vAlign w:val="bottom"/>
          </w:tcPr>
          <w:p>
            <w:pPr>
              <w:spacing w:after="0"/>
              <w:rPr>
                <w:sz w:val="5"/>
                <w:szCs w:val="5"/>
                <w:color w:val="auto"/>
              </w:rPr>
            </w:pPr>
          </w:p>
        </w:tc>
        <w:tc>
          <w:tcPr>
            <w:tcW w:w="12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 Shares of</w:t>
            </w:r>
          </w:p>
        </w:tc>
        <w:tc>
          <w:tcPr>
            <w:tcW w:w="120" w:type="dxa"/>
            <w:vAlign w:val="bottom"/>
          </w:tcPr>
          <w:p>
            <w:pPr>
              <w:spacing w:after="0"/>
              <w:rPr>
                <w:sz w:val="5"/>
                <w:szCs w:val="5"/>
                <w:color w:val="auto"/>
              </w:rPr>
            </w:pPr>
          </w:p>
        </w:tc>
        <w:tc>
          <w:tcPr>
            <w:tcW w:w="2240" w:type="dxa"/>
            <w:vAlign w:val="bottom"/>
            <w:gridSpan w:val="9"/>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2360" w:type="dxa"/>
            <w:vAlign w:val="bottom"/>
            <w:gridSpan w:val="10"/>
          </w:tcPr>
          <w:p>
            <w:pPr>
              <w:jc w:val="right"/>
              <w:ind w:right="15"/>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10"/>
                <w:szCs w:val="10"/>
                <w:b w:val="1"/>
                <w:bCs w:val="1"/>
                <w:color w:val="auto"/>
              </w:rPr>
              <w:t xml:space="preserve">  Shares of Common Stock Are Sold</w:t>
            </w:r>
          </w:p>
        </w:tc>
        <w:tc>
          <w:tcPr>
            <w:tcW w:w="6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160" w:type="dxa"/>
            <w:vAlign w:val="bottom"/>
            <w:gridSpan w:val="3"/>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Beneficially Owned</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2"/>
              </w:rPr>
              <w:t>Number</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3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Prior to Offering</w:t>
            </w:r>
          </w:p>
        </w:tc>
        <w:tc>
          <w:tcPr>
            <w:tcW w:w="1680" w:type="dxa"/>
            <w:vAlign w:val="bottom"/>
            <w:gridSpan w:val="9"/>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Stock Being Offered </w:t>
            </w:r>
            <w:r>
              <w:rPr>
                <w:rFonts w:ascii="Times New Roman" w:cs="Times New Roman" w:eastAsia="Times New Roman" w:hAnsi="Times New Roman"/>
                <w:sz w:val="24"/>
                <w:szCs w:val="24"/>
                <w:b w:val="1"/>
                <w:bCs w:val="1"/>
                <w:color w:val="auto"/>
                <w:vertAlign w:val="subscript"/>
              </w:rPr>
              <w:t>​ ​</w:t>
            </w:r>
          </w:p>
        </w:tc>
        <w:tc>
          <w:tcPr>
            <w:tcW w:w="2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Rawlinson</w:t>
            </w:r>
            <w:r>
              <w:rPr>
                <w:rFonts w:ascii="Times New Roman" w:cs="Times New Roman" w:eastAsia="Times New Roman" w:hAnsi="Times New Roman"/>
                <w:sz w:val="23"/>
                <w:szCs w:val="23"/>
                <w:color w:val="auto"/>
                <w:vertAlign w:val="superscript"/>
              </w:rPr>
              <w:t>(1)</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21,425,832</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33,892,034</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Sherry House</w:t>
            </w:r>
            <w:r>
              <w:rPr>
                <w:rFonts w:ascii="Times New Roman" w:cs="Times New Roman" w:eastAsia="Times New Roman" w:hAnsi="Times New Roman"/>
                <w:sz w:val="23"/>
                <w:szCs w:val="23"/>
                <w:color w:val="auto"/>
                <w:vertAlign w:val="superscript"/>
              </w:rPr>
              <w:t>(2)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120,053</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574,492</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Bach</w:t>
            </w:r>
            <w:r>
              <w:rPr>
                <w:rFonts w:ascii="Times New Roman" w:cs="Times New Roman" w:eastAsia="Times New Roman" w:hAnsi="Times New Roman"/>
                <w:sz w:val="23"/>
                <w:szCs w:val="23"/>
                <w:color w:val="auto"/>
                <w:vertAlign w:val="superscript"/>
              </w:rPr>
              <w:t>(3)</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3,106,779</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4,252,512</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Michael Bell</w:t>
            </w:r>
            <w:r>
              <w:rPr>
                <w:rFonts w:ascii="Times New Roman" w:cs="Times New Roman" w:eastAsia="Times New Roman" w:hAnsi="Times New Roman"/>
                <w:sz w:val="23"/>
                <w:szCs w:val="23"/>
                <w:color w:val="auto"/>
                <w:vertAlign w:val="superscript"/>
              </w:rPr>
              <w:t>(4)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446,818</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1,107,818</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Liveris</w:t>
            </w:r>
            <w:r>
              <w:rPr>
                <w:rFonts w:ascii="Times New Roman" w:cs="Times New Roman" w:eastAsia="Times New Roman" w:hAnsi="Times New Roman"/>
                <w:sz w:val="23"/>
                <w:szCs w:val="23"/>
                <w:color w:val="auto"/>
                <w:vertAlign w:val="superscript"/>
              </w:rPr>
              <w:t>(5)</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535,275</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1,298,622</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Glenn R. August</w:t>
            </w:r>
            <w:r>
              <w:rPr>
                <w:rFonts w:ascii="Times New Roman" w:cs="Times New Roman" w:eastAsia="Times New Roman" w:hAnsi="Times New Roman"/>
                <w:sz w:val="23"/>
                <w:szCs w:val="23"/>
                <w:color w:val="auto"/>
                <w:vertAlign w:val="superscript"/>
              </w:rPr>
              <w:t>(6)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13,858,569</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Gioia</w:t>
            </w:r>
            <w:r>
              <w:rPr>
                <w:rFonts w:ascii="Times New Roman" w:cs="Times New Roman" w:eastAsia="Times New Roman" w:hAnsi="Times New Roman"/>
                <w:sz w:val="23"/>
                <w:szCs w:val="23"/>
                <w:color w:val="auto"/>
                <w:vertAlign w:val="superscript"/>
              </w:rPr>
              <w:t>(7)</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Tony Posawatz</w:t>
            </w:r>
            <w:r>
              <w:rPr>
                <w:rFonts w:ascii="Times New Roman" w:cs="Times New Roman" w:eastAsia="Times New Roman" w:hAnsi="Times New Roman"/>
                <w:sz w:val="23"/>
                <w:szCs w:val="23"/>
                <w:color w:val="auto"/>
                <w:vertAlign w:val="superscript"/>
              </w:rPr>
              <w:t>(8)</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38,369</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38,369</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Turqi Alnowaiser</w:t>
            </w:r>
            <w:r>
              <w:rPr>
                <w:rFonts w:ascii="Times New Roman" w:cs="Times New Roman" w:eastAsia="Times New Roman" w:hAnsi="Times New Roman"/>
                <w:sz w:val="23"/>
                <w:szCs w:val="23"/>
                <w:color w:val="auto"/>
                <w:vertAlign w:val="superscript"/>
              </w:rPr>
              <w:t>(9)</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2,070,138</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2,070,138</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H.E. Yasir Othman Al-Rumayyan</w:t>
            </w:r>
            <w:r>
              <w:rPr>
                <w:rFonts w:ascii="Times New Roman" w:cs="Times New Roman" w:eastAsia="Times New Roman" w:hAnsi="Times New Roman"/>
                <w:sz w:val="23"/>
                <w:szCs w:val="23"/>
                <w:color w:val="auto"/>
                <w:vertAlign w:val="superscript"/>
              </w:rPr>
              <w:t>(10)</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4,604,595</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4,604,595</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Churchill Sponsor IV LLC</w:t>
            </w:r>
            <w:r>
              <w:rPr>
                <w:rFonts w:ascii="Times New Roman" w:cs="Times New Roman" w:eastAsia="Times New Roman" w:hAnsi="Times New Roman"/>
                <w:sz w:val="23"/>
                <w:szCs w:val="23"/>
                <w:color w:val="auto"/>
                <w:vertAlign w:val="superscript"/>
              </w:rPr>
              <w:t>(11)</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51,750,000</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51,750,000</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Ayar Third Investment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(12)</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1,015,252,523</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1,015,252,523</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Arena Capital Funds</w:t>
            </w:r>
            <w:r>
              <w:rPr>
                <w:rFonts w:ascii="Times New Roman" w:cs="Times New Roman" w:eastAsia="Times New Roman" w:hAnsi="Times New Roman"/>
                <w:sz w:val="23"/>
                <w:szCs w:val="23"/>
                <w:color w:val="auto"/>
                <w:vertAlign w:val="superscript"/>
              </w:rPr>
              <w:t>(13)</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411,500</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411,500</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1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Franklin Funds</w:t>
            </w:r>
            <w:r>
              <w:rPr>
                <w:rFonts w:ascii="Times New Roman" w:cs="Times New Roman" w:eastAsia="Times New Roman" w:hAnsi="Times New Roman"/>
                <w:sz w:val="23"/>
                <w:szCs w:val="23"/>
                <w:color w:val="auto"/>
                <w:vertAlign w:val="superscript"/>
              </w:rPr>
              <w:t>(14)</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2,703,862</w:t>
            </w:r>
          </w:p>
        </w:tc>
        <w:tc>
          <w:tcPr>
            <w:tcW w:w="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2,621,705</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82,157</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jc w:val="right"/>
              <w:ind w:right="475"/>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José E. Feliciano</w:t>
            </w:r>
            <w:r>
              <w:rPr>
                <w:rFonts w:ascii="Times New Roman" w:cs="Times New Roman" w:eastAsia="Times New Roman" w:hAnsi="Times New Roman"/>
                <w:sz w:val="23"/>
                <w:szCs w:val="23"/>
                <w:color w:val="auto"/>
                <w:vertAlign w:val="superscript"/>
              </w:rPr>
              <w:t>(15)</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833,333</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833,333</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Longfellow Investment Management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w:t>
            </w:r>
            <w:r>
              <w:rPr>
                <w:rFonts w:ascii="Times New Roman" w:cs="Times New Roman" w:eastAsia="Times New Roman" w:hAnsi="Times New Roman"/>
                <w:sz w:val="23"/>
                <w:szCs w:val="23"/>
                <w:color w:val="auto"/>
                <w:vertAlign w:val="superscript"/>
              </w:rPr>
              <w:t>(16)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4,850</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Magnetar Funds</w:t>
            </w:r>
            <w:r>
              <w:rPr>
                <w:rFonts w:ascii="Times New Roman" w:cs="Times New Roman" w:eastAsia="Times New Roman" w:hAnsi="Times New Roman"/>
                <w:sz w:val="23"/>
                <w:szCs w:val="23"/>
                <w:color w:val="auto"/>
                <w:vertAlign w:val="superscript"/>
              </w:rPr>
              <w:t>(17)</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12,404,385</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80"/>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4"/>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Private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 Working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Private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Capital Warrants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 Working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After the Offered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Capital Warrants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Working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8"/>
              </w:rPr>
              <w:t>Private Placement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Capital Warrants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 Working Capital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40" w:type="dxa"/>
            <w:vAlign w:val="bottom"/>
            <w:tcBorders>
              <w:bottom w:val="single" w:sz="8" w:color="auto"/>
            </w:tcBorders>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to Offering</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Being Offered</w:t>
            </w: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7"/>
              </w:rPr>
              <w:t>Warrants are Sold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9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Churchill Sponsor IV LLC</w:t>
            </w:r>
            <w:r>
              <w:rPr>
                <w:rFonts w:ascii="Times New Roman" w:cs="Times New Roman" w:eastAsia="Times New Roman" w:hAnsi="Times New Roman"/>
                <w:sz w:val="23"/>
                <w:szCs w:val="23"/>
                <w:color w:val="auto"/>
                <w:vertAlign w:val="superscript"/>
              </w:rPr>
              <w:t>(11)</w:t>
            </w:r>
          </w:p>
        </w:tc>
        <w:tc>
          <w:tcPr>
            <w:tcW w:w="140" w:type="dxa"/>
            <w:vAlign w:val="bottom"/>
            <w:tcBorders>
              <w:right w:val="single" w:sz="8" w:color="CCEEFF"/>
            </w:tcBorders>
            <w:shd w:val="clear" w:color="auto" w:fill="CCEEFF"/>
          </w:tcPr>
          <w:p>
            <w:pPr>
              <w:spacing w:after="0"/>
              <w:rPr>
                <w:sz w:val="24"/>
                <w:szCs w:val="24"/>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ind w:left="20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​44,350,000</w:t>
            </w:r>
          </w:p>
        </w:tc>
        <w:tc>
          <w:tcPr>
            <w:tcW w:w="60" w:type="dxa"/>
            <w:vAlign w:val="bottom"/>
            <w:shd w:val="clear" w:color="auto" w:fill="CCEEFF"/>
          </w:tcPr>
          <w:p>
            <w:pPr>
              <w:spacing w:after="0"/>
              <w:rPr>
                <w:sz w:val="24"/>
                <w:szCs w:val="24"/>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ind w:left="18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44,350,000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3"/>
            <w:shd w:val="clear" w:color="auto" w:fill="CCEEFF"/>
          </w:tcPr>
          <w:p>
            <w:pPr>
              <w:jc w:val="right"/>
              <w:ind w:right="228"/>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CCEEFF"/>
            </w:tcBorders>
            <w:shd w:val="clear" w:color="auto" w:fill="CCEEFF"/>
          </w:tcPr>
          <w:p>
            <w:pPr>
              <w:jc w:val="right"/>
              <w:ind w:right="195"/>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-4568190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-4568190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-4568190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-4568190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-196215</wp:posOffset>
            </wp:positionV>
            <wp:extent cx="47148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44" w:lineRule="exact"/>
        <w:rPr>
          <w:sz w:val="20"/>
          <w:szCs w:val="20"/>
          <w:color w:val="auto"/>
        </w:rPr>
      </w:pPr>
    </w:p>
    <w:p>
      <w:pPr>
        <w:ind w:left="1620" w:right="599" w:hanging="360"/>
        <w:spacing w:after="0" w:line="25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Rawlinson has served as our Chief Executive Officer and Chief Technology Officer and director since April 2019. Shares offered hereby include (i) 8,379,747 currently issued and outstanding shares of common stock; (ii) 13,046,085 shares of common stock subject to currently outstanding Lucid Awards vested or exercisable, or vesting or becoming exercisable, as applicable, within 60 days of August 15, 2022; and (iii) 12,466,202 shares of common stock subject to currently outstanding Lucid Awards vesting or becoming exercisable, as applicable, after October 14, 2022.</w:t>
      </w:r>
    </w:p>
    <w:p>
      <w:pPr>
        <w:spacing w:after="0" w:line="5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House has served as our Chief Financial Officer since May 2021. Shares offered hereby include</w:t>
      </w:r>
    </w:p>
    <w:p>
      <w:pPr>
        <w:spacing w:after="0" w:line="27" w:lineRule="exact"/>
        <w:rPr>
          <w:rFonts w:ascii="Times New Roman" w:cs="Times New Roman" w:eastAsia="Times New Roman" w:hAnsi="Times New Roman"/>
          <w:sz w:val="18"/>
          <w:szCs w:val="18"/>
          <w:color w:val="auto"/>
        </w:rPr>
      </w:pPr>
    </w:p>
    <w:p>
      <w:pPr>
        <w:ind w:left="1620" w:right="5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78,740 currently issued and outstanding shares of common stock; (ii) 41,313 shares of common stock issuable upon exercise of outstanding Lucid RSUs that are currently exercisable or become exercisable within 60 days of August 15, 2022; and (iii) 454,439 shares of common stock subject to currently outstanding Lucid RSUs vesting after October 14, 2022. Upon vesting of such Lucid RSUs, the shares will be held by The House Revocable Trust, dated March 20, 2021, with Christopher A. House and/or Sherry A. House serving as Trustees. Christopher A. House and Sherry A. House are the beneficial owners of The House Revocable Trust.</w:t>
      </w:r>
    </w:p>
    <w:p>
      <w:pPr>
        <w:spacing w:after="0" w:line="39" w:lineRule="exact"/>
        <w:rPr>
          <w:rFonts w:ascii="Times New Roman" w:cs="Times New Roman" w:eastAsia="Times New Roman" w:hAnsi="Times New Roman"/>
          <w:sz w:val="18"/>
          <w:szCs w:val="18"/>
          <w:color w:val="auto"/>
        </w:rPr>
      </w:pPr>
    </w:p>
    <w:p>
      <w:pPr>
        <w:ind w:left="1620" w:right="69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Bach has served as our Senior Vice President, Product and Chief Engineer since February 2021. Mr. Bach previously served as our Vice President, Hardware Engineering from September 2018 to</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59"/>
        <w:spacing w:after="0" w:line="254" w:lineRule="auto"/>
        <w:rPr>
          <w:sz w:val="20"/>
          <w:szCs w:val="20"/>
          <w:color w:val="auto"/>
        </w:rPr>
      </w:pPr>
      <w:r>
        <w:rPr>
          <w:rFonts w:ascii="Times New Roman" w:cs="Times New Roman" w:eastAsia="Times New Roman" w:hAnsi="Times New Roman"/>
          <w:sz w:val="18"/>
          <w:szCs w:val="18"/>
          <w:color w:val="auto"/>
        </w:rPr>
        <w:t>February 2021 and as Senior Director, Body Engineering from April 2015 to August 2018. Shares offered hereby include (i) 1,067,579 currently issued and outstanding shares of common stock;</w:t>
      </w:r>
    </w:p>
    <w:p>
      <w:pPr>
        <w:ind w:left="1620" w:right="519"/>
        <w:spacing w:after="0" w:line="241" w:lineRule="auto"/>
        <w:tabs>
          <w:tab w:leader="none" w:pos="190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2,039,200 shares of common stock subject to currently outstanding Lucid Awards vested or exercisable, or vesting or becoming exercisable, as applicable, within 60 days of August 15, 2022; and</w:t>
      </w:r>
    </w:p>
    <w:p>
      <w:pPr>
        <w:spacing w:after="0" w:line="1" w:lineRule="exact"/>
        <w:rPr>
          <w:rFonts w:ascii="Times New Roman" w:cs="Times New Roman" w:eastAsia="Times New Roman" w:hAnsi="Times New Roman"/>
          <w:sz w:val="18"/>
          <w:szCs w:val="18"/>
          <w:color w:val="auto"/>
        </w:rPr>
      </w:pPr>
    </w:p>
    <w:p>
      <w:pPr>
        <w:ind w:left="1620" w:right="959"/>
        <w:spacing w:after="0" w:line="245" w:lineRule="auto"/>
        <w:tabs>
          <w:tab w:leader="none" w:pos="19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1,145,733 shares of common stock subject to currently outstanding Lucid Awards vesting or becoming exercisable, as applicable, after October 14, 2022.</w:t>
      </w:r>
    </w:p>
    <w:p>
      <w:pPr>
        <w:spacing w:after="0" w:line="31" w:lineRule="exact"/>
        <w:rPr>
          <w:rFonts w:ascii="Times New Roman" w:cs="Times New Roman" w:eastAsia="Times New Roman" w:hAnsi="Times New Roman"/>
          <w:sz w:val="18"/>
          <w:szCs w:val="18"/>
          <w:color w:val="auto"/>
        </w:rPr>
      </w:pPr>
    </w:p>
    <w:p>
      <w:pPr>
        <w:ind w:left="1620" w:right="739" w:hanging="360"/>
        <w:spacing w:after="0" w:line="25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Bell has served as our Senior Vice President, Digital since February 2021, and served as our consultant from August 2020 to February 2021. Shares offered hereby include (i) 364,193 currently issued and outstanding shares of common stock; (ii) 82,625 shares of common stock issuable upon exercise of outstanding Lucid RSUs that are currently exercisable or become exercisable within 60 days of August 15, 2022; and (iii) 661,000 shares of common stock subject to currently outstanding Lucid RSUs vesting after October 14, 2022.</w:t>
      </w:r>
    </w:p>
    <w:p>
      <w:pPr>
        <w:spacing w:after="0" w:line="52" w:lineRule="exact"/>
        <w:rPr>
          <w:rFonts w:ascii="Times New Roman" w:cs="Times New Roman" w:eastAsia="Times New Roman" w:hAnsi="Times New Roman"/>
          <w:sz w:val="18"/>
          <w:szCs w:val="18"/>
          <w:color w:val="auto"/>
        </w:rPr>
      </w:pPr>
    </w:p>
    <w:p>
      <w:pPr>
        <w:ind w:left="1620" w:right="63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Liveris has served as Chairman of our board of directors since April 2019. Shares offered hereby include (i) 535,275 shares of common stock currently beneficially owned by Mr. Liveris and</w:t>
      </w:r>
    </w:p>
    <w:p>
      <w:pPr>
        <w:ind w:left="1620" w:right="539"/>
        <w:spacing w:after="0" w:line="252" w:lineRule="auto"/>
        <w:tabs>
          <w:tab w:leader="none" w:pos="19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400,000 shares of common stock and (b) 363,347 shares of common stock issuable upon exercise of certain Private Placement Warrants. With respect to the securities referenced in (ii)(a) and (b), Mr. Liveris currently has an economic interest in such shares of common stock and Private Placement Warrants through his ownership of membership interests in the Sponsor, but he does not beneficially own any such common stock or Private Placement Warrants. Mr. Liveris may beneficially own such common stock or Private Placement Warrants in the future.</w:t>
      </w:r>
    </w:p>
    <w:p>
      <w:pPr>
        <w:spacing w:after="0" w:line="41" w:lineRule="exact"/>
        <w:rPr>
          <w:rFonts w:ascii="Times New Roman" w:cs="Times New Roman" w:eastAsia="Times New Roman" w:hAnsi="Times New Roman"/>
          <w:sz w:val="18"/>
          <w:szCs w:val="18"/>
          <w:color w:val="auto"/>
        </w:rPr>
      </w:pPr>
    </w:p>
    <w:p>
      <w:pPr>
        <w:ind w:left="1620" w:right="419" w:hanging="360"/>
        <w:spacing w:after="0" w:line="254"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August has served as a member of our Board since July 2021 and he previously served as a member of Churchill’s board of directors from August 2020. Shares offered hereby include (i) 7,000,000 shares of common stock and (ii) 6,858,569 shares of common stock issuable upon exercise of certain Private Placement Warrants, which Mr. August does not currently beneficially own. Mr. August has an economic interest in a portion of such shares through his control and partial ownership of an entity, OHA Partner Global Co-Investment III, LLP (“OHA PGCI3”), which owns membership interests in the Sponsor. OHA PGCI3 and Mr. August may beneficially own such common stock or Private Placement Warrants in the future.</w:t>
      </w:r>
    </w:p>
    <w:p>
      <w:pPr>
        <w:spacing w:after="0" w:line="43"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Gioia has served as a member of our Board since July 2021. Shares offered hereby include 125,000 shares of common stock. Ms. Gioia currently has an economic interest in such shares of common stock through her ownership of membership interests in the Sponsor, but she does not beneficially own any such common stock. Ms. Gioia may beneficially own such common stock in the future.</w:t>
      </w:r>
    </w:p>
    <w:p>
      <w:pPr>
        <w:spacing w:after="0" w:line="31"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Posawatz has served as a member of our board of directors since April 2019. Shares offered hereby include 38,369 shares of common stock.</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Alnowaiser has served as a member of our board of directors since April 2019. Also see</w:t>
      </w:r>
    </w:p>
    <w:p>
      <w:pPr>
        <w:spacing w:after="0" w:line="27" w:lineRule="exact"/>
        <w:rPr>
          <w:rFonts w:ascii="Times New Roman" w:cs="Times New Roman" w:eastAsia="Times New Roman" w:hAnsi="Times New Roman"/>
          <w:sz w:val="18"/>
          <w:szCs w:val="18"/>
          <w:color w:val="auto"/>
        </w:rPr>
      </w:pPr>
    </w:p>
    <w:p>
      <w:pPr>
        <w:ind w:left="1620" w:right="4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footnote 12. Shares offered hereby include 2,070,138 shares of common stock issued to Mr. Alnowaiser upon the Closing.</w:t>
      </w:r>
    </w:p>
    <w:p>
      <w:pPr>
        <w:spacing w:after="0" w:line="32" w:lineRule="exact"/>
        <w:rPr>
          <w:rFonts w:ascii="Times New Roman" w:cs="Times New Roman" w:eastAsia="Times New Roman" w:hAnsi="Times New Roman"/>
          <w:sz w:val="18"/>
          <w:szCs w:val="18"/>
          <w:color w:val="auto"/>
        </w:rPr>
      </w:pPr>
    </w:p>
    <w:p>
      <w:pPr>
        <w:ind w:left="1620" w:right="959" w:hanging="360"/>
        <w:spacing w:after="0" w:line="235" w:lineRule="exact"/>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see footnote 12. Shares offered hereby include 4,604,595 shares of common stock issued to H.E. 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Rumayyan upon the Closing.</w:t>
      </w:r>
    </w:p>
    <w:p>
      <w:pPr>
        <w:spacing w:after="0" w:line="30" w:lineRule="exact"/>
        <w:rPr>
          <w:rFonts w:ascii="Times New Roman" w:cs="Times New Roman" w:eastAsia="Times New Roman" w:hAnsi="Times New Roman"/>
          <w:sz w:val="18"/>
          <w:szCs w:val="18"/>
          <w:color w:val="auto"/>
        </w:rPr>
      </w:pPr>
    </w:p>
    <w:p>
      <w:pPr>
        <w:ind w:left="1620" w:right="459" w:hanging="360"/>
        <w:spacing w:after="0" w:line="25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acted as sponsor to Churchill Capital Corp IV, a blank check company and our predecessor company. Shares beneficially owned and offered hereby include: (i) 51,750,000 currently outstanding shares of common stock; (ii) 42,850,000 shares of common stock issuable upon exercise of the Private Placement Warrants and (iii) 1,500,000 shares of common stock issuable upon exercise of the Working Capital Warrants. Each such warrant entitles the Sponsor to purchase one share of common stock at a price of $11.50 per share, subject to adjustments. Michael Klein is the sole stockholder of M. Klein Associates, Inc., which is the managing member of the Sponsor. The shares beneficially owned by the Sponsor may also be deemed to be beneficially owned by Mr. Klein. The business address for Mr. Klein is 640 Fifth Avenue, 12th Floor, New York, NY 10019. Also see footnotes 5, 6 and 7 to this table. Beneficial ownership interests are based on the Schedule 13G filed with the SEC on February 11, 2022 by the Sponsor. According to the Schedule 13G, the Sponsor has shared voting power and shared dispositive power over 96,100,000 shares of common stock. Interests shown consist of (i) 51,750,000 shares of common stock and (ii) 44,350,000 Private Placement Warrants (including 1,500,000 Working Capital Warrants) to purchase shares of common stock. Each warrant entitles the holder thereof to purchase one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spacing w:after="0" w:line="261" w:lineRule="auto"/>
        <w:rPr>
          <w:sz w:val="20"/>
          <w:szCs w:val="20"/>
          <w:color w:val="auto"/>
        </w:rPr>
      </w:pPr>
      <w:r>
        <w:rPr>
          <w:rFonts w:ascii="Times New Roman" w:cs="Times New Roman" w:eastAsia="Times New Roman" w:hAnsi="Times New Roman"/>
          <w:sz w:val="18"/>
          <w:szCs w:val="18"/>
          <w:color w:val="auto"/>
        </w:rPr>
        <w:t>share of common stock at a price of $11.50 per share, subject to adjustment. Michael Klein is the sole stockholder of M. Klein Associates, Inc., which is the managing member of the Sponsor. The shares beneficially owned by the Sponsor may also be deemed to be beneficially owned by Mr. Klein. The business address for Mr. Klein is 640 Fifth Avenue, 12th Floor, New York, NY 10019.</w:t>
      </w:r>
    </w:p>
    <w:p>
      <w:pPr>
        <w:spacing w:after="0" w:line="45" w:lineRule="exact"/>
        <w:rPr>
          <w:sz w:val="20"/>
          <w:szCs w:val="20"/>
          <w:color w:val="auto"/>
        </w:rPr>
      </w:pPr>
    </w:p>
    <w:p>
      <w:pPr>
        <w:ind w:left="1620" w:right="479" w:hanging="360"/>
        <w:spacing w:after="0" w:line="255"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and offered hereby include 1,015,252,523 shares of common stock issued to Ayar upon the Closing (including in connection with the PIPE Investment). Ayar is a wholly owned subsidiary of PIF. The Board of Directors of PIF, consisting of His Royal Highness Mohammad bin Salman Al-Saud (Chairman), H.E. Ibrahim Abdulaziz Al-Assaf, H.E. Mohammad Abdul Malek</w:t>
      </w:r>
    </w:p>
    <w:p>
      <w:pPr>
        <w:spacing w:after="0" w:line="2" w:lineRule="exact"/>
        <w:rPr>
          <w:rFonts w:ascii="Times New Roman" w:cs="Times New Roman" w:eastAsia="Times New Roman" w:hAnsi="Times New Roman"/>
          <w:sz w:val="18"/>
          <w:szCs w:val="18"/>
          <w:color w:val="auto"/>
        </w:rPr>
      </w:pPr>
    </w:p>
    <w:p>
      <w:pPr>
        <w:jc w:val="both"/>
        <w:ind w:left="1620" w:right="4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 Shaikh, H.E. 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PIF, H.E. Al-Rumayyan and Turqi Alnowaiser has shared voting power over the shares held by Ayar. Neither H.E.</w:t>
      </w:r>
    </w:p>
    <w:p>
      <w:pPr>
        <w:spacing w:after="0" w:line="1" w:lineRule="exact"/>
        <w:rPr>
          <w:rFonts w:ascii="Times New Roman" w:cs="Times New Roman" w:eastAsia="Times New Roman" w:hAnsi="Times New Roman"/>
          <w:sz w:val="18"/>
          <w:szCs w:val="18"/>
          <w:color w:val="auto"/>
        </w:rPr>
      </w:pPr>
    </w:p>
    <w:p>
      <w:pPr>
        <w:ind w:left="1620" w:right="519"/>
        <w:spacing w:after="0" w:line="21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4,604,595 shares of common stock held by H.E. 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Rumayyan or 2,070,138 shares of common stock held by Mr. Alnowaiser. The business address for PIF and for H.E. Al-Rumayyan is Alr’idah Digital City, Building MU04, Al Nakhil District, P.O. Box 6847, Riyadh 11452, The Kingdom of Saudi Arabia.</w:t>
      </w:r>
    </w:p>
    <w:p>
      <w:pPr>
        <w:spacing w:after="0" w:line="51" w:lineRule="exact"/>
        <w:rPr>
          <w:rFonts w:ascii="Times New Roman" w:cs="Times New Roman" w:eastAsia="Times New Roman" w:hAnsi="Times New Roman"/>
          <w:sz w:val="18"/>
          <w:szCs w:val="18"/>
          <w:color w:val="auto"/>
        </w:rPr>
      </w:pPr>
    </w:p>
    <w:p>
      <w:pPr>
        <w:ind w:left="1620" w:right="499" w:hanging="360"/>
        <w:spacing w:after="0" w:line="254"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and offered hereby include 66,500 shares of common stock held by Arena Capital Fund, LP — Series 3, 133,500 shares of common stock held by Arena Capital Fund, LP —  Series 5, and 211,500 shares of common stock held by Arena Capital Fund, LP — Series 9 (together, the “Arena Funds”). The Arena Funds are partnerships organized under the laws of the State of Delaware. Arena Capital Advisors, LLC acts as General Partner for the Arena Funds. The partners of Arena Capital Advisors are Daniel Elperin, Jeremy Sagi and Sanije Perrett and as such may be deemed beneficial owners of the shares offered hereby. The address of each of the Arena Funds is 12121 Wilshire Blvd, Ste. 1010, Los Angeles, CA 90025.</w:t>
      </w:r>
    </w:p>
    <w:p>
      <w:pPr>
        <w:spacing w:after="0" w:line="124" w:lineRule="exact"/>
        <w:rPr>
          <w:rFonts w:ascii="Times New Roman" w:cs="Times New Roman" w:eastAsia="Times New Roman" w:hAnsi="Times New Roman"/>
          <w:sz w:val="18"/>
          <w:szCs w:val="18"/>
          <w:color w:val="auto"/>
        </w:rPr>
      </w:pPr>
    </w:p>
    <w:p>
      <w:pPr>
        <w:ind w:left="1620" w:right="459" w:hanging="360"/>
        <w:spacing w:after="0" w:line="251"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beneficially owned and offered hereby include 2,621,705 shares of common stock held by Franklin Custodian Funds — Franklin Growth Fund. Additional shares beneficially owned but not offered hereby include 11,802 shares of common stock held by Franklin Templeton Variable Insurance Products Trust — Franklin Large Cap Growth VIP Fund, 14,448 shares of common stock held by Franklin Templeton Funds — Franklin US Opportunities Fund, 26,092 shares of common stock held by Franklin U.S. Opportunities Fund and 29,815 shares of common stock held by Franklin MPF US Opportunities Fund. Franklin Advisers, Inc. (“FAV”) is the investment manager for the funds listed above. FAV is affiliated with several FINRA members — Franklin/Templeton Distributors, Inc., Templeton/Franklin Investment Services, Inc., Franklin Templeton Financial Services Corp., Royce Fund Services, LLC, Quest Distributors, Inc., Quest Securities, Inc. and Royce Fund Services, Inc. All of these entities are indirect wholly owned subsidiaries of Franklin Resources, Inc. (“FRI”), the parent of FAV and only distribute funds for subsidiaries of FRI. Based on information provided by the Selling Securityholders, the Selling Securityholders acquired the shares for investment purposes, and at the time of the acquisition of the shares, the Selling Securityholders did not have any agreements or understandings with any person to distribute such shares. FAV is an indirect wholly owned subsidiary of a publicly traded company, FRI, and may be deemed to be the beneficial owner of these shares for purposes of Rule 13d-3 under the Exchange Act in its capacity as the investment adviser to such funds and accounts pursuant to investment management contracts that grant investment and/or voting power to FAV. When an investment management contract (including a sub-advisory agreement) delegates to FAV investment discretion or voting power over the securities held in the investment advisory accounts that are subject to that agreement, FRI treats FAV as having sole investment discretion or voting authority, as the case may be, unless the agreement specifies otherwise. Accordingly, FAV reports for purposes of Section 13(d) of the Exchange Act that it has sole investment discretion and voting authority over the securities covered by any such investment management agreement, unless otherwise specifically noted. The address of the Franklin Funds is c/o Franklin Advisers, Inc., One Franklin Parkway, San Mateo, California 94403.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José E. Feliciano is the beneficiary of Citibank NA as Custodian FBO José E. Feliciano.</w:t>
      </w:r>
    </w:p>
    <w:p>
      <w:pPr>
        <w:spacing w:after="0" w:line="1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and offered hereby include 3,750 shares of common stock held by</w:t>
      </w:r>
    </w:p>
    <w:p>
      <w:pPr>
        <w:spacing w:after="0" w:line="27" w:lineRule="exact"/>
        <w:rPr>
          <w:rFonts w:ascii="Times New Roman" w:cs="Times New Roman" w:eastAsia="Times New Roman" w:hAnsi="Times New Roman"/>
          <w:sz w:val="18"/>
          <w:szCs w:val="18"/>
          <w:color w:val="auto"/>
        </w:rPr>
      </w:pPr>
    </w:p>
    <w:p>
      <w:pPr>
        <w:ind w:left="1620" w:right="6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 Absolute Return (QP), LP, 500 shares of common stock held by BBR Absolute Return, LP and 600 shares of common stock held by BBR Absolute Return Ltd. Acting as their investment advisor, Longfellow Investment Management Co., LLC is deemed to have investment discretion and shared voting control over the shares beneficially owned by their clients. David Stueher, portfolio manager, may be deemed to be the beneficial owner of the shares. The business address for Longfellow Investment Management Co., LLC is 125 High Street, Suite 832, Boston, MA 02110.</w:t>
      </w:r>
    </w:p>
    <w:p>
      <w:pPr>
        <w:spacing w:after="0" w:line="122" w:lineRule="exact"/>
        <w:rPr>
          <w:rFonts w:ascii="Times New Roman" w:cs="Times New Roman" w:eastAsia="Times New Roman" w:hAnsi="Times New Roman"/>
          <w:sz w:val="18"/>
          <w:szCs w:val="18"/>
          <w:color w:val="auto"/>
        </w:rPr>
      </w:pPr>
    </w:p>
    <w:p>
      <w:pPr>
        <w:ind w:left="1620" w:right="559" w:hanging="360"/>
        <w:spacing w:after="0" w:line="258"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Magnetar Funds have an economic interest in shares of common stock and Private Placement Warrants through their ownership of membership interests in the Sponsor, but do not beneficially own any such common stock or Private Placement Warrants. Such economic interest (or deemed economic interest) of such Magnetar Funds relates to 6,500,000 shares of common stock and 5,904,385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and estate tax consequences of the ownership and disposition of our common stock and warrants, which we refer to collectively as our securities. This discussion applies only to securities that are purchased from us or the Selling Securityholders pursuant to this prospectus, and to securities that are held as capital assets.</w:t>
      </w:r>
    </w:p>
    <w:p>
      <w:pPr>
        <w:spacing w:after="0" w:line="11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U.S. federal estate and gift tax, alternative minimum tax or Medicare contribution tax considerations or any tax consequences arising under the laws of any state, local or non-U.S. jurisdiction. Further, this discussion does not apply to you if you are a beneficial owner of securities subject to special rules, such as:</w:t>
      </w:r>
    </w:p>
    <w:p>
      <w:pPr>
        <w:spacing w:after="0" w:line="73"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founders, officers or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brokers in securities, commodities or foreign currencies;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apply a mark-to-market method of tax accounting;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required to recognize income or gain no later than such income or gain is required to be reported on an applicable financial statement under Section 451(b)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(5%) or more (by vote or value)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S corporations or other pass-through entities or investors therein;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citizens or residents of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1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securities as part of a hedge, straddle, constructive sale or conversion transaction or other integrated investment; or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pursuant to the exercise of employee stock options, through a tax qualified retirement plan or otherwise as compensation.</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If a partnership or other pass-through entity (including an entity or arrangement treated as a partnership or other type of pass-through entity for U.S. federal income tax purposes) owns our securities,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securities should consult their own tax advisors as to the particular U.S. federal income and estate tax consequences applicable to them.</w:t>
      </w:r>
    </w:p>
    <w:p>
      <w:pPr>
        <w:spacing w:after="0" w:line="336"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changes to any of which subsequent to the date of this prospectus may affect the tax consequences described herein (possibly with retroactive effect). We have not sought, and will not seek, a ruling from the Internal Revenue Service (the “IRS”) as to any U.S. federal income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Prospective holders are urged to consult their tax advisors with respect to the particular tax consequences to them of owning and disposing of our securities, including the consequences under the laws of any state, local or non-U.S. jurisdiction.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our securities who or that is:</w:t>
      </w:r>
    </w:p>
    <w:p>
      <w:pPr>
        <w:spacing w:after="0" w:line="54"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 or</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on our Common Stock</w:t>
      </w:r>
    </w:p>
    <w:p>
      <w:pPr>
        <w:spacing w:after="0" w:line="14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the extent that we make a distribution of cash or other property (other than certain pro rata distributions of our common stock) in respect of our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U.S. Holder’s common stock, and to the extent the amount of the distribution exceeds a U.S. Holder’s adjusted tax basis in our common stock, the excess will be treated as gain from the disposition of our common stock (the tax treatment of which is discussed below under “— Tax Consequences to U.S. Holders — Sale, Exchange or Other Taxable Disposition of our Common Stock and Warrants”).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46"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our common stock for which the warrant may be exercised or to the exercise price of the warrant on the occurrence of certain events. An adjustment which has the effect of preventing dilution generally is not a taxable event. U.S. Holders of the warrants would, however, be treated as receiving a constructive distribution from us if, for example, the adjustment to the number of such shares or to such exercise price increases the warrant holders’ proportionate interest in our assets or earnings and profits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 through an increase in the number of shares of our common stock that would be obtained upon exercise or through a decrease in the exercise price of the warrants), including as a result of a distribution of cash or other property to the holders of shares of our common stock which is taxable to such holders of such shares as a distribution. Any constructive distribution received by a U.S. Holder would be subject to tax in the same manner as if such U.S. Holder received a cash distribution from us equal to the fair market value of such increased interest resulting from the adjustment. Generally, a U.S. Holder’s adjusted tax basis in its warrants would be increased to the extent any such constructive distribution is treated as a dividend.</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 Exchange or Other Taxable Disposition of our Common Stock and Warrants</w:t>
      </w:r>
    </w:p>
    <w:p>
      <w:pPr>
        <w:spacing w:after="0" w:line="14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Upon sales, exchanges or other taxable dispositions of our common stock or warrants (which, in general, would include a redemption of our warrants that is treated as a taxable exchange of such warrants as described below under “— Tax Consequences to U.S. Holders — Exercise, Lapse or Redemption of a Warrant”), a U.S. Holder generally will recognize capital gain or loss equal to the difference between (i) the amount of cash and the fair market value of all other property received upon such disposition and (ii) such U.S. Holder’s adjusted tax basis in its common stock or warrant. Such capital gain or loss will be long-term capital gain or loss if the U.S. Holder’s holding period in the common stock or warrant is more than one year at the time of the taxable disposition. Long-term capital gains recognized by certain non-corporate U.S.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Holders (including individuals) generally are subject to reduced rates of U.S. federal income tax. The deductibility of capital losses is subject to limitations.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as a result of the acquisition of our common stock upon exercise of a warrant for cash. The U.S. Holder’s tax basis in the shares of our common stock received upon exercise of the warrants generally will be an amount equal to the sum of the U.S. Holder’s initial investment in the warrants and the exercise price of such warrants. For U.S. federal income tax purposes, it is unclear whether the U.S. Holder’s holding period for our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32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would equal such holder’s basis in the warrants. If the cashless exercise were treated as not being a realization event, it is unclear whether a U.S. Holder’s holding period in the common stock would be treated as commencing on the date following the date of exercise or on the date of exercise of the warrant. If the cashless exercise were treated as a recapitalization, the holding period of our common stock would include the holding period of the warrants exercised therefor.</w:t>
      </w:r>
    </w:p>
    <w:p>
      <w:pPr>
        <w:spacing w:after="0" w:line="11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would be deemed to have surrendered a number of warrants having an aggregate value equal to the exercise price for the number of warrants deemed exercised. The U.S. Holder would recognize capital gain or loss in an amount equal to the difference between the exercise price of the warrants deemed exercised and such holder’s tax basis in the warrants deemed surrendered. Such gain or loss would be long-term or short-term depending on the U.S. Holder’s holding period in the warrants deemed surrendered. In this case, the U.S. Holder’s tax basis in the common stock received would equal the sum of its initial investment in the warrants deemed exercised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w:t>
      </w:r>
    </w:p>
    <w:p>
      <w:pPr>
        <w:spacing w:after="0" w:line="324"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 as to which, if any, of the alternative tax consequences and holding periods described above would be adopted by the IRS or a court of law. Accordingly, U.S. Holders should consult their own tax advisors regarding the tax consequences of a cashless exercise.</w:t>
      </w:r>
    </w:p>
    <w:p>
      <w:pPr>
        <w:spacing w:after="0" w:line="114" w:lineRule="exact"/>
        <w:rPr>
          <w:sz w:val="20"/>
          <w:szCs w:val="20"/>
          <w:color w:val="auto"/>
        </w:rPr>
      </w:pPr>
    </w:p>
    <w:p>
      <w:pPr>
        <w:ind w:left="1260" w:right="1019" w:firstLine="360"/>
        <w:spacing w:after="0" w:line="250" w:lineRule="auto"/>
        <w:rPr>
          <w:sz w:val="20"/>
          <w:szCs w:val="20"/>
          <w:color w:val="auto"/>
        </w:rPr>
      </w:pPr>
      <w:r>
        <w:rPr>
          <w:rFonts w:ascii="Times New Roman" w:cs="Times New Roman" w:eastAsia="Times New Roman" w:hAnsi="Times New Roman"/>
          <w:sz w:val="18"/>
          <w:szCs w:val="18"/>
          <w:color w:val="auto"/>
        </w:rPr>
        <w:t>If we redeem warrants for cash or if we purchase warrants in an open market transaction, such redemption or purchase generally will be treated as a taxable disposition to the U.S. Holder, taxed as described above under “— Sale, Exchange or Other Taxable Disposition of our Common Stock and Warrants.”</w:t>
      </w:r>
    </w:p>
    <w:p>
      <w:pPr>
        <w:spacing w:after="0" w:line="110"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If we give notice of an intention to redeem warrants and a U.S. Holder exercises its warrants on a cashless basis and receives an amount of common stock in respect thereof, we intend to treat such exercise as a redemption of warrants for the common stock for U.S. federal income tax purposes. Such redemption should be treated as a “recapitalization” within the meaning of Section 368(a)(1)(E) of the Code. Accordingly, a U.S. Holder should not recognize any gain or loss on the redemption of warrants for shares of our common stock. A U.S. Holder’s aggregate tax basis in the shares of our common stock received in the redemption generally should equal such holder’s aggregate tax basis in the warrants redeemed and the</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holding period for the shares of our common stock received should include such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 Accordingly, U.S. Holders are urged to consult their own tax advisors regarding the tax consequences of a redemption of warrants for shares of our common stock.</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to a U.S. Holder of dividends on shares of common stock (as well as constructive dividends deemed paid with respect to the warrants) and the proceeds of a sale of common stock or warrants,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w:t>
      </w:r>
    </w:p>
    <w:p>
      <w:pPr>
        <w:spacing w:after="0" w:line="11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a credit against the U.S. Holder’s U.S. federal income tax liability provided the required information is furnished timely to the IRS.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4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This section applies to you if you are a “non-U.S. Holder.” You are a non-U.S. Holder if, for U.S. federal income tax purposes, you are a beneficial owner of our securities who or that is, for U.S. federal income tax purposes:</w:t>
      </w:r>
    </w:p>
    <w:p>
      <w:pPr>
        <w:spacing w:after="0" w:line="61" w:lineRule="exact"/>
        <w:rPr>
          <w:sz w:val="20"/>
          <w:szCs w:val="20"/>
          <w:color w:val="auto"/>
        </w:rPr>
      </w:pPr>
    </w:p>
    <w:p>
      <w:pPr>
        <w:ind w:left="1800" w:right="5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a former citizen or resident of the U.S. subject to U.S. tax as an expatriate;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4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Distributions, other than certain pro rata distributions of our common stock) made to a non-U.S. Holder,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will be subject to U.S. federal withholding tax at a 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 In the case of any constructive dividend to a non-U.S. Holder of warrants (as described above under “— Tax Consequences to U.S. Holders — Possible Constructive Dividends”), it is possible that this tax would be withheld from any amount owed to the non-U.S. Holder by the applicable withholding agent, including cash distributions on other property or sale proceeds from warrants or other property subsequently paid or credit to such non-U.S. Holder.</w:t>
      </w:r>
    </w:p>
    <w:p>
      <w:pPr>
        <w:spacing w:after="0" w:line="32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Dividends paid to a non -U.S.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 income may also be subject to an additional “branch profits tax” imposed at a rate of 30% (or a lower treaty rate) on its effectively connected earnings and profits (subject to certain adjustments).</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 Exchange or Other Taxable Disposition of our Common Stock and Warrants</w:t>
      </w:r>
    </w:p>
    <w:p>
      <w:pPr>
        <w:spacing w:after="0" w:line="160"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Subject to the discussions of backup withholding and FATCA withholding tax below, a non-U.S. Holder generally will not be subject to U.S. federal income tax on gain realized on a sale or other disposition of our securities unless:</w:t>
      </w:r>
    </w:p>
    <w:p>
      <w:pPr>
        <w:spacing w:after="0" w:line="61" w:lineRule="exact"/>
        <w:rPr>
          <w:sz w:val="20"/>
          <w:szCs w:val="20"/>
          <w:color w:val="auto"/>
        </w:rPr>
      </w:pPr>
    </w:p>
    <w:p>
      <w:pPr>
        <w:ind w:left="1800" w:right="539" w:hanging="180"/>
        <w:spacing w:after="0" w:line="258"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75"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291"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(as​ described below) at any time within the five-year period preceding the disposition or the non-U.S. Holder’s holding period, whichever period is shorter, and certain exceptions do not apply.</w:t>
      </w:r>
    </w:p>
    <w:p>
      <w:pPr>
        <w:spacing w:after="0" w:line="95"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6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or the lapse of a warrant held by a non-U.S. Holder, or the redemption of a warrant held by a non-U.S. Holder generally will correspond to the U.S. federal income tax treatment of the exercise, lapse or redemption of a warrant by a U.S. Holder, as described above under “</w:t>
      </w:r>
      <w:r>
        <w:rPr>
          <w:rFonts w:ascii="Times New Roman" w:cs="Times New Roman" w:eastAsia="Times New Roman" w:hAnsi="Times New Roman"/>
          <w:sz w:val="18"/>
          <w:szCs w:val="18"/>
          <w:i w:val="1"/>
          <w:iCs w:val="1"/>
          <w:color w:val="auto"/>
        </w:rPr>
        <w:t>Tax Consequences to U.S. Holders — Exercise, Lapse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of a Warrant</w:t>
      </w:r>
      <w:r>
        <w:rPr>
          <w:rFonts w:ascii="Times New Roman" w:cs="Times New Roman" w:eastAsia="Times New Roman" w:hAnsi="Times New Roman"/>
          <w:sz w:val="18"/>
          <w:szCs w:val="18"/>
          <w:color w:val="auto"/>
        </w:rPr>
        <w:t>”, although to the extent a cashless exercise or redemption of a warrant results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exchange, the consequences would be similar to those described above under “</w:t>
      </w:r>
      <w:r>
        <w:rPr>
          <w:rFonts w:ascii="Times New Roman" w:cs="Times New Roman" w:eastAsia="Times New Roman" w:hAnsi="Times New Roman"/>
          <w:sz w:val="18"/>
          <w:szCs w:val="18"/>
          <w:i w:val="1"/>
          <w:iCs w:val="1"/>
          <w:color w:val="auto"/>
        </w:rPr>
        <w:t>Tax Consequences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Non-U.S. Holders — Sale, Exchange or Other Taxable Disposition of our Common Stock and Warrants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9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w:t>
      </w:r>
    </w:p>
    <w:p>
      <w:pPr>
        <w:spacing w:after="0" w:line="10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and warrants made within the United States or conducted through certain U.S.-related financial intermediaries, unless the non-U.S. Holder complies with 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and the amount of any backup withholding from a payment to a non-U.S. Holder will be allowed as a credit against such non-U.S. Holder’s U.S. federal income tax liability and may entitle such holder to a refund, provided that the required information is furnished to the IRS in a timely manner.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FATCA Withholding Tax</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Under Sections 1471 through 1474 of the Code (commonly referred to as “FATCA”), payments of dividends on, and the gross proceeds of dispositions of, our securities paid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If a dividend payment is both subject to withholding under FATCA and subject to the withholding tax discussed above under “— Tax Consequences to Non-U.S. Holders — Taxation of Distributions,” the withholding under FATCA may be credited against, and therefore reduce, such other withholding tax. Non-U.S. holders should consult their tax advisors regarding the possible implications of this withholding tax on their investment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validity of any securities offered by this prospectus will be passed upon for us by Davis Polk &amp; Wardwell LLP, Menlo Park,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of Lucid Group,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jc w:val="right"/>
        <w:ind w:right="8599"/>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7940040</wp:posOffset>
            </wp:positionV>
            <wp:extent cx="5212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3748405</wp:posOffset>
            </wp:positionV>
            <wp:extent cx="3540125"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354012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8599"/>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costs and expenses payable in connection with the offering of the securities being registered, all of which will be paid by the registrant (except any underwriting discounts and commissions and expenses incurred by the Selling Securityholders in disposing of the securities).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40" w:type="dxa"/>
            <w:vAlign w:val="bottom"/>
          </w:tcPr>
          <w:p>
            <w:pPr>
              <w:spacing w:after="0"/>
              <w:rPr>
                <w:sz w:val="14"/>
                <w:szCs w:val="14"/>
                <w:color w:val="auto"/>
              </w:rPr>
            </w:pPr>
          </w:p>
        </w:tc>
      </w:tr>
      <w:tr>
        <w:trPr>
          <w:trHeight w:val="214"/>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760" w:type="dxa"/>
            <w:vAlign w:val="bottom"/>
          </w:tcPr>
          <w:p>
            <w:pPr>
              <w:ind w:left="354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 fees and expenses (including Blue Sky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Trustee and transfer agent and registrar fees and expenses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​$741,600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3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7720" w:space="720"/>
            <w:col w:w="14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7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line="2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b w:val="1"/>
                <w:bCs w:val="1"/>
                <w:color w:val="auto"/>
                <w:vertAlign w:val="subscript"/>
              </w:rPr>
              <w:t>​</w:t>
            </w:r>
          </w:p>
        </w:tc>
      </w:tr>
      <w:tr>
        <w:trPr>
          <w:trHeight w:val="20"/>
        </w:trPr>
        <w:tc>
          <w:tcPr>
            <w:tcW w:w="1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8" w:lineRule="exact"/>
        <w:rPr>
          <w:sz w:val="20"/>
          <w:szCs w:val="20"/>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in one or more prospectus supplements filed hereunder.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0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20"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Company’s current certificate of incorporation provides that we must indemnify and advance expenses to our directors and officers to the full extent authorized by the DGCL.</w:t>
      </w:r>
    </w:p>
    <w:p>
      <w:pPr>
        <w:spacing w:after="0" w:line="94"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323"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2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maintains and expect to maintain standard policies of insurance that provide coverage</w:t>
      </w:r>
    </w:p>
    <w:p>
      <w:pPr>
        <w:spacing w:after="0" w:line="27" w:lineRule="exact"/>
        <w:rPr>
          <w:sz w:val="20"/>
          <w:szCs w:val="20"/>
          <w:color w:val="auto"/>
        </w:rPr>
      </w:pPr>
    </w:p>
    <w:p>
      <w:pPr>
        <w:ind w:left="1260" w:right="459"/>
        <w:spacing w:after="0" w:line="255" w:lineRule="auto"/>
        <w:tabs>
          <w:tab w:leader="none" w:pos="15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0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Company believes that these provisions, the insurance and the indemnity agreements are necessary to attract and retain talented and experienced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62" w:lineRule="exact"/>
        <w:rPr>
          <w:sz w:val="20"/>
          <w:szCs w:val="20"/>
          <w:color w:val="auto"/>
        </w:rPr>
      </w:pPr>
    </w:p>
    <w:p>
      <w:pPr>
        <w:ind w:left="1260" w:right="760" w:firstLine="360"/>
        <w:spacing w:after="0" w:line="282" w:lineRule="auto"/>
        <w:tabs>
          <w:tab w:leader="none" w:pos="18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included or incorporated by reference in this registration statement on Form S-3:</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20" w:type="dxa"/>
            <w:vAlign w:val="bottom"/>
            <w:tcBorders>
              <w:bottom w:val="single" w:sz="8" w:color="auto"/>
            </w:tcBorders>
            <w:gridSpan w:val="5"/>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w:t>
            </w:r>
          </w:p>
        </w:tc>
        <w:tc>
          <w:tcPr>
            <w:tcW w:w="4940" w:type="dxa"/>
            <w:vAlign w:val="bottom"/>
            <w:tcBorders>
              <w:bottom w:val="single" w:sz="8" w:color="auto"/>
            </w:tcBorders>
            <w:gridSpan w:val="14"/>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5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3200" w:type="dxa"/>
            <w:vAlign w:val="bottom"/>
            <w:gridSpan w:val="4"/>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r>
      <w:tr>
        <w:trPr>
          <w:trHeight w:val="90"/>
        </w:trPr>
        <w:tc>
          <w:tcPr>
            <w:tcW w:w="3720" w:type="dxa"/>
            <w:vAlign w:val="bottom"/>
            <w:gridSpan w:val="5"/>
          </w:tcPr>
          <w:p>
            <w:pPr>
              <w:ind w:left="20"/>
              <w:spacing w:after="0" w:line="90" w:lineRule="exact"/>
              <w:rPr>
                <w:sz w:val="20"/>
                <w:szCs w:val="20"/>
                <w:color w:val="auto"/>
              </w:rPr>
            </w:pPr>
            <w:r>
              <w:rPr>
                <w:rFonts w:ascii="Times New Roman" w:cs="Times New Roman" w:eastAsia="Times New Roman" w:hAnsi="Times New Roman"/>
                <w:sz w:val="10"/>
                <w:szCs w:val="10"/>
                <w:color w:val="auto"/>
              </w:rPr>
              <w:t>​ 1.1* Form of Underwriting Agreement</w:t>
            </w: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0"/>
        </w:trPr>
        <w:tc>
          <w:tcPr>
            <w:tcW w:w="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0" w:type="dxa"/>
            <w:vAlign w:val="bottom"/>
            <w:gridSpan w:val="4"/>
          </w:tcPr>
          <w:p>
            <w:pPr>
              <w:spacing w:after="0" w:line="181" w:lineRule="exact"/>
              <w:rPr>
                <w:rFonts w:ascii="Times New Roman" w:cs="Times New Roman" w:eastAsia="Times New Roman" w:hAnsi="Times New Roman"/>
                <w:sz w:val="18"/>
                <w:szCs w:val="18"/>
                <w:color w:val="auto"/>
              </w:rPr>
            </w:pPr>
            <w:hyperlink r:id="rId110">
              <w:r>
                <w:rPr>
                  <w:rFonts w:ascii="Times New Roman" w:cs="Times New Roman" w:eastAsia="Times New Roman" w:hAnsi="Times New Roman"/>
                  <w:sz w:val="18"/>
                  <w:szCs w:val="18"/>
                  <w:color w:val="auto"/>
                </w:rPr>
                <w:t>​</w:t>
              </w:r>
            </w:hyperlink>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41"/>
        </w:trPr>
        <w:tc>
          <w:tcPr>
            <w:tcW w:w="520" w:type="dxa"/>
            <w:vAlign w:val="bottom"/>
          </w:tcPr>
          <w:p>
            <w:pPr>
              <w:ind w:left="20"/>
              <w:spacing w:after="0" w:line="41" w:lineRule="exact"/>
              <w:rPr>
                <w:sz w:val="20"/>
                <w:szCs w:val="20"/>
                <w:color w:val="auto"/>
              </w:rPr>
            </w:pPr>
            <w:r>
              <w:rPr>
                <w:rFonts w:ascii="Times New Roman" w:cs="Times New Roman" w:eastAsia="Times New Roman" w:hAnsi="Times New Roman"/>
                <w:sz w:val="4"/>
                <w:szCs w:val="4"/>
                <w:color w:val="auto"/>
              </w:rPr>
              <w:t>​ 2.1</w:t>
            </w:r>
          </w:p>
        </w:tc>
        <w:tc>
          <w:tcPr>
            <w:tcW w:w="7900" w:type="dxa"/>
            <w:vAlign w:val="bottom"/>
            <w:tcBorders>
              <w:bottom w:val="single" w:sz="8" w:color="0000EE"/>
            </w:tcBorders>
            <w:gridSpan w:val="14"/>
          </w:tcPr>
          <w:p>
            <w:pPr>
              <w:spacing w:after="0" w:line="41" w:lineRule="exact"/>
              <w:rPr>
                <w:rFonts w:ascii="Times New Roman" w:cs="Times New Roman" w:eastAsia="Times New Roman" w:hAnsi="Times New Roman"/>
                <w:sz w:val="4"/>
                <w:szCs w:val="4"/>
                <w:color w:val="0000EE"/>
              </w:rPr>
            </w:pPr>
            <w:hyperlink r:id="rId110">
              <w:r>
                <w:rPr>
                  <w:rFonts w:ascii="Times New Roman" w:cs="Times New Roman" w:eastAsia="Times New Roman" w:hAnsi="Times New Roman"/>
                  <w:sz w:val="4"/>
                  <w:szCs w:val="4"/>
                  <w:color w:val="0000EE"/>
                </w:rPr>
                <w:t>Agreement and Plan of Merger, dated as of February 22, 2021, by and among Churchill Capital Corp IV,</w:t>
              </w:r>
            </w:hyperlink>
          </w:p>
        </w:tc>
        <w:tc>
          <w:tcPr>
            <w:tcW w:w="240" w:type="dxa"/>
            <w:vAlign w:val="bottom"/>
            <w:gridSpan w:val="4"/>
          </w:tcPr>
          <w:p>
            <w:pPr>
              <w:spacing w:after="0"/>
              <w:rPr>
                <w:sz w:val="3"/>
                <w:szCs w:val="3"/>
                <w:color w:val="auto"/>
              </w:rPr>
            </w:pPr>
          </w:p>
        </w:tc>
        <w:tc>
          <w:tcPr>
            <w:tcW w:w="40" w:type="dxa"/>
            <w:vAlign w:val="bottom"/>
          </w:tcPr>
          <w:p>
            <w:pPr>
              <w:spacing w:after="0"/>
              <w:rPr>
                <w:sz w:val="3"/>
                <w:szCs w:val="3"/>
                <w:color w:val="auto"/>
              </w:rPr>
            </w:pPr>
          </w:p>
        </w:tc>
      </w:tr>
      <w:tr>
        <w:trPr>
          <w:trHeight w:val="196"/>
        </w:trPr>
        <w:tc>
          <w:tcPr>
            <w:tcW w:w="520" w:type="dxa"/>
            <w:vAlign w:val="bottom"/>
          </w:tcPr>
          <w:p>
            <w:pPr>
              <w:spacing w:after="0"/>
              <w:rPr>
                <w:sz w:val="17"/>
                <w:szCs w:val="17"/>
                <w:color w:val="auto"/>
              </w:rPr>
            </w:pPr>
          </w:p>
        </w:tc>
        <w:tc>
          <w:tcPr>
            <w:tcW w:w="8140" w:type="dxa"/>
            <w:vAlign w:val="bottom"/>
            <w:gridSpan w:val="18"/>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Air Merger Sub, Inc., and Atieva, Inc. (incorporated by reference to Exhibit 2.1 to Churchill Capital Corp</w:t>
              </w:r>
            </w:hyperlink>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79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IV’s Current Report on Form 8-K filed February 22, 2021)</w:t>
              </w:r>
            </w:hyperlink>
          </w:p>
        </w:tc>
        <w:tc>
          <w:tcPr>
            <w:tcW w:w="1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auto"/>
              </w:rPr>
            </w:pPr>
            <w:hyperlink r:id="rId111">
              <w:r>
                <w:rPr>
                  <w:rFonts w:ascii="Times New Roman" w:cs="Times New Roman" w:eastAsia="Times New Roman" w:hAnsi="Times New Roman"/>
                  <w:sz w:val="18"/>
                  <w:szCs w:val="18"/>
                  <w:color w:val="auto"/>
                </w:rPr>
                <w:t>​</w:t>
              </w:r>
            </w:hyperlink>
          </w:p>
        </w:tc>
        <w:tc>
          <w:tcPr>
            <w:tcW w:w="9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41"/>
        </w:trPr>
        <w:tc>
          <w:tcPr>
            <w:tcW w:w="520" w:type="dxa"/>
            <w:vAlign w:val="bottom"/>
          </w:tcPr>
          <w:p>
            <w:pPr>
              <w:ind w:left="20"/>
              <w:spacing w:after="0" w:line="41" w:lineRule="exact"/>
              <w:rPr>
                <w:sz w:val="20"/>
                <w:szCs w:val="20"/>
                <w:color w:val="auto"/>
              </w:rPr>
            </w:pPr>
            <w:r>
              <w:rPr>
                <w:rFonts w:ascii="Times New Roman" w:cs="Times New Roman" w:eastAsia="Times New Roman" w:hAnsi="Times New Roman"/>
                <w:sz w:val="4"/>
                <w:szCs w:val="4"/>
                <w:color w:val="auto"/>
              </w:rPr>
              <w:t>​ 3.1</w:t>
            </w:r>
          </w:p>
        </w:tc>
        <w:tc>
          <w:tcPr>
            <w:tcW w:w="8100" w:type="dxa"/>
            <w:vAlign w:val="bottom"/>
            <w:tcBorders>
              <w:bottom w:val="single" w:sz="8" w:color="0000EE"/>
            </w:tcBorders>
            <w:gridSpan w:val="17"/>
          </w:tcPr>
          <w:p>
            <w:pPr>
              <w:spacing w:after="0" w:line="41" w:lineRule="exact"/>
              <w:rPr>
                <w:rFonts w:ascii="Times New Roman" w:cs="Times New Roman" w:eastAsia="Times New Roman" w:hAnsi="Times New Roman"/>
                <w:sz w:val="4"/>
                <w:szCs w:val="4"/>
                <w:color w:val="0000EE"/>
              </w:rPr>
            </w:pPr>
            <w:hyperlink r:id="rId111">
              <w:r>
                <w:rPr>
                  <w:rFonts w:ascii="Times New Roman" w:cs="Times New Roman" w:eastAsia="Times New Roman" w:hAnsi="Times New Roman"/>
                  <w:sz w:val="4"/>
                  <w:szCs w:val="4"/>
                  <w:color w:val="0000EE"/>
                </w:rPr>
                <w:t>Second Amended and Restated Certificate of Incorporation (incorporated by reference to Exhibit 3.1 of the</w:t>
              </w:r>
            </w:hyperlink>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6"/>
        </w:trPr>
        <w:tc>
          <w:tcPr>
            <w:tcW w:w="520" w:type="dxa"/>
            <w:vAlign w:val="bottom"/>
          </w:tcPr>
          <w:p>
            <w:pPr>
              <w:spacing w:after="0"/>
              <w:rPr>
                <w:sz w:val="17"/>
                <w:szCs w:val="17"/>
                <w:color w:val="auto"/>
              </w:rPr>
            </w:pPr>
          </w:p>
        </w:tc>
        <w:tc>
          <w:tcPr>
            <w:tcW w:w="8140" w:type="dxa"/>
            <w:vAlign w:val="bottom"/>
            <w:gridSpan w:val="1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Company’s Current Report on Form 8-K filed July 26, 2021)</w:t>
              </w:r>
            </w:hyperlink>
          </w:p>
        </w:tc>
        <w:tc>
          <w:tcPr>
            <w:tcW w:w="40" w:type="dxa"/>
            <w:vAlign w:val="bottom"/>
          </w:tcPr>
          <w:p>
            <w:pPr>
              <w:spacing w:after="0"/>
              <w:rPr>
                <w:sz w:val="17"/>
                <w:szCs w:val="17"/>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w:t>
              </w:r>
            </w:hyperlink>
          </w:p>
        </w:tc>
        <w:tc>
          <w:tcPr>
            <w:tcW w:w="9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41"/>
        </w:trPr>
        <w:tc>
          <w:tcPr>
            <w:tcW w:w="520" w:type="dxa"/>
            <w:vAlign w:val="bottom"/>
          </w:tcPr>
          <w:p>
            <w:pPr>
              <w:ind w:left="20"/>
              <w:spacing w:after="0" w:line="41" w:lineRule="exact"/>
              <w:rPr>
                <w:sz w:val="20"/>
                <w:szCs w:val="20"/>
                <w:color w:val="auto"/>
              </w:rPr>
            </w:pPr>
            <w:r>
              <w:rPr>
                <w:rFonts w:ascii="Times New Roman" w:cs="Times New Roman" w:eastAsia="Times New Roman" w:hAnsi="Times New Roman"/>
                <w:sz w:val="4"/>
                <w:szCs w:val="4"/>
                <w:color w:val="auto"/>
              </w:rPr>
              <w:t>​ 3.2</w:t>
            </w:r>
          </w:p>
        </w:tc>
        <w:tc>
          <w:tcPr>
            <w:tcW w:w="8140" w:type="dxa"/>
            <w:vAlign w:val="bottom"/>
            <w:gridSpan w:val="18"/>
          </w:tcPr>
          <w:p>
            <w:pPr>
              <w:spacing w:after="0" w:line="41" w:lineRule="exact"/>
              <w:rPr>
                <w:rFonts w:ascii="Times New Roman" w:cs="Times New Roman" w:eastAsia="Times New Roman" w:hAnsi="Times New Roman"/>
                <w:sz w:val="4"/>
                <w:szCs w:val="4"/>
                <w:color w:val="0000EE"/>
              </w:rPr>
            </w:pPr>
            <w:hyperlink r:id="rId112">
              <w:r>
                <w:rPr>
                  <w:rFonts w:ascii="Times New Roman" w:cs="Times New Roman" w:eastAsia="Times New Roman" w:hAnsi="Times New Roman"/>
                  <w:sz w:val="4"/>
                  <w:szCs w:val="4"/>
                  <w:color w:val="0000EE"/>
                </w:rPr>
                <w:t>Amended and Restated Bylaws (incorporated by reference to Exhibit 3.2 of the Company’s Current Report</w:t>
              </w:r>
            </w:hyperlink>
          </w:p>
        </w:tc>
        <w:tc>
          <w:tcPr>
            <w:tcW w:w="40" w:type="dxa"/>
            <w:vAlign w:val="bottom"/>
          </w:tcPr>
          <w:p>
            <w:pPr>
              <w:spacing w:after="0"/>
              <w:rPr>
                <w:sz w:val="3"/>
                <w:szCs w:val="3"/>
                <w:color w:val="auto"/>
              </w:rPr>
            </w:pPr>
          </w:p>
        </w:tc>
      </w:tr>
      <w:tr>
        <w:trPr>
          <w:trHeight w:val="196"/>
        </w:trPr>
        <w:tc>
          <w:tcPr>
            <w:tcW w:w="52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on Form 8-K filed July 26, 2021)</w:t>
              </w:r>
            </w:hyperlink>
          </w:p>
        </w:tc>
        <w:tc>
          <w:tcPr>
            <w:tcW w:w="680" w:type="dxa"/>
            <w:vAlign w:val="bottom"/>
            <w:tcBorders>
              <w:top w:val="single" w:sz="8" w:color="0000EE"/>
            </w:tcBorders>
            <w:gridSpan w:val="2"/>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gridSpan w:val="4"/>
          </w:tcPr>
          <w:p>
            <w:pPr>
              <w:spacing w:after="0"/>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w:t>
              </w:r>
            </w:hyperlink>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20" w:type="dxa"/>
            <w:vAlign w:val="bottom"/>
          </w:tcPr>
          <w:p>
            <w:pPr>
              <w:ind w:left="20"/>
              <w:spacing w:after="0" w:line="41" w:lineRule="exact"/>
              <w:rPr>
                <w:sz w:val="20"/>
                <w:szCs w:val="20"/>
                <w:color w:val="auto"/>
              </w:rPr>
            </w:pPr>
            <w:r>
              <w:rPr>
                <w:rFonts w:ascii="Times New Roman" w:cs="Times New Roman" w:eastAsia="Times New Roman" w:hAnsi="Times New Roman"/>
                <w:sz w:val="4"/>
                <w:szCs w:val="4"/>
                <w:color w:val="auto"/>
              </w:rPr>
              <w:t>​ 4.1</w:t>
            </w:r>
          </w:p>
        </w:tc>
        <w:tc>
          <w:tcPr>
            <w:tcW w:w="8140" w:type="dxa"/>
            <w:vAlign w:val="bottom"/>
            <w:gridSpan w:val="18"/>
          </w:tcPr>
          <w:p>
            <w:pPr>
              <w:spacing w:after="0" w:line="41" w:lineRule="exact"/>
              <w:rPr>
                <w:rFonts w:ascii="Times New Roman" w:cs="Times New Roman" w:eastAsia="Times New Roman" w:hAnsi="Times New Roman"/>
                <w:sz w:val="4"/>
                <w:szCs w:val="4"/>
                <w:color w:val="0000EE"/>
              </w:rPr>
            </w:pPr>
            <w:hyperlink r:id="rId113">
              <w:r>
                <w:rPr>
                  <w:rFonts w:ascii="Times New Roman" w:cs="Times New Roman" w:eastAsia="Times New Roman" w:hAnsi="Times New Roman"/>
                  <w:sz w:val="4"/>
                  <w:szCs w:val="4"/>
                  <w:color w:val="0000EE"/>
                </w:rPr>
                <w:t>Specimen Class A Common Stock Certificate of Lucid Group, Inc. (incorporated by reference to</w:t>
              </w:r>
            </w:hyperlink>
          </w:p>
        </w:tc>
        <w:tc>
          <w:tcPr>
            <w:tcW w:w="40" w:type="dxa"/>
            <w:vAlign w:val="bottom"/>
          </w:tcPr>
          <w:p>
            <w:pPr>
              <w:spacing w:after="0"/>
              <w:rPr>
                <w:sz w:val="3"/>
                <w:szCs w:val="3"/>
                <w:color w:val="auto"/>
              </w:rPr>
            </w:pPr>
          </w:p>
        </w:tc>
      </w:tr>
      <w:tr>
        <w:trPr>
          <w:trHeight w:val="196"/>
        </w:trPr>
        <w:tc>
          <w:tcPr>
            <w:tcW w:w="520" w:type="dxa"/>
            <w:vAlign w:val="bottom"/>
          </w:tcPr>
          <w:p>
            <w:pPr>
              <w:spacing w:after="0"/>
              <w:rPr>
                <w:sz w:val="17"/>
                <w:szCs w:val="17"/>
                <w:color w:val="auto"/>
              </w:rPr>
            </w:pPr>
          </w:p>
        </w:tc>
        <w:tc>
          <w:tcPr>
            <w:tcW w:w="7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Exhibit 4.1 to the Company’s Current Report on Form 8-K filed on July 26, 2021)</w:t>
              </w:r>
            </w:hyperlink>
          </w:p>
        </w:tc>
        <w:tc>
          <w:tcPr>
            <w:tcW w:w="86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68"/>
        </w:trPr>
        <w:tc>
          <w:tcPr>
            <w:tcW w:w="52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 4.2</w:t>
            </w:r>
          </w:p>
        </w:tc>
        <w:tc>
          <w:tcPr>
            <w:tcW w:w="8140" w:type="dxa"/>
            <w:vAlign w:val="bottom"/>
            <w:gridSpan w:val="18"/>
          </w:tcPr>
          <w:p>
            <w:pPr>
              <w:spacing w:after="0" w:line="68" w:lineRule="exact"/>
              <w:rPr>
                <w:rFonts w:ascii="Times New Roman" w:cs="Times New Roman" w:eastAsia="Times New Roman" w:hAnsi="Times New Roman"/>
                <w:sz w:val="7"/>
                <w:szCs w:val="7"/>
                <w:color w:val="0000EE"/>
              </w:rPr>
            </w:pPr>
            <w:hyperlink r:id="rId114">
              <w:r>
                <w:rPr>
                  <w:rFonts w:ascii="Times New Roman" w:cs="Times New Roman" w:eastAsia="Times New Roman" w:hAnsi="Times New Roman"/>
                  <w:sz w:val="7"/>
                  <w:szCs w:val="7"/>
                  <w:color w:val="0000EE"/>
                </w:rPr>
                <w:t>Specimen Warrant Certificate (included in Exhibit 4.3)</w:t>
              </w:r>
            </w:hyperlink>
          </w:p>
        </w:tc>
        <w:tc>
          <w:tcPr>
            <w:tcW w:w="40" w:type="dxa"/>
            <w:vAlign w:val="bottom"/>
          </w:tcPr>
          <w:p>
            <w:pPr>
              <w:spacing w:after="0"/>
              <w:rPr>
                <w:sz w:val="5"/>
                <w:szCs w:val="5"/>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w:t>
              </w:r>
            </w:hyperlink>
          </w:p>
        </w:tc>
        <w:tc>
          <w:tcPr>
            <w:tcW w:w="9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40"/>
        </w:trPr>
        <w:tc>
          <w:tcPr>
            <w:tcW w:w="520" w:type="dxa"/>
            <w:vAlign w:val="bottom"/>
          </w:tcPr>
          <w:p>
            <w:pPr>
              <w:ind w:left="20"/>
              <w:spacing w:after="0" w:line="41" w:lineRule="exact"/>
              <w:rPr>
                <w:sz w:val="20"/>
                <w:szCs w:val="20"/>
                <w:color w:val="auto"/>
              </w:rPr>
            </w:pPr>
            <w:r>
              <w:rPr>
                <w:rFonts w:ascii="Times New Roman" w:cs="Times New Roman" w:eastAsia="Times New Roman" w:hAnsi="Times New Roman"/>
                <w:sz w:val="4"/>
                <w:szCs w:val="4"/>
                <w:color w:val="auto"/>
              </w:rPr>
              <w:t>​ 4.3</w:t>
            </w:r>
          </w:p>
        </w:tc>
        <w:tc>
          <w:tcPr>
            <w:tcW w:w="7640" w:type="dxa"/>
            <w:vAlign w:val="bottom"/>
            <w:tcBorders>
              <w:bottom w:val="single" w:sz="8" w:color="0000EE"/>
            </w:tcBorders>
            <w:gridSpan w:val="12"/>
          </w:tcPr>
          <w:p>
            <w:pPr>
              <w:spacing w:after="0" w:line="41" w:lineRule="exact"/>
              <w:rPr>
                <w:rFonts w:ascii="Times New Roman" w:cs="Times New Roman" w:eastAsia="Times New Roman" w:hAnsi="Times New Roman"/>
                <w:sz w:val="4"/>
                <w:szCs w:val="4"/>
                <w:color w:val="0000EE"/>
              </w:rPr>
            </w:pPr>
            <w:hyperlink r:id="rId114">
              <w:r>
                <w:rPr>
                  <w:rFonts w:ascii="Times New Roman" w:cs="Times New Roman" w:eastAsia="Times New Roman" w:hAnsi="Times New Roman"/>
                  <w:sz w:val="4"/>
                  <w:szCs w:val="4"/>
                  <w:color w:val="0000EE"/>
                </w:rPr>
                <w:t>Warrant Agreement, dated July 29, 2020, between Continental Stock Transfer &amp; Trust Company and</w:t>
              </w:r>
            </w:hyperlink>
          </w:p>
        </w:tc>
        <w:tc>
          <w:tcPr>
            <w:tcW w:w="500" w:type="dxa"/>
            <w:vAlign w:val="bottom"/>
            <w:gridSpan w:val="6"/>
          </w:tcPr>
          <w:p>
            <w:pPr>
              <w:spacing w:after="0"/>
              <w:rPr>
                <w:sz w:val="3"/>
                <w:szCs w:val="3"/>
                <w:color w:val="auto"/>
              </w:rPr>
            </w:pPr>
          </w:p>
        </w:tc>
        <w:tc>
          <w:tcPr>
            <w:tcW w:w="40" w:type="dxa"/>
            <w:vAlign w:val="bottom"/>
          </w:tcPr>
          <w:p>
            <w:pPr>
              <w:spacing w:after="0"/>
              <w:rPr>
                <w:sz w:val="3"/>
                <w:szCs w:val="3"/>
                <w:color w:val="auto"/>
              </w:rPr>
            </w:pPr>
          </w:p>
        </w:tc>
      </w:tr>
      <w:tr>
        <w:trPr>
          <w:trHeight w:val="196"/>
        </w:trPr>
        <w:tc>
          <w:tcPr>
            <w:tcW w:w="520" w:type="dxa"/>
            <w:vAlign w:val="bottom"/>
          </w:tcPr>
          <w:p>
            <w:pPr>
              <w:spacing w:after="0"/>
              <w:rPr>
                <w:sz w:val="17"/>
                <w:szCs w:val="17"/>
                <w:color w:val="auto"/>
              </w:rPr>
            </w:pPr>
          </w:p>
        </w:tc>
        <w:tc>
          <w:tcPr>
            <w:tcW w:w="8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Churchill Capital Corp IV (incorporated by reference to Exhibit 4.1 to Churchill Capital Corp IV’s Current</w:t>
              </w:r>
            </w:hyperlink>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3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Report on Form 8-K filed August 3, 2020)</w:t>
              </w:r>
            </w:hyperlink>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gridSpan w:val="4"/>
          </w:tcPr>
          <w:p>
            <w:pPr>
              <w:spacing w:after="0"/>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w:t>
              </w:r>
            </w:hyperlink>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20" w:type="dxa"/>
            <w:vAlign w:val="bottom"/>
          </w:tcPr>
          <w:p>
            <w:pPr>
              <w:ind w:left="20"/>
              <w:spacing w:after="0" w:line="41" w:lineRule="exact"/>
              <w:rPr>
                <w:sz w:val="20"/>
                <w:szCs w:val="20"/>
                <w:color w:val="auto"/>
              </w:rPr>
            </w:pPr>
            <w:r>
              <w:rPr>
                <w:rFonts w:ascii="Times New Roman" w:cs="Times New Roman" w:eastAsia="Times New Roman" w:hAnsi="Times New Roman"/>
                <w:sz w:val="4"/>
                <w:szCs w:val="4"/>
                <w:color w:val="auto"/>
              </w:rPr>
              <w:t>​ 4.4</w:t>
            </w:r>
          </w:p>
        </w:tc>
        <w:tc>
          <w:tcPr>
            <w:tcW w:w="7660" w:type="dxa"/>
            <w:vAlign w:val="bottom"/>
            <w:tcBorders>
              <w:bottom w:val="single" w:sz="8" w:color="0000EE"/>
            </w:tcBorders>
            <w:gridSpan w:val="13"/>
          </w:tcPr>
          <w:p>
            <w:pPr>
              <w:spacing w:after="0" w:line="41" w:lineRule="exact"/>
              <w:rPr>
                <w:rFonts w:ascii="Times New Roman" w:cs="Times New Roman" w:eastAsia="Times New Roman" w:hAnsi="Times New Roman"/>
                <w:sz w:val="4"/>
                <w:szCs w:val="4"/>
                <w:color w:val="0000EE"/>
              </w:rPr>
            </w:pPr>
            <w:hyperlink r:id="rId115">
              <w:r>
                <w:rPr>
                  <w:rFonts w:ascii="Times New Roman" w:cs="Times New Roman" w:eastAsia="Times New Roman" w:hAnsi="Times New Roman"/>
                  <w:sz w:val="4"/>
                  <w:szCs w:val="4"/>
                  <w:color w:val="0000EE"/>
                </w:rPr>
                <w:t>Investor Rights Agreement, dated as of February 22, 2021, by and among Churchill Capital Corp IV,</w:t>
              </w:r>
            </w:hyperlink>
          </w:p>
        </w:tc>
        <w:tc>
          <w:tcPr>
            <w:tcW w:w="480" w:type="dxa"/>
            <w:vAlign w:val="bottom"/>
            <w:gridSpan w:val="5"/>
          </w:tcPr>
          <w:p>
            <w:pPr>
              <w:spacing w:after="0"/>
              <w:rPr>
                <w:sz w:val="3"/>
                <w:szCs w:val="3"/>
                <w:color w:val="auto"/>
              </w:rPr>
            </w:pPr>
          </w:p>
        </w:tc>
        <w:tc>
          <w:tcPr>
            <w:tcW w:w="40" w:type="dxa"/>
            <w:vAlign w:val="bottom"/>
          </w:tcPr>
          <w:p>
            <w:pPr>
              <w:spacing w:after="0"/>
              <w:rPr>
                <w:sz w:val="3"/>
                <w:szCs w:val="3"/>
                <w:color w:val="auto"/>
              </w:rPr>
            </w:pPr>
          </w:p>
        </w:tc>
      </w:tr>
      <w:tr>
        <w:trPr>
          <w:trHeight w:val="196"/>
        </w:trPr>
        <w:tc>
          <w:tcPr>
            <w:tcW w:w="520" w:type="dxa"/>
            <w:vAlign w:val="bottom"/>
          </w:tcPr>
          <w:p>
            <w:pPr>
              <w:spacing w:after="0"/>
              <w:rPr>
                <w:sz w:val="17"/>
                <w:szCs w:val="17"/>
                <w:color w:val="auto"/>
              </w:rPr>
            </w:pPr>
          </w:p>
        </w:tc>
        <w:tc>
          <w:tcPr>
            <w:tcW w:w="7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Ayar Third Investment Company, Churchill Sponsor IV LLC and the other parties named therein</w:t>
              </w:r>
            </w:hyperlink>
          </w:p>
        </w:tc>
        <w:tc>
          <w:tcPr>
            <w:tcW w:w="78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8140" w:type="dxa"/>
            <w:vAlign w:val="bottom"/>
            <w:gridSpan w:val="1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(incorporated by reference to Exhibit 10.1 to Churchill Capital Corp IV’s Current Report on</w:t>
              </w:r>
            </w:hyperlink>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32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8-K filed February 22, 2021)</w:t>
              </w:r>
            </w:hyperlink>
          </w:p>
        </w:tc>
        <w:tc>
          <w:tcPr>
            <w:tcW w:w="9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68"/>
        </w:trPr>
        <w:tc>
          <w:tcPr>
            <w:tcW w:w="52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 4.5^</w:t>
            </w:r>
          </w:p>
        </w:tc>
        <w:tc>
          <w:tcPr>
            <w:tcW w:w="3200" w:type="dxa"/>
            <w:vAlign w:val="bottom"/>
            <w:gridSpan w:val="4"/>
          </w:tcPr>
          <w:p>
            <w:pPr>
              <w:spacing w:after="0" w:line="68" w:lineRule="exact"/>
              <w:rPr>
                <w:sz w:val="20"/>
                <w:szCs w:val="20"/>
                <w:color w:val="auto"/>
              </w:rPr>
            </w:pPr>
            <w:r>
              <w:rPr>
                <w:rFonts w:ascii="Times New Roman" w:cs="Times New Roman" w:eastAsia="Times New Roman" w:hAnsi="Times New Roman"/>
                <w:sz w:val="7"/>
                <w:szCs w:val="7"/>
                <w:color w:val="0000EE"/>
              </w:rPr>
              <w:t>Form of Indenture</w:t>
            </w: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
        </w:trPr>
        <w:tc>
          <w:tcPr>
            <w:tcW w:w="5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960"/>
          </w:cols>
          <w:pgMar w:left="580" w:top="97" w:right="1359" w:bottom="1440" w:gutter="0" w:footer="0" w:header="0"/>
        </w:sectPr>
      </w:pPr>
    </w:p>
    <w:tbl>
      <w:tblPr>
        <w:tblLayout w:type="fixed"/>
        <w:tblInd w:w="1260" w:type="dxa"/>
        <w:tblCellMar>
          <w:top w:w="0" w:type="dxa"/>
          <w:left w:w="0" w:type="dxa"/>
          <w:bottom w:w="0" w:type="dxa"/>
          <w:right w:w="0" w:type="dxa"/>
        </w:tblCellMar>
      </w:tblP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90"/>
        </w:trPr>
        <w:tc>
          <w:tcPr>
            <w:tcW w:w="7860" w:type="dxa"/>
            <w:vAlign w:val="bottom"/>
            <w:gridSpan w:val="8"/>
          </w:tcPr>
          <w:p>
            <w:pPr>
              <w:ind w:left="20"/>
              <w:spacing w:after="0" w:line="90" w:lineRule="exact"/>
              <w:rPr>
                <w:sz w:val="20"/>
                <w:szCs w:val="20"/>
                <w:color w:val="auto"/>
              </w:rPr>
            </w:pPr>
            <w:r>
              <w:rPr>
                <w:rFonts w:ascii="Times New Roman" w:cs="Times New Roman" w:eastAsia="Times New Roman" w:hAnsi="Times New Roman"/>
                <w:sz w:val="10"/>
                <w:szCs w:val="10"/>
                <w:color w:val="auto"/>
              </w:rPr>
              <w:t>​ 4.6* Form of Note</w:t>
            </w:r>
          </w:p>
        </w:tc>
      </w:tr>
      <w:tr>
        <w:trPr>
          <w:trHeight w:val="180"/>
        </w:trPr>
        <w:tc>
          <w:tcPr>
            <w:tcW w:w="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90"/>
        </w:trPr>
        <w:tc>
          <w:tcPr>
            <w:tcW w:w="7860" w:type="dxa"/>
            <w:vAlign w:val="bottom"/>
            <w:gridSpan w:val="8"/>
          </w:tcPr>
          <w:p>
            <w:pPr>
              <w:ind w:left="20"/>
              <w:spacing w:after="0" w:line="90" w:lineRule="exact"/>
              <w:rPr>
                <w:sz w:val="20"/>
                <w:szCs w:val="20"/>
                <w:color w:val="auto"/>
              </w:rPr>
            </w:pPr>
            <w:r>
              <w:rPr>
                <w:rFonts w:ascii="Times New Roman" w:cs="Times New Roman" w:eastAsia="Times New Roman" w:hAnsi="Times New Roman"/>
                <w:sz w:val="10"/>
                <w:szCs w:val="10"/>
                <w:color w:val="auto"/>
              </w:rPr>
              <w:t>​ 4.7* Form of Warrant Agreement</w:t>
            </w:r>
          </w:p>
        </w:tc>
      </w:tr>
      <w:tr>
        <w:trPr>
          <w:trHeight w:val="180"/>
        </w:trPr>
        <w:tc>
          <w:tcPr>
            <w:tcW w:w="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90"/>
        </w:trPr>
        <w:tc>
          <w:tcPr>
            <w:tcW w:w="7860" w:type="dxa"/>
            <w:vAlign w:val="bottom"/>
            <w:gridSpan w:val="8"/>
          </w:tcPr>
          <w:p>
            <w:pPr>
              <w:ind w:left="20"/>
              <w:spacing w:after="0" w:line="90" w:lineRule="exact"/>
              <w:rPr>
                <w:sz w:val="20"/>
                <w:szCs w:val="20"/>
                <w:color w:val="auto"/>
              </w:rPr>
            </w:pPr>
            <w:r>
              <w:rPr>
                <w:rFonts w:ascii="Times New Roman" w:cs="Times New Roman" w:eastAsia="Times New Roman" w:hAnsi="Times New Roman"/>
                <w:sz w:val="10"/>
                <w:szCs w:val="10"/>
                <w:color w:val="auto"/>
              </w:rPr>
              <w:t>​ 4.8* Form of Purchase Contract</w:t>
            </w:r>
          </w:p>
        </w:tc>
      </w:tr>
      <w:tr>
        <w:trPr>
          <w:trHeight w:val="180"/>
        </w:trPr>
        <w:tc>
          <w:tcPr>
            <w:tcW w:w="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90"/>
        </w:trPr>
        <w:tc>
          <w:tcPr>
            <w:tcW w:w="7860" w:type="dxa"/>
            <w:vAlign w:val="bottom"/>
            <w:gridSpan w:val="8"/>
          </w:tcPr>
          <w:p>
            <w:pPr>
              <w:ind w:left="20"/>
              <w:spacing w:after="0" w:line="90" w:lineRule="exact"/>
              <w:rPr>
                <w:sz w:val="20"/>
                <w:szCs w:val="20"/>
                <w:color w:val="auto"/>
              </w:rPr>
            </w:pPr>
            <w:r>
              <w:rPr>
                <w:rFonts w:ascii="Times New Roman" w:cs="Times New Roman" w:eastAsia="Times New Roman" w:hAnsi="Times New Roman"/>
                <w:sz w:val="10"/>
                <w:szCs w:val="10"/>
                <w:color w:val="auto"/>
              </w:rPr>
              <w:t>​ 4.9* Form of Unit Agreement</w:t>
            </w:r>
          </w:p>
        </w:tc>
      </w:tr>
      <w:tr>
        <w:trPr>
          <w:trHeight w:val="180"/>
        </w:trPr>
        <w:tc>
          <w:tcPr>
            <w:tcW w:w="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90"/>
        </w:trPr>
        <w:tc>
          <w:tcPr>
            <w:tcW w:w="7860" w:type="dxa"/>
            <w:vAlign w:val="bottom"/>
            <w:gridSpan w:val="8"/>
          </w:tcPr>
          <w:p>
            <w:pPr>
              <w:ind w:left="20"/>
              <w:spacing w:after="0" w:line="90" w:lineRule="exact"/>
              <w:rPr>
                <w:sz w:val="20"/>
                <w:szCs w:val="20"/>
                <w:color w:val="auto"/>
              </w:rPr>
            </w:pPr>
            <w:r>
              <w:rPr>
                <w:rFonts w:ascii="Times New Roman" w:cs="Times New Roman" w:eastAsia="Times New Roman" w:hAnsi="Times New Roman"/>
                <w:sz w:val="10"/>
                <w:szCs w:val="10"/>
                <w:color w:val="auto"/>
              </w:rPr>
              <w:t>​4.10* Form of Deposit Agreement (including Form of Depositary Receipt)</w:t>
            </w:r>
          </w:p>
        </w:tc>
      </w:tr>
      <w:tr>
        <w:trPr>
          <w:trHeight w:val="180"/>
        </w:trPr>
        <w:tc>
          <w:tcPr>
            <w:tcW w:w="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68"/>
        </w:trPr>
        <w:tc>
          <w:tcPr>
            <w:tcW w:w="52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 5.1^</w:t>
            </w:r>
          </w:p>
        </w:tc>
        <w:tc>
          <w:tcPr>
            <w:tcW w:w="3060" w:type="dxa"/>
            <w:vAlign w:val="bottom"/>
            <w:tcBorders>
              <w:bottom w:val="single" w:sz="8" w:color="0000EE"/>
            </w:tcBorders>
            <w:gridSpan w:val="4"/>
          </w:tcPr>
          <w:p>
            <w:pPr>
              <w:spacing w:after="0" w:line="68" w:lineRule="exact"/>
              <w:rPr>
                <w:sz w:val="20"/>
                <w:szCs w:val="20"/>
                <w:color w:val="auto"/>
              </w:rPr>
            </w:pPr>
            <w:r>
              <w:rPr>
                <w:rFonts w:ascii="Times New Roman" w:cs="Times New Roman" w:eastAsia="Times New Roman" w:hAnsi="Times New Roman"/>
                <w:sz w:val="7"/>
                <w:szCs w:val="7"/>
                <w:color w:val="0000EE"/>
              </w:rPr>
              <w:t>Opinion of Davis Polk &amp; Wardwell LLP</w:t>
            </w:r>
          </w:p>
        </w:tc>
        <w:tc>
          <w:tcPr>
            <w:tcW w:w="4280" w:type="dxa"/>
            <w:vAlign w:val="bottom"/>
            <w:gridSpan w:val="3"/>
          </w:tcPr>
          <w:p>
            <w:pPr>
              <w:spacing w:after="0"/>
              <w:rPr>
                <w:sz w:val="5"/>
                <w:szCs w:val="5"/>
                <w:color w:val="auto"/>
              </w:rPr>
            </w:pPr>
          </w:p>
        </w:tc>
      </w:tr>
      <w:tr>
        <w:trPr>
          <w:trHeight w:val="183"/>
        </w:trPr>
        <w:tc>
          <w:tcPr>
            <w:tcW w:w="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68"/>
        </w:trPr>
        <w:tc>
          <w:tcPr>
            <w:tcW w:w="52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​23.1^</w:t>
            </w:r>
          </w:p>
        </w:tc>
        <w:tc>
          <w:tcPr>
            <w:tcW w:w="5480" w:type="dxa"/>
            <w:vAlign w:val="bottom"/>
            <w:tcBorders>
              <w:bottom w:val="single" w:sz="8" w:color="0000EE"/>
            </w:tcBorders>
            <w:gridSpan w:val="5"/>
          </w:tcPr>
          <w:p>
            <w:pPr>
              <w:spacing w:after="0" w:line="68" w:lineRule="exact"/>
              <w:rPr>
                <w:sz w:val="20"/>
                <w:szCs w:val="20"/>
                <w:color w:val="auto"/>
              </w:rPr>
            </w:pPr>
            <w:r>
              <w:rPr>
                <w:rFonts w:ascii="Times New Roman" w:cs="Times New Roman" w:eastAsia="Times New Roman" w:hAnsi="Times New Roman"/>
                <w:sz w:val="7"/>
                <w:szCs w:val="7"/>
                <w:color w:val="0000EE"/>
              </w:rPr>
              <w:t>Consent of Davis Polk &amp; Wardwell LLP (included in Exhibit 5.1 hereto)</w:t>
            </w:r>
          </w:p>
        </w:tc>
        <w:tc>
          <w:tcPr>
            <w:tcW w:w="1860" w:type="dxa"/>
            <w:vAlign w:val="bottom"/>
            <w:gridSpan w:val="2"/>
          </w:tcPr>
          <w:p>
            <w:pPr>
              <w:spacing w:after="0"/>
              <w:rPr>
                <w:sz w:val="5"/>
                <w:szCs w:val="5"/>
                <w:color w:val="auto"/>
              </w:rPr>
            </w:pPr>
          </w:p>
        </w:tc>
      </w:tr>
      <w:tr>
        <w:trPr>
          <w:trHeight w:val="183"/>
        </w:trPr>
        <w:tc>
          <w:tcPr>
            <w:tcW w:w="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3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68"/>
        </w:trPr>
        <w:tc>
          <w:tcPr>
            <w:tcW w:w="52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​23.2^</w:t>
            </w:r>
          </w:p>
        </w:tc>
        <w:tc>
          <w:tcPr>
            <w:tcW w:w="7340" w:type="dxa"/>
            <w:vAlign w:val="bottom"/>
            <w:gridSpan w:val="7"/>
          </w:tcPr>
          <w:p>
            <w:pPr>
              <w:spacing w:after="0" w:line="68" w:lineRule="exact"/>
              <w:rPr>
                <w:sz w:val="20"/>
                <w:szCs w:val="20"/>
                <w:color w:val="auto"/>
              </w:rPr>
            </w:pPr>
            <w:r>
              <w:rPr>
                <w:rFonts w:ascii="Times New Roman" w:cs="Times New Roman" w:eastAsia="Times New Roman" w:hAnsi="Times New Roman"/>
                <w:sz w:val="7"/>
                <w:szCs w:val="7"/>
                <w:color w:val="0000EE"/>
              </w:rPr>
              <w:t>Consent of Grant Thornton LLP</w:t>
            </w:r>
          </w:p>
        </w:tc>
      </w:tr>
      <w:tr>
        <w:trPr>
          <w:trHeight w:val="183"/>
        </w:trPr>
        <w:tc>
          <w:tcPr>
            <w:tcW w:w="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4920" w:type="dxa"/>
            <w:vAlign w:val="bottom"/>
            <w:gridSpan w:val="4"/>
          </w:tcPr>
          <w:p>
            <w:pPr>
              <w:spacing w:after="0"/>
              <w:rPr>
                <w:sz w:val="15"/>
                <w:szCs w:val="15"/>
                <w:color w:val="auto"/>
              </w:rPr>
            </w:pPr>
          </w:p>
        </w:tc>
      </w:tr>
      <w:tr>
        <w:trPr>
          <w:trHeight w:val="68"/>
        </w:trPr>
        <w:tc>
          <w:tcPr>
            <w:tcW w:w="52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​24.1</w:t>
            </w:r>
          </w:p>
        </w:tc>
        <w:tc>
          <w:tcPr>
            <w:tcW w:w="7340" w:type="dxa"/>
            <w:vAlign w:val="bottom"/>
            <w:gridSpan w:val="7"/>
          </w:tcPr>
          <w:p>
            <w:pPr>
              <w:spacing w:after="0" w:line="68" w:lineRule="exact"/>
              <w:rPr>
                <w:sz w:val="20"/>
                <w:szCs w:val="20"/>
                <w:color w:val="auto"/>
              </w:rPr>
            </w:pPr>
            <w:r>
              <w:rPr>
                <w:rFonts w:ascii="Times New Roman" w:cs="Times New Roman" w:eastAsia="Times New Roman" w:hAnsi="Times New Roman"/>
                <w:sz w:val="7"/>
                <w:szCs w:val="7"/>
                <w:color w:val="0000EE"/>
              </w:rPr>
              <w:t>Power of Attorney (included in the signature page to this registration statement)</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7"/>
                <w:szCs w:val="17"/>
                <w:color w:val="auto"/>
              </w:rPr>
            </w:pPr>
          </w:p>
        </w:tc>
      </w:tr>
      <w:tr>
        <w:trPr>
          <w:trHeight w:val="41"/>
        </w:trPr>
        <w:tc>
          <w:tcPr>
            <w:tcW w:w="520" w:type="dxa"/>
            <w:vAlign w:val="bottom"/>
          </w:tcPr>
          <w:p>
            <w:pPr>
              <w:ind w:left="20"/>
              <w:spacing w:after="0" w:line="41" w:lineRule="exact"/>
              <w:rPr>
                <w:sz w:val="20"/>
                <w:szCs w:val="20"/>
                <w:color w:val="auto"/>
              </w:rPr>
            </w:pPr>
            <w:r>
              <w:rPr>
                <w:rFonts w:ascii="Times New Roman" w:cs="Times New Roman" w:eastAsia="Times New Roman" w:hAnsi="Times New Roman"/>
                <w:sz w:val="4"/>
                <w:szCs w:val="4"/>
                <w:color w:val="auto"/>
              </w:rPr>
              <w:t>​25.1^</w:t>
            </w:r>
          </w:p>
        </w:tc>
        <w:tc>
          <w:tcPr>
            <w:tcW w:w="7340" w:type="dxa"/>
            <w:vAlign w:val="bottom"/>
            <w:tcBorders>
              <w:bottom w:val="single" w:sz="8" w:color="0000EE"/>
            </w:tcBorders>
            <w:gridSpan w:val="7"/>
          </w:tcPr>
          <w:p>
            <w:pPr>
              <w:spacing w:after="0" w:line="41" w:lineRule="exact"/>
              <w:rPr>
                <w:sz w:val="20"/>
                <w:szCs w:val="20"/>
                <w:color w:val="auto"/>
              </w:rPr>
            </w:pPr>
            <w:r>
              <w:rPr>
                <w:rFonts w:ascii="Times New Roman" w:cs="Times New Roman" w:eastAsia="Times New Roman" w:hAnsi="Times New Roman"/>
                <w:sz w:val="4"/>
                <w:szCs w:val="4"/>
                <w:color w:val="0000EE"/>
              </w:rPr>
              <w:t>Form T-1 Statement of Eligibility under the Trust Indenture Act of 1939 of the Trustee under the</w:t>
            </w:r>
          </w:p>
        </w:tc>
      </w:tr>
      <w:tr>
        <w:trPr>
          <w:trHeight w:val="196"/>
        </w:trPr>
        <w:tc>
          <w:tcPr>
            <w:tcW w:w="520" w:type="dxa"/>
            <w:vAlign w:val="bottom"/>
          </w:tcPr>
          <w:p>
            <w:pPr>
              <w:spacing w:after="0"/>
              <w:rPr>
                <w:sz w:val="17"/>
                <w:szCs w:val="17"/>
                <w:color w:val="auto"/>
              </w:rPr>
            </w:pPr>
          </w:p>
        </w:tc>
        <w:tc>
          <w:tcPr>
            <w:tcW w:w="7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Indenture</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20" w:type="dxa"/>
            <w:vAlign w:val="bottom"/>
            <w:gridSpan w:val="6"/>
          </w:tcPr>
          <w:p>
            <w:pPr>
              <w:spacing w:after="0"/>
              <w:rPr>
                <w:sz w:val="17"/>
                <w:szCs w:val="17"/>
                <w:color w:val="auto"/>
              </w:rPr>
            </w:pPr>
          </w:p>
        </w:tc>
      </w:tr>
      <w:tr>
        <w:trPr>
          <w:trHeight w:val="68"/>
        </w:trPr>
        <w:tc>
          <w:tcPr>
            <w:tcW w:w="52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​107^</w:t>
            </w:r>
          </w:p>
        </w:tc>
        <w:tc>
          <w:tcPr>
            <w:tcW w:w="1240" w:type="dxa"/>
            <w:vAlign w:val="bottom"/>
            <w:tcBorders>
              <w:bottom w:val="single" w:sz="8" w:color="0000EE"/>
            </w:tcBorders>
            <w:gridSpan w:val="2"/>
          </w:tcPr>
          <w:p>
            <w:pPr>
              <w:spacing w:after="0" w:line="68" w:lineRule="exact"/>
              <w:rPr>
                <w:sz w:val="20"/>
                <w:szCs w:val="20"/>
                <w:color w:val="auto"/>
              </w:rPr>
            </w:pPr>
            <w:r>
              <w:rPr>
                <w:rFonts w:ascii="Times New Roman" w:cs="Times New Roman" w:eastAsia="Times New Roman" w:hAnsi="Times New Roman"/>
                <w:sz w:val="7"/>
                <w:szCs w:val="7"/>
                <w:color w:val="0000EE"/>
              </w:rPr>
              <w:t>Filing Fee Table</w:t>
            </w:r>
          </w:p>
        </w:tc>
        <w:tc>
          <w:tcPr>
            <w:tcW w:w="6100" w:type="dxa"/>
            <w:vAlign w:val="bottom"/>
            <w:gridSpan w:val="5"/>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right="220" w:hanging="360"/>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in an amendment hereto or in a subsequent filing that is incorporated by reference herein.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94" w:lineRule="exact"/>
        <w:rPr>
          <w:sz w:val="20"/>
          <w:szCs w:val="20"/>
          <w:color w:val="auto"/>
        </w:rPr>
      </w:pPr>
    </w:p>
    <w:p>
      <w:pPr>
        <w:sectPr>
          <w:pgSz w:w="11900" w:h="16838" w:orient="portrait"/>
          <w:cols w:equalWidth="0" w:num="2">
            <w:col w:w="9200" w:space="720"/>
            <w:col w:w="40"/>
          </w:cols>
          <w:pgMar w:left="580" w:top="97" w:right="1359" w:bottom="1440" w:gutter="0" w:footer="0" w:header="0"/>
          <w:type w:val="continuous"/>
        </w:sectPr>
      </w:pPr>
    </w:p>
    <w:p>
      <w:pPr>
        <w:ind w:left="1620" w:hanging="36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ind w:left="1980" w:hanging="360"/>
        <w:spacing w:after="0"/>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620" w:right="920" w:firstLine="360"/>
        <w:spacing w:after="0" w:line="282" w:lineRule="auto"/>
        <w:tabs>
          <w:tab w:leader="none" w:pos="234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of securities registered hereby,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firstLine="360"/>
        <w:spacing w:after="0" w:line="253" w:lineRule="auto"/>
        <w:tabs>
          <w:tab w:leader="none" w:pos="27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w:t>
      </w:r>
    </w:p>
    <w:p>
      <w:pPr>
        <w:spacing w:after="0" w:line="2"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424(b) if, in the aggregate, the changes in volume and price represent no more than a</w:t>
      </w:r>
    </w:p>
    <w:p>
      <w:pPr>
        <w:spacing w:after="0" w:line="9" w:lineRule="exact"/>
        <w:rPr>
          <w:rFonts w:ascii="Times New Roman" w:cs="Times New Roman" w:eastAsia="Times New Roman" w:hAnsi="Times New Roman"/>
          <w:sz w:val="18"/>
          <w:szCs w:val="18"/>
          <w:color w:val="auto"/>
        </w:rPr>
      </w:pPr>
    </w:p>
    <w:p>
      <w:pPr>
        <w:ind w:left="1980" w:right="10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percent change in the maximum aggregate offering price set forth in the “Calculation of Registration Fee” table in the effective registration statement;</w:t>
      </w:r>
    </w:p>
    <w:p>
      <w:pPr>
        <w:spacing w:after="0" w:line="113" w:lineRule="exact"/>
        <w:rPr>
          <w:rFonts w:ascii="Times New Roman" w:cs="Times New Roman" w:eastAsia="Times New Roman" w:hAnsi="Times New Roman"/>
          <w:sz w:val="18"/>
          <w:szCs w:val="18"/>
          <w:color w:val="auto"/>
        </w:rPr>
      </w:pPr>
    </w:p>
    <w:p>
      <w:pPr>
        <w:ind w:left="1980" w:right="419" w:firstLine="360"/>
        <w:spacing w:after="0" w:line="254" w:lineRule="auto"/>
        <w:tabs>
          <w:tab w:leader="none" w:pos="277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(i), (ii) and (iii) above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24" w:lineRule="exact"/>
        <w:rPr>
          <w:rFonts w:ascii="Times New Roman" w:cs="Times New Roman" w:eastAsia="Times New Roman" w:hAnsi="Times New Roman"/>
          <w:sz w:val="18"/>
          <w:szCs w:val="18"/>
          <w:color w:val="auto"/>
        </w:rPr>
      </w:pPr>
    </w:p>
    <w:p>
      <w:pPr>
        <w:ind w:left="1620" w:right="419" w:firstLine="360"/>
        <w:spacing w:after="0" w:line="261" w:lineRule="auto"/>
        <w:tabs>
          <w:tab w:leader="none" w:pos="234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620" w:right="739" w:firstLine="360"/>
        <w:spacing w:after="0" w:line="282" w:lineRule="auto"/>
        <w:tabs>
          <w:tab w:leader="none" w:pos="234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620" w:right="1139" w:firstLine="360"/>
        <w:spacing w:after="0" w:line="282" w:lineRule="auto"/>
        <w:tabs>
          <w:tab w:leader="none" w:pos="234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94" w:lineRule="exact"/>
        <w:rPr>
          <w:sz w:val="20"/>
          <w:szCs w:val="20"/>
          <w:color w:val="auto"/>
        </w:rPr>
      </w:pPr>
    </w:p>
    <w:p>
      <w:pPr>
        <w:ind w:left="1980" w:right="479" w:firstLine="360"/>
        <w:spacing w:after="0" w:line="266" w:lineRule="auto"/>
        <w:tabs>
          <w:tab w:leader="none" w:pos="274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8"/>
          <w:szCs w:val="18"/>
          <w:color w:val="auto"/>
        </w:rPr>
      </w:pPr>
    </w:p>
    <w:p>
      <w:pPr>
        <w:ind w:left="1980" w:right="519" w:firstLine="360"/>
        <w:spacing w:after="0" w:line="257" w:lineRule="auto"/>
        <w:tabs>
          <w:tab w:leader="none" w:pos="27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spacing w:after="0" w:line="1" w:lineRule="exact"/>
        <w:rPr>
          <w:rFonts w:ascii="Times New Roman" w:cs="Times New Roman" w:eastAsia="Times New Roman" w:hAnsi="Times New Roman"/>
          <w:sz w:val="18"/>
          <w:szCs w:val="18"/>
          <w:color w:val="auto"/>
        </w:rPr>
      </w:pPr>
    </w:p>
    <w:p>
      <w:pPr>
        <w:ind w:left="198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to any purchaser in the initial distribution of the securities:</w:t>
      </w:r>
    </w:p>
    <w:p>
      <w:pPr>
        <w:spacing w:after="0" w:line="139" w:lineRule="exact"/>
        <w:rPr>
          <w:sz w:val="20"/>
          <w:szCs w:val="20"/>
          <w:color w:val="auto"/>
        </w:rPr>
      </w:pPr>
    </w:p>
    <w:p>
      <w:pPr>
        <w:ind w:left="2340" w:right="599"/>
        <w:spacing w:after="0" w:line="266"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340" w:right="519"/>
        <w:spacing w:after="0" w:line="266" w:lineRule="auto"/>
        <w:rPr>
          <w:sz w:val="20"/>
          <w:szCs w:val="20"/>
          <w:color w:val="auto"/>
        </w:rPr>
      </w:pPr>
      <w:r>
        <w:rPr>
          <w:rFonts w:ascii="Times New Roman" w:cs="Times New Roman" w:eastAsia="Times New Roman" w:hAnsi="Times New Roman"/>
          <w:sz w:val="18"/>
          <w:szCs w:val="18"/>
          <w:color w:val="auto"/>
        </w:rPr>
        <w:t>such purchaser by means of any of the following communications, the undersigned registrant will be a seller to the purchaser and will be considered to offer or sell such securities to such purchaser:</w:t>
      </w:r>
    </w:p>
    <w:p>
      <w:pPr>
        <w:spacing w:after="0" w:line="108" w:lineRule="exact"/>
        <w:rPr>
          <w:sz w:val="20"/>
          <w:szCs w:val="20"/>
          <w:color w:val="auto"/>
        </w:rPr>
      </w:pPr>
    </w:p>
    <w:p>
      <w:pPr>
        <w:ind w:left="3060" w:right="619" w:hanging="360"/>
        <w:spacing w:after="0" w:line="282" w:lineRule="auto"/>
        <w:tabs>
          <w:tab w:leader="none" w:pos="30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3060" w:right="559" w:hanging="360"/>
        <w:spacing w:after="0" w:line="282" w:lineRule="auto"/>
        <w:tabs>
          <w:tab w:leader="none" w:pos="30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ind w:left="3060" w:right="439" w:hanging="360"/>
        <w:spacing w:after="0" w:line="266" w:lineRule="auto"/>
        <w:tabs>
          <w:tab w:leader="none" w:pos="30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3060" w:right="639" w:hanging="360"/>
        <w:spacing w:after="0" w:line="282" w:lineRule="auto"/>
        <w:tabs>
          <w:tab w:leader="none" w:pos="30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4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94" w:lineRule="exact"/>
        <w:rPr>
          <w:rFonts w:ascii="Times New Roman" w:cs="Times New Roman" w:eastAsia="Times New Roman" w:hAnsi="Times New Roman"/>
          <w:sz w:val="18"/>
          <w:szCs w:val="18"/>
          <w:color w:val="auto"/>
        </w:rPr>
      </w:pPr>
    </w:p>
    <w:p>
      <w:pPr>
        <w:ind w:left="1260" w:right="479" w:firstLine="360"/>
        <w:spacing w:after="0" w:line="255" w:lineRule="auto"/>
        <w:tabs>
          <w:tab w:leader="none" w:pos="19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1260" w:right="439" w:firstLine="360"/>
        <w:spacing w:after="0" w:line="253" w:lineRule="auto"/>
        <w:tabs>
          <w:tab w:leader="none" w:pos="19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Newark, State of California, on the 29th day of August, 2022.</w:t>
      </w:r>
    </w:p>
    <w:p>
      <w:pPr>
        <w:spacing w:after="0" w:line="1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2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Peter Rawlinson</w:t>
      </w:r>
    </w:p>
    <w:p>
      <w:pPr>
        <w:spacing w:after="0" w:line="27" w:lineRule="exact"/>
        <w:rPr>
          <w:sz w:val="20"/>
          <w:szCs w:val="20"/>
          <w:color w:val="auto"/>
        </w:rPr>
      </w:pPr>
    </w:p>
    <w:p>
      <w:pPr>
        <w:ind w:left="594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tab/>
        <w:t>Chief Executive Officer, Chief</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Technology Officer and Director</w:t>
      </w:r>
    </w:p>
    <w:p>
      <w:pPr>
        <w:spacing w:after="0" w:line="1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Peter Rawlinson, Sherry House and Jonathan Butler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32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4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88"/>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vMerge w:val="restart"/>
          </w:tcPr>
          <w:p>
            <w:pPr>
              <w:jc w:val="center"/>
              <w:ind w:right="211"/>
              <w:spacing w:after="0"/>
              <w:rPr>
                <w:sz w:val="20"/>
                <w:szCs w:val="20"/>
                <w:color w:val="auto"/>
              </w:rPr>
            </w:pPr>
            <w:r>
              <w:rPr>
                <w:rFonts w:ascii="Times New Roman" w:cs="Times New Roman" w:eastAsia="Times New Roman" w:hAnsi="Times New Roman"/>
                <w:sz w:val="18"/>
                <w:szCs w:val="18"/>
                <w:color w:val="auto"/>
              </w:rPr>
              <w:t>/s/ Peter Rawlinson</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Chief</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spacing w:after="0"/>
              <w:rPr>
                <w:sz w:val="24"/>
                <w:szCs w:val="24"/>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
        </w:trPr>
        <w:tc>
          <w:tcPr>
            <w:tcW w:w="28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Technology Officer and Director</w:t>
            </w:r>
          </w:p>
        </w:tc>
        <w:tc>
          <w:tcPr>
            <w:tcW w:w="220" w:type="dxa"/>
            <w:vAlign w:val="bottom"/>
            <w:vMerge w:val="continue"/>
          </w:tcPr>
          <w:p>
            <w:pPr>
              <w:spacing w:after="0"/>
              <w:rPr>
                <w:sz w:val="7"/>
                <w:szCs w:val="7"/>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280" w:type="dxa"/>
            <w:vAlign w:val="bottom"/>
          </w:tcPr>
          <w:p>
            <w:pPr>
              <w:spacing w:after="0"/>
              <w:rPr>
                <w:sz w:val="6"/>
                <w:szCs w:val="6"/>
                <w:color w:val="auto"/>
              </w:rPr>
            </w:pPr>
          </w:p>
        </w:tc>
        <w:tc>
          <w:tcPr>
            <w:tcW w:w="2320" w:type="dxa"/>
            <w:vAlign w:val="bottom"/>
            <w:vMerge w:val="restart"/>
          </w:tcPr>
          <w:p>
            <w:pPr>
              <w:jc w:val="center"/>
              <w:ind w:right="191"/>
              <w:spacing w:after="0"/>
              <w:rPr>
                <w:sz w:val="20"/>
                <w:szCs w:val="20"/>
                <w:color w:val="auto"/>
              </w:rPr>
            </w:pPr>
            <w:r>
              <w:rPr>
                <w:rFonts w:ascii="Times New Roman" w:cs="Times New Roman" w:eastAsia="Times New Roman" w:hAnsi="Times New Roman"/>
                <w:sz w:val="18"/>
                <w:szCs w:val="18"/>
                <w:color w:val="auto"/>
              </w:rPr>
              <w:t>Peter Rawlinson</w:t>
            </w:r>
          </w:p>
        </w:tc>
        <w:tc>
          <w:tcPr>
            <w:tcW w:w="20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3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/s/ Sherry House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320" w:type="dxa"/>
            <w:vAlign w:val="bottom"/>
            <w:vMerge w:val="restart"/>
          </w:tcPr>
          <w:p>
            <w:pPr>
              <w:jc w:val="center"/>
              <w:ind w:right="211"/>
              <w:spacing w:after="0"/>
              <w:rPr>
                <w:sz w:val="20"/>
                <w:szCs w:val="20"/>
                <w:color w:val="auto"/>
              </w:rPr>
            </w:pPr>
            <w:r>
              <w:rPr>
                <w:rFonts w:ascii="Times New Roman" w:cs="Times New Roman" w:eastAsia="Times New Roman" w:hAnsi="Times New Roman"/>
                <w:sz w:val="18"/>
                <w:szCs w:val="18"/>
                <w:color w:val="auto"/>
              </w:rPr>
              <w:t>Sherry House</w:t>
            </w:r>
          </w:p>
        </w:tc>
        <w:tc>
          <w:tcPr>
            <w:tcW w:w="200" w:type="dxa"/>
            <w:vAlign w:val="bottom"/>
          </w:tcPr>
          <w:p>
            <w:pPr>
              <w:spacing w:after="0"/>
              <w:rPr>
                <w:sz w:val="7"/>
                <w:szCs w:val="7"/>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/s/ Gagan Dhingra</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Vice President of Accounting and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6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Internal Controls</w:t>
            </w:r>
          </w:p>
        </w:tc>
        <w:tc>
          <w:tcPr>
            <w:tcW w:w="220" w:type="dxa"/>
            <w:vAlign w:val="bottom"/>
          </w:tcPr>
          <w:p>
            <w:pPr>
              <w:spacing w:after="0"/>
              <w:rPr>
                <w:sz w:val="8"/>
                <w:szCs w:val="8"/>
                <w:color w:val="auto"/>
              </w:rPr>
            </w:pPr>
          </w:p>
        </w:tc>
        <w:tc>
          <w:tcPr>
            <w:tcW w:w="172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80" w:type="dxa"/>
            <w:vAlign w:val="bottom"/>
          </w:tcPr>
          <w:p>
            <w:pPr>
              <w:spacing w:after="0"/>
              <w:rPr>
                <w:sz w:val="7"/>
                <w:szCs w:val="7"/>
                <w:color w:val="auto"/>
              </w:rPr>
            </w:pPr>
          </w:p>
        </w:tc>
        <w:tc>
          <w:tcPr>
            <w:tcW w:w="2320" w:type="dxa"/>
            <w:vAlign w:val="bottom"/>
            <w:vMerge w:val="restart"/>
          </w:tcPr>
          <w:p>
            <w:pPr>
              <w:jc w:val="center"/>
              <w:ind w:right="211"/>
              <w:spacing w:after="0"/>
              <w:rPr>
                <w:sz w:val="20"/>
                <w:szCs w:val="20"/>
                <w:color w:val="auto"/>
              </w:rPr>
            </w:pPr>
            <w:r>
              <w:rPr>
                <w:rFonts w:ascii="Times New Roman" w:cs="Times New Roman" w:eastAsia="Times New Roman" w:hAnsi="Times New Roman"/>
                <w:sz w:val="18"/>
                <w:szCs w:val="18"/>
                <w:color w:val="auto"/>
              </w:rPr>
              <w:t>Gagan Dhingra</w:t>
            </w:r>
          </w:p>
        </w:tc>
        <w:tc>
          <w:tcPr>
            <w:tcW w:w="20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/s/ Turqi Alnowaiser</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320" w:type="dxa"/>
            <w:vAlign w:val="bottom"/>
            <w:vMerge w:val="restart"/>
          </w:tcPr>
          <w:p>
            <w:pPr>
              <w:jc w:val="center"/>
              <w:ind w:right="191"/>
              <w:spacing w:after="0"/>
              <w:rPr>
                <w:sz w:val="20"/>
                <w:szCs w:val="20"/>
                <w:color w:val="auto"/>
              </w:rPr>
            </w:pPr>
            <w:r>
              <w:rPr>
                <w:rFonts w:ascii="Times New Roman" w:cs="Times New Roman" w:eastAsia="Times New Roman" w:hAnsi="Times New Roman"/>
                <w:sz w:val="18"/>
                <w:szCs w:val="18"/>
                <w:color w:val="auto"/>
              </w:rPr>
              <w:t>Turqi Alnowaiser</w:t>
            </w:r>
          </w:p>
        </w:tc>
        <w:tc>
          <w:tcPr>
            <w:tcW w:w="20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/s/ Glenn R. August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320" w:type="dxa"/>
            <w:vAlign w:val="bottom"/>
            <w:vMerge w:val="restart"/>
          </w:tcPr>
          <w:p>
            <w:pPr>
              <w:jc w:val="center"/>
              <w:ind w:right="211"/>
              <w:spacing w:after="0"/>
              <w:rPr>
                <w:sz w:val="20"/>
                <w:szCs w:val="20"/>
                <w:color w:val="auto"/>
              </w:rPr>
            </w:pPr>
            <w:r>
              <w:rPr>
                <w:rFonts w:ascii="Times New Roman" w:cs="Times New Roman" w:eastAsia="Times New Roman" w:hAnsi="Times New Roman"/>
                <w:sz w:val="18"/>
                <w:szCs w:val="18"/>
                <w:color w:val="auto"/>
              </w:rPr>
              <w:t>Glenn R. August</w:t>
            </w:r>
          </w:p>
        </w:tc>
        <w:tc>
          <w:tcPr>
            <w:tcW w:w="20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/s/ Nancy Gioia</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320" w:type="dxa"/>
            <w:vAlign w:val="bottom"/>
            <w:vMerge w:val="restart"/>
          </w:tcPr>
          <w:p>
            <w:pPr>
              <w:jc w:val="center"/>
              <w:ind w:right="211"/>
              <w:spacing w:after="0"/>
              <w:rPr>
                <w:sz w:val="20"/>
                <w:szCs w:val="20"/>
                <w:color w:val="auto"/>
              </w:rPr>
            </w:pPr>
            <w:r>
              <w:rPr>
                <w:rFonts w:ascii="Times New Roman" w:cs="Times New Roman" w:eastAsia="Times New Roman" w:hAnsi="Times New Roman"/>
                <w:sz w:val="18"/>
                <w:szCs w:val="18"/>
                <w:color w:val="auto"/>
              </w:rPr>
              <w:t>Nancy Gioia</w:t>
            </w:r>
          </w:p>
        </w:tc>
        <w:tc>
          <w:tcPr>
            <w:tcW w:w="20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/s/ Frank Lindenberg</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320" w:type="dxa"/>
            <w:vAlign w:val="bottom"/>
            <w:vMerge w:val="restart"/>
          </w:tcPr>
          <w:p>
            <w:pPr>
              <w:jc w:val="center"/>
              <w:ind w:right="211"/>
              <w:spacing w:after="0"/>
              <w:rPr>
                <w:sz w:val="20"/>
                <w:szCs w:val="20"/>
                <w:color w:val="auto"/>
              </w:rPr>
            </w:pPr>
            <w:r>
              <w:rPr>
                <w:rFonts w:ascii="Times New Roman" w:cs="Times New Roman" w:eastAsia="Times New Roman" w:hAnsi="Times New Roman"/>
                <w:sz w:val="18"/>
                <w:szCs w:val="18"/>
                <w:color w:val="auto"/>
              </w:rPr>
              <w:t>Frank Lindenberg</w:t>
            </w:r>
          </w:p>
        </w:tc>
        <w:tc>
          <w:tcPr>
            <w:tcW w:w="20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/s/ Andrew Liveris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246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color w:val="auto"/>
              </w:rPr>
              <w:t>Andrew Liveris</w:t>
            </w:r>
          </w:p>
        </w:tc>
        <w:tc>
          <w:tcPr>
            <w:tcW w:w="20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9"/>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 Nichelle Maynard-Elliott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246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color w:val="auto"/>
              </w:rPr>
              <w:t>Nichelle Maynard-Elliott</w:t>
            </w:r>
          </w:p>
        </w:tc>
        <w:tc>
          <w:tcPr>
            <w:tcW w:w="20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0"/>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 Anthony Posawatz</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246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rPr>
              <w:t>Anthony Posawatz</w:t>
            </w:r>
          </w:p>
        </w:tc>
        <w:tc>
          <w:tcPr>
            <w:tcW w:w="20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0"/>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/s/ Janet S. Wong</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29,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246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rPr>
              <w:t>Janet S. Wong</w:t>
            </w:r>
          </w:p>
        </w:tc>
        <w:tc>
          <w:tcPr>
            <w:tcW w:w="20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Dated as of [_____]</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9040" w:type="dxa"/>
            <w:vAlign w:val="bottom"/>
            <w:gridSpan w:val="3"/>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2460" w:type="dxa"/>
            <w:vAlign w:val="bottom"/>
          </w:tcPr>
          <w:p>
            <w:pPr>
              <w:spacing w:after="0"/>
              <w:rPr>
                <w:sz w:val="12"/>
                <w:szCs w:val="12"/>
                <w:color w:val="auto"/>
              </w:rPr>
            </w:pPr>
          </w:p>
        </w:tc>
        <w:tc>
          <w:tcPr>
            <w:tcW w:w="2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453"/>
        </w:trPr>
        <w:tc>
          <w:tcPr>
            <w:tcW w:w="4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660" w:type="dxa"/>
            <w:vAlign w:val="bottom"/>
          </w:tcPr>
          <w:p>
            <w:pPr>
              <w:spacing w:after="0"/>
              <w:rPr>
                <w:sz w:val="24"/>
                <w:szCs w:val="24"/>
                <w:color w:val="auto"/>
              </w:rPr>
            </w:pPr>
          </w:p>
        </w:tc>
        <w:tc>
          <w:tcPr>
            <w:tcW w:w="4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8"/>
              </w:rPr>
              <w:t>ARTICLE 1</w:t>
            </w:r>
          </w:p>
        </w:tc>
        <w:tc>
          <w:tcPr>
            <w:tcW w:w="18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40" w:type="dxa"/>
            <w:vAlign w:val="bottom"/>
            <w:gridSpan w:val="3"/>
          </w:tcPr>
          <w:p>
            <w:pPr>
              <w:jc w:val="center"/>
              <w:ind w:left="213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ncorporation by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eference</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Incorporation by Reference of Trust Indenture Act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Rules of Construction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4"/>
        </w:trPr>
        <w:tc>
          <w:tcPr>
            <w:tcW w:w="4660" w:type="dxa"/>
            <w:vAlign w:val="bottom"/>
          </w:tcPr>
          <w:p>
            <w:pPr>
              <w:spacing w:after="0"/>
              <w:rPr>
                <w:sz w:val="24"/>
                <w:szCs w:val="24"/>
                <w:color w:val="auto"/>
              </w:rPr>
            </w:pPr>
          </w:p>
        </w:tc>
        <w:tc>
          <w:tcPr>
            <w:tcW w:w="4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8"/>
              </w:rPr>
              <w:t>ARTICLE 2</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4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Issuable in Series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Establishment of Terms of Series of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Execution and Authentication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Registrar and Paying Agent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Paying Agent to Hold Money in Trust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Securityholder Lists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Exchange and Registration of Transfer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Mutilated, Destroyed, Lost and Stolen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Outstanding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Treasury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Temporary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Cancellation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Defaulted Interest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Global Securities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Computation of Interest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i w:val="1"/>
                <w:iCs w:val="1"/>
                <w:color w:val="auto"/>
              </w:rPr>
              <w:t>CUSIP and ISIN Numbers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4"/>
        </w:trPr>
        <w:tc>
          <w:tcPr>
            <w:tcW w:w="4660" w:type="dxa"/>
            <w:vAlign w:val="bottom"/>
          </w:tcPr>
          <w:p>
            <w:pPr>
              <w:spacing w:after="0"/>
              <w:rPr>
                <w:sz w:val="24"/>
                <w:szCs w:val="24"/>
                <w:color w:val="auto"/>
              </w:rPr>
            </w:pPr>
          </w:p>
        </w:tc>
        <w:tc>
          <w:tcPr>
            <w:tcW w:w="4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8"/>
              </w:rPr>
              <w:t>ARTICLE 3</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438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edemption</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 to Trustee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Selection of Securities to be Redeemed</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Effect of Notice of Redemption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Securities Redeemed in Part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4"/>
        </w:trPr>
        <w:tc>
          <w:tcPr>
            <w:tcW w:w="4660" w:type="dxa"/>
            <w:vAlign w:val="bottom"/>
          </w:tcPr>
          <w:p>
            <w:pPr>
              <w:spacing w:after="0"/>
              <w:rPr>
                <w:sz w:val="24"/>
                <w:szCs w:val="24"/>
                <w:color w:val="auto"/>
              </w:rPr>
            </w:pPr>
          </w:p>
        </w:tc>
        <w:tc>
          <w:tcPr>
            <w:tcW w:w="438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8"/>
              </w:rPr>
              <w:t>ARTICLE 4</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438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Principal and Interest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SEC Reports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6"/>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Compliance Certificate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Stay, Extension and Usury Laws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Corporate Existence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Maintenance of Office or Agency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Money For Securities Payments to be Held in Trust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Waiver of Certain Covenants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87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8"/>
              </w:rPr>
              <w:t>ARTICLE 5</w:t>
            </w:r>
          </w:p>
        </w:tc>
        <w:tc>
          <w:tcPr>
            <w:tcW w:w="2480" w:type="dxa"/>
            <w:vAlign w:val="bottom"/>
          </w:tcPr>
          <w:p>
            <w:pPr>
              <w:spacing w:after="0"/>
              <w:rPr>
                <w:sz w:val="24"/>
                <w:szCs w:val="24"/>
                <w:color w:val="auto"/>
              </w:rPr>
            </w:pPr>
          </w:p>
        </w:tc>
      </w:tr>
      <w:tr>
        <w:trPr>
          <w:trHeight w:val="234"/>
        </w:trPr>
        <w:tc>
          <w:tcPr>
            <w:tcW w:w="87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uccessors</w:t>
            </w:r>
          </w:p>
        </w:tc>
        <w:tc>
          <w:tcPr>
            <w:tcW w:w="2480" w:type="dxa"/>
            <w:vAlign w:val="bottom"/>
          </w:tcPr>
          <w:p>
            <w:pPr>
              <w:spacing w:after="0"/>
              <w:rPr>
                <w:sz w:val="20"/>
                <w:szCs w:val="20"/>
                <w:color w:val="auto"/>
              </w:rPr>
            </w:pPr>
          </w:p>
        </w:tc>
      </w:tr>
      <w:tr>
        <w:trPr>
          <w:trHeight w:val="412"/>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When Company May Merge,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Successor Corporation Substituted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87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8"/>
              </w:rPr>
              <w:t>ARTICLE 6</w:t>
            </w:r>
          </w:p>
        </w:tc>
        <w:tc>
          <w:tcPr>
            <w:tcW w:w="2480" w:type="dxa"/>
            <w:vAlign w:val="bottom"/>
          </w:tcPr>
          <w:p>
            <w:pPr>
              <w:spacing w:after="0"/>
              <w:rPr>
                <w:sz w:val="24"/>
                <w:szCs w:val="24"/>
                <w:color w:val="auto"/>
              </w:rPr>
            </w:pPr>
          </w:p>
        </w:tc>
      </w:tr>
      <w:tr>
        <w:trPr>
          <w:trHeight w:val="234"/>
        </w:trPr>
        <w:tc>
          <w:tcPr>
            <w:tcW w:w="87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tc>
        <w:tc>
          <w:tcPr>
            <w:tcW w:w="2480" w:type="dxa"/>
            <w:vAlign w:val="bottom"/>
          </w:tcPr>
          <w:p>
            <w:pPr>
              <w:spacing w:after="0"/>
              <w:rPr>
                <w:sz w:val="20"/>
                <w:szCs w:val="20"/>
                <w:color w:val="auto"/>
              </w:rPr>
            </w:pPr>
          </w:p>
        </w:tc>
      </w:tr>
      <w:tr>
        <w:trPr>
          <w:trHeight w:val="412"/>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of Maturity; Rescission and Annulment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Collection of Indebtedness and Suits for Enforcement by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Trustee May File Proofs of Claim</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Trustee May Enforce Claims without Possession of Securities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Application of Money Collected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Limitation on Suits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Unconditional Right of Holders to Receive Principal and Interest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Restoration of Rights and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Rights and Remedies Cumulative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Delay or Omission Not Waiver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Control by Holders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Waiver of Past Defaults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Undertaking for Costs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87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8"/>
              </w:rPr>
              <w:t>ARTICLE 7</w:t>
            </w:r>
          </w:p>
        </w:tc>
        <w:tc>
          <w:tcPr>
            <w:tcW w:w="2480" w:type="dxa"/>
            <w:vAlign w:val="bottom"/>
          </w:tcPr>
          <w:p>
            <w:pPr>
              <w:spacing w:after="0"/>
              <w:rPr>
                <w:sz w:val="24"/>
                <w:szCs w:val="24"/>
                <w:color w:val="auto"/>
              </w:rPr>
            </w:pPr>
          </w:p>
        </w:tc>
      </w:tr>
      <w:tr>
        <w:trPr>
          <w:trHeight w:val="234"/>
        </w:trPr>
        <w:tc>
          <w:tcPr>
            <w:tcW w:w="87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rustee</w:t>
            </w:r>
          </w:p>
        </w:tc>
        <w:tc>
          <w:tcPr>
            <w:tcW w:w="2480" w:type="dxa"/>
            <w:vAlign w:val="bottom"/>
          </w:tcPr>
          <w:p>
            <w:pPr>
              <w:spacing w:after="0"/>
              <w:rPr>
                <w:sz w:val="20"/>
                <w:szCs w:val="20"/>
                <w:color w:val="auto"/>
              </w:rPr>
            </w:pPr>
          </w:p>
        </w:tc>
      </w:tr>
      <w:tr>
        <w:trPr>
          <w:trHeight w:val="412"/>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Rights of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Reports by Trustee to Holders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Compensation and Indemnity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Successor Trustee by Merger,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Eligibility; Disqualification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Preferential Collection of Claims against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efeasance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Satisfaction and Discharge of Indenture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Application of Trust Funds; Indemnification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Legal Defeasance of Securities of any Series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Covenant Defeasance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Repayment to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Effect of Subordination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4"/>
        </w:trPr>
        <w:tc>
          <w:tcPr>
            <w:tcW w:w="8840" w:type="dxa"/>
            <w:vAlign w:val="bottom"/>
          </w:tcPr>
          <w:p>
            <w:pPr>
              <w:jc w:val="center"/>
              <w:ind w:left="2310"/>
              <w:spacing w:after="0"/>
              <w:rPr>
                <w:sz w:val="20"/>
                <w:szCs w:val="20"/>
                <w:color w:val="auto"/>
              </w:rPr>
            </w:pPr>
            <w:r>
              <w:rPr>
                <w:rFonts w:ascii="Times New Roman" w:cs="Times New Roman" w:eastAsia="Times New Roman" w:hAnsi="Times New Roman"/>
                <w:sz w:val="18"/>
                <w:szCs w:val="18"/>
                <w:color w:val="auto"/>
                <w:w w:val="98"/>
              </w:rPr>
              <w:t>ARTICLE 9</w:t>
            </w:r>
          </w:p>
        </w:tc>
        <w:tc>
          <w:tcPr>
            <w:tcW w:w="2400" w:type="dxa"/>
            <w:vAlign w:val="bottom"/>
          </w:tcPr>
          <w:p>
            <w:pPr>
              <w:spacing w:after="0"/>
              <w:rPr>
                <w:sz w:val="24"/>
                <w:szCs w:val="24"/>
                <w:color w:val="auto"/>
              </w:rPr>
            </w:pPr>
          </w:p>
        </w:tc>
      </w:tr>
      <w:tr>
        <w:trPr>
          <w:trHeight w:val="234"/>
        </w:trPr>
        <w:tc>
          <w:tcPr>
            <w:tcW w:w="884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aivers</w:t>
            </w:r>
          </w:p>
        </w:tc>
        <w:tc>
          <w:tcPr>
            <w:tcW w:w="2400" w:type="dxa"/>
            <w:vAlign w:val="bottom"/>
          </w:tcPr>
          <w:p>
            <w:pPr>
              <w:spacing w:after="0"/>
              <w:rPr>
                <w:sz w:val="20"/>
                <w:szCs w:val="20"/>
                <w:color w:val="auto"/>
              </w:rPr>
            </w:pPr>
          </w:p>
        </w:tc>
      </w:tr>
      <w:tr>
        <w:trPr>
          <w:trHeight w:val="412"/>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Limitations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Compliance with Trust Indenture Act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Revocation and Effect of Consents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Notation on or Exchange of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Trustee Protected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884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w w:val="99"/>
              </w:rPr>
              <w:t>ARTICLE 10</w:t>
            </w:r>
          </w:p>
        </w:tc>
        <w:tc>
          <w:tcPr>
            <w:tcW w:w="2400" w:type="dxa"/>
            <w:vAlign w:val="bottom"/>
          </w:tcPr>
          <w:p>
            <w:pPr>
              <w:spacing w:after="0"/>
              <w:rPr>
                <w:sz w:val="24"/>
                <w:szCs w:val="24"/>
                <w:color w:val="auto"/>
              </w:rPr>
            </w:pPr>
          </w:p>
        </w:tc>
      </w:tr>
      <w:tr>
        <w:trPr>
          <w:trHeight w:val="234"/>
        </w:trPr>
        <w:tc>
          <w:tcPr>
            <w:tcW w:w="884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ubordination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p>
        </w:tc>
        <w:tc>
          <w:tcPr>
            <w:tcW w:w="2400" w:type="dxa"/>
            <w:vAlign w:val="bottom"/>
          </w:tcPr>
          <w:p>
            <w:pPr>
              <w:spacing w:after="0"/>
              <w:rPr>
                <w:sz w:val="20"/>
                <w:szCs w:val="20"/>
                <w:color w:val="auto"/>
              </w:rPr>
            </w:pPr>
          </w:p>
        </w:tc>
      </w:tr>
      <w:tr>
        <w:trPr>
          <w:trHeight w:val="432"/>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Agreement to Subordinate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8840" w:type="dxa"/>
            <w:vAlign w:val="bottom"/>
          </w:tcPr>
          <w:p>
            <w:pPr>
              <w:jc w:val="center"/>
              <w:ind w:left="2310"/>
              <w:spacing w:after="0"/>
              <w:rPr>
                <w:sz w:val="20"/>
                <w:szCs w:val="20"/>
                <w:color w:val="auto"/>
              </w:rPr>
            </w:pPr>
            <w:r>
              <w:rPr>
                <w:rFonts w:ascii="Times New Roman" w:cs="Times New Roman" w:eastAsia="Times New Roman" w:hAnsi="Times New Roman"/>
                <w:sz w:val="18"/>
                <w:szCs w:val="18"/>
                <w:color w:val="auto"/>
                <w:w w:val="97"/>
              </w:rPr>
              <w:t>ARTICLE 11</w:t>
            </w:r>
          </w:p>
        </w:tc>
        <w:tc>
          <w:tcPr>
            <w:tcW w:w="2400" w:type="dxa"/>
            <w:vAlign w:val="bottom"/>
          </w:tcPr>
          <w:p>
            <w:pPr>
              <w:spacing w:after="0"/>
              <w:rPr>
                <w:sz w:val="24"/>
                <w:szCs w:val="24"/>
                <w:color w:val="auto"/>
              </w:rPr>
            </w:pPr>
          </w:p>
        </w:tc>
      </w:tr>
      <w:tr>
        <w:trPr>
          <w:trHeight w:val="234"/>
        </w:trPr>
        <w:tc>
          <w:tcPr>
            <w:tcW w:w="8840" w:type="dxa"/>
            <w:vAlign w:val="bottom"/>
          </w:tcPr>
          <w:p>
            <w:pPr>
              <w:jc w:val="center"/>
              <w:ind w:left="233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400" w:type="dxa"/>
            <w:vAlign w:val="bottom"/>
          </w:tcPr>
          <w:p>
            <w:pPr>
              <w:spacing w:after="0"/>
              <w:rPr>
                <w:sz w:val="20"/>
                <w:szCs w:val="20"/>
                <w:color w:val="auto"/>
              </w:rPr>
            </w:pPr>
          </w:p>
        </w:tc>
      </w:tr>
      <w:tr>
        <w:trPr>
          <w:trHeight w:val="412"/>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Trust Indenture Act Controls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Communication by Holders with Other 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Certificate and Opinion as to Conditions Precedent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Statements Required in Certificate or Opinion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Rules by Trustee and Agents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Legal Holidays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No Recourse Against Others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Counterparts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Governing Laws; Waiver of Jury Trial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No Adverse Interpretation of Other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i w:val="1"/>
                <w:iCs w:val="1"/>
                <w:color w:val="auto"/>
              </w:rPr>
              <w:t>Successors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Severability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8"/>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i w:val="1"/>
                <w:iCs w:val="1"/>
                <w:color w:val="auto"/>
              </w:rPr>
              <w:t>Table of Contents, Headings,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Section 11.15.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Section 11.16.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i w:val="1"/>
                <w:iCs w:val="1"/>
                <w:color w:val="auto"/>
              </w:rPr>
              <w:t>Acts of 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i w:val="1"/>
                <w:iCs w:val="1"/>
                <w:color w:val="auto"/>
              </w:rPr>
              <w:t>Force Majeure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6180" w:type="dxa"/>
            <w:vAlign w:val="bottom"/>
          </w:tcPr>
          <w:p>
            <w:pPr>
              <w:jc w:val="center"/>
              <w:ind w:right="4950"/>
              <w:spacing w:after="0"/>
              <w:rPr>
                <w:sz w:val="20"/>
                <w:szCs w:val="20"/>
                <w:color w:val="auto"/>
              </w:rPr>
            </w:pPr>
            <w:r>
              <w:rPr>
                <w:rFonts w:ascii="Times New Roman" w:cs="Times New Roman" w:eastAsia="Times New Roman" w:hAnsi="Times New Roman"/>
                <w:sz w:val="18"/>
                <w:szCs w:val="18"/>
                <w:color w:val="auto"/>
                <w:w w:val="99"/>
              </w:rPr>
              <w:t>ARTICLE 12</w:t>
            </w:r>
          </w:p>
        </w:tc>
      </w:tr>
      <w:tr>
        <w:trPr>
          <w:trHeight w:val="234"/>
        </w:trPr>
        <w:tc>
          <w:tcPr>
            <w:tcW w:w="5060" w:type="dxa"/>
            <w:vAlign w:val="bottom"/>
          </w:tcPr>
          <w:p>
            <w:pPr>
              <w:spacing w:after="0"/>
              <w:rPr>
                <w:sz w:val="20"/>
                <w:szCs w:val="20"/>
                <w:color w:val="auto"/>
              </w:rPr>
            </w:pPr>
          </w:p>
        </w:tc>
        <w:tc>
          <w:tcPr>
            <w:tcW w:w="6180" w:type="dxa"/>
            <w:vAlign w:val="bottom"/>
          </w:tcPr>
          <w:p>
            <w:pPr>
              <w:jc w:val="center"/>
              <w:ind w:right="497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inking</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unds</w:t>
            </w:r>
          </w:p>
        </w:tc>
      </w:tr>
      <w:tr>
        <w:trPr>
          <w:trHeight w:val="412"/>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Applicability of Article</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Satisfaction of Sinking Fund Payments with Securities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Redemption of Securities for Sinking Fund</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648"/>
        </w:trPr>
        <w:tc>
          <w:tcPr>
            <w:tcW w:w="50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jc w:val="center"/>
              <w:ind w:right="4950"/>
              <w:spacing w:after="0"/>
              <w:rPr>
                <w:sz w:val="20"/>
                <w:szCs w:val="20"/>
                <w:color w:val="auto"/>
              </w:rPr>
            </w:pPr>
            <w:r>
              <w:rPr>
                <w:rFonts w:ascii="Times New Roman" w:cs="Times New Roman" w:eastAsia="Times New Roman" w:hAnsi="Times New Roman"/>
                <w:sz w:val="18"/>
                <w:szCs w:val="18"/>
                <w:color w:val="auto"/>
                <w:w w:val="99"/>
              </w:rPr>
              <w:t>iv</w:t>
            </w:r>
          </w:p>
        </w:tc>
      </w:tr>
    </w:tbl>
    <w:p>
      <w:pPr>
        <w:sectPr>
          <w:pgSz w:w="11900" w:h="16838" w:orient="portrait"/>
          <w:cols w:equalWidth="0" w:num="1">
            <w:col w:w="11240"/>
          </w:cols>
          <w:pgMar w:left="320" w:top="931"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LUCID GROUP, INC.</w:t>
            </w:r>
          </w:p>
        </w:tc>
        <w:tc>
          <w:tcPr>
            <w:tcW w:w="2420" w:type="dxa"/>
            <w:vAlign w:val="bottom"/>
          </w:tcPr>
          <w:p>
            <w:pPr>
              <w:spacing w:after="0"/>
              <w:rPr>
                <w:sz w:val="20"/>
                <w:szCs w:val="20"/>
                <w:color w:val="auto"/>
              </w:rPr>
            </w:pPr>
          </w:p>
        </w:tc>
      </w:tr>
      <w:tr>
        <w:trPr>
          <w:trHeight w:val="432"/>
        </w:trPr>
        <w:tc>
          <w:tcPr>
            <w:tcW w:w="8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Reconciliation and tie between Trust Indenture Act of 1939 and Indenture, dated as of [_____].</w:t>
            </w:r>
          </w:p>
        </w:tc>
        <w:tc>
          <w:tcPr>
            <w:tcW w:w="2420" w:type="dxa"/>
            <w:vAlign w:val="bottom"/>
          </w:tcPr>
          <w:p>
            <w:pPr>
              <w:spacing w:after="0"/>
              <w:rPr>
                <w:sz w:val="24"/>
                <w:szCs w:val="24"/>
                <w:color w:val="auto"/>
              </w:rPr>
            </w:pPr>
          </w:p>
        </w:tc>
      </w:tr>
      <w:tr>
        <w:trPr>
          <w:trHeight w:val="41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310(a)(1)</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(a)(5)</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311(a)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312(a)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313(a)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(b)(1)</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(b)(2)</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314(a)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‎4.03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(c)(3)</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315(a)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316(a)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317(a)(1)</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 318(a)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INDENTURE dated as of [_____], between Lucid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U.S. Bank Trust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ncorporation by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eference</w:t>
      </w:r>
    </w:p>
    <w:p>
      <w:pPr>
        <w:spacing w:after="0" w:line="20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223"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when used with respect to any Person means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have meanings correlative to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Registrar, Paying Agent, co-agent, or co-registrar.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1"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unless otherwise provided by Board Resolution, Officer’s Certificate or supplemental indenture hereto for a particular Series, each day which is not a Legal Holiday.</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interests, rights to purchase, warrants, options, participations or other equivalents of or interests in (however designated) equity of such Person, including any Preferred Stock, but excluding any debt securities convertible into such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signed in the name of the Company by the Company’s Chief Executive Officer, Chief Financial Officer, Chief Accounting Officer or Treasurer.</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Request</w:t>
      </w:r>
      <w:r>
        <w:rPr>
          <w:rFonts w:ascii="Times New Roman" w:cs="Times New Roman" w:eastAsia="Times New Roman" w:hAnsi="Times New Roman"/>
          <w:sz w:val="18"/>
          <w:szCs w:val="18"/>
          <w:color w:val="auto"/>
        </w:rPr>
        <w:t>” means a written request signed in the name of the Company by its Chairman of the Board of Directors, a President or a Vice President, its Treasurer, an Assistant Treasurer, its Secretary or an Assistant Secretary, and delivered to the Trustee.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73" w:name="page74"/>
    <w:bookmarkEnd w:id="73"/>
    <w:p>
      <w:pPr>
        <w:ind w:right="36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Trust Office</w:t>
      </w:r>
      <w:r>
        <w:rPr>
          <w:rFonts w:ascii="Times New Roman" w:cs="Times New Roman" w:eastAsia="Times New Roman" w:hAnsi="Times New Roman"/>
          <w:sz w:val="17"/>
          <w:szCs w:val="17"/>
          <w:color w:val="auto"/>
        </w:rPr>
        <w:t>” means the office of the Trustee at which at any particular time its corporate trust business relating to this Indenture shall be principally administered, which as of the date of this Indenture shall be located at: 633 West 5th Street, 24th Floor, Los Angeles, CA 90071.</w:t>
      </w:r>
    </w:p>
    <w:p>
      <w:pPr>
        <w:spacing w:after="0" w:line="13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of any Person as of any date means, without duplication, all indebtedness of such Person in respect of borrowed money, including all interest, fees and expenses owed in respect thereto (whether or not the recourse of the lender is to the whole of the assets of such Person or only to a portion thereof), or evidenced by bonds, notes, debentures or similar instruments.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which is, or after notice or passage of time would be, an Event of Default.</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76"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6.02.</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ind w:right="26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(i) direct obligations of the government that issued or caused to be issued such currency for the payment of which obligations its full faith and credit is pledged or</w:t>
      </w:r>
    </w:p>
    <w:p>
      <w:pPr>
        <w:spacing w:after="0" w:line="1" w:lineRule="exact"/>
        <w:rPr>
          <w:sz w:val="20"/>
          <w:szCs w:val="20"/>
          <w:color w:val="auto"/>
        </w:rPr>
      </w:pPr>
    </w:p>
    <w:p>
      <w:pPr>
        <w:jc w:val="both"/>
        <w:ind w:right="580" w:firstLine="8"/>
        <w:spacing w:after="0" w:line="255" w:lineRule="auto"/>
        <w:tabs>
          <w:tab w:leader="none" w:pos="2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both"/>
        <w:ind w:right="3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2.02 evidencing all or part of a Series of Securities, issued to the Depositary for such Series or its nominee, and registered in the name of such Depositary or nominee.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means a Person in whose name a Security is registered in the Register.</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originally executed and delivered and as supplemented or amended from time to time and shall include the form and terms of particular Series of Securities established as contemplated 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jc w:val="both"/>
        <w:ind w:right="1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spacing w:after="0" w:line="171"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the Chief Executive Officer, the Chief Financial Officer, the President, any Vice-President, the Treasurer, the Secretary, any Assistant Treasurer or any Assistant Secretary of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an officer.</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of legal counsel who is reasonably acceptable to the Trustee. The counsel may be an employee of or counsel to the Company or the Trustee.</w:t>
      </w:r>
    </w:p>
    <w:p>
      <w:pPr>
        <w:spacing w:after="0" w:line="155"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 of Payment,</w:t>
      </w:r>
      <w:r>
        <w:rPr>
          <w:rFonts w:ascii="Times New Roman" w:cs="Times New Roman" w:eastAsia="Times New Roman" w:hAnsi="Times New Roman"/>
          <w:sz w:val="18"/>
          <w:szCs w:val="18"/>
          <w:color w:val="auto"/>
        </w:rPr>
        <w:t>” when used with respect to the Securities of any Series, means the place or places specified in accordance with ‎Section 2.02 where the principal of and any premium and interest on the Securities of that Series are payable, or if not so specified, in accordance with ‎Section 4.06.</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or classes (however designated) that is preferred as to the payment of dividends, or as to the distribution of assets upon any voluntary or involuntary liquidation or dissolution of such Person, over shares of Capital Stock of any other class of such Person.</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the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 as in effect from time to time.</w:t>
      </w:r>
    </w:p>
    <w:p>
      <w:pPr>
        <w:spacing w:after="0" w:line="15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Debt</w:t>
      </w:r>
      <w:r>
        <w:rPr>
          <w:rFonts w:ascii="Times New Roman" w:cs="Times New Roman" w:eastAsia="Times New Roman" w:hAnsi="Times New Roman"/>
          <w:sz w:val="18"/>
          <w:szCs w:val="18"/>
          <w:color w:val="auto"/>
        </w:rPr>
        <w:t>” means the principal of, premium, if any, unpaid interest, and all fees and other amounts payable in connection with the following, whether outstanding on the date hereof or thereafter created, incurred, assumed or guaranteed, on (x)the Debt of the Company, for money borrowed other than (a) any Debt of the Company which when incurred and without respect to any election under Section 1111(b) of the Federal Bankruptcy Code, was without recourse to the Company, (b) any Debt of the Company to any of its Subsidiaries, (c) Debt to any employee of the Company, (d) any liability for taxes and (e) Trade Payables, unless the instrument creating or evidencing the same or pursuant to which the same is outstanding provides that such Debt is not senior or prior in right of payment to the Securities, (y) all obligations of the Company under interest rate, currency and commodity swaps, caps, floors, collars, hedge arrangements, forward contracts or similar agreements or arrangements and (z) renewals, extensions, modifications and refundings of any such Debt. This definition may be modified or superseded by a supplemental indenture.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Securities</w:t>
      </w:r>
      <w:r>
        <w:rPr>
          <w:rFonts w:ascii="Times New Roman" w:cs="Times New Roman" w:eastAsia="Times New Roman" w:hAnsi="Times New Roman"/>
          <w:sz w:val="18"/>
          <w:szCs w:val="18"/>
          <w:color w:val="auto"/>
        </w:rPr>
        <w:t>” means Securities other than Subordinated Securities.</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2.01 and 2‎.02 hereof.</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(without regard for any provisions for acceleration, redemption prepayment or otherwise).</w:t>
      </w:r>
    </w:p>
    <w:p>
      <w:pPr>
        <w:spacing w:after="0" w:line="171"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Securities</w:t>
      </w:r>
      <w:r>
        <w:rPr>
          <w:rFonts w:ascii="Times New Roman" w:cs="Times New Roman" w:eastAsia="Times New Roman" w:hAnsi="Times New Roman"/>
          <w:sz w:val="18"/>
          <w:szCs w:val="18"/>
          <w:color w:val="auto"/>
        </w:rPr>
        <w:t>” means Securities that by the terms established pursuant to Section‎ 2.02(i) are subordinated in right of payment to Senior Debt of the Company.</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Provisions,</w:t>
      </w:r>
      <w:r>
        <w:rPr>
          <w:rFonts w:ascii="Times New Roman" w:cs="Times New Roman" w:eastAsia="Times New Roman" w:hAnsi="Times New Roman"/>
          <w:sz w:val="18"/>
          <w:szCs w:val="18"/>
          <w:color w:val="auto"/>
        </w:rPr>
        <w:t>” when used with respect to the Subordinated Securities of any Series, shall have the meaning established pursuant to Section 2.02(i) with respect to the Subordinated Securities of such Series.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xml:space="preserve">” means the Trust Indenture Act of 1939 (15 U.S. Code §§ 77aaa -77bbbb) as in effect on the date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of 1939 as so amended.</w:t>
      </w:r>
    </w:p>
    <w:p>
      <w:pPr>
        <w:spacing w:after="0" w:line="171"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Payables</w:t>
      </w:r>
      <w:r>
        <w:rPr>
          <w:rFonts w:ascii="Times New Roman" w:cs="Times New Roman" w:eastAsia="Times New Roman" w:hAnsi="Times New Roman"/>
          <w:sz w:val="18"/>
          <w:szCs w:val="18"/>
          <w:color w:val="auto"/>
        </w:rPr>
        <w:t>” means accounts payable or any other Debt or monetary obligations to trade creditors created or assumed by the Company or any Subsidiary of the Company in the ordinary course of business in connection with the receipt of materials or services.</w:t>
      </w:r>
    </w:p>
    <w:p>
      <w:pPr>
        <w:spacing w:after="0" w:line="155" w:lineRule="exact"/>
        <w:rPr>
          <w:sz w:val="20"/>
          <w:szCs w:val="20"/>
          <w:color w:val="auto"/>
        </w:rPr>
      </w:pPr>
    </w:p>
    <w:p>
      <w:pPr>
        <w:ind w:right="6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Officer</w:t>
      </w:r>
      <w:r>
        <w:rPr>
          <w:rFonts w:ascii="Times New Roman" w:cs="Times New Roman" w:eastAsia="Times New Roman" w:hAnsi="Times New Roman"/>
          <w:sz w:val="18"/>
          <w:szCs w:val="18"/>
          <w:color w:val="auto"/>
        </w:rPr>
        <w:t>” means any officer within the Corporate Trust Office of the Trustee with direct responsibility for the administration of this Indenture.</w:t>
      </w:r>
    </w:p>
    <w:p>
      <w:pPr>
        <w:spacing w:after="0" w:line="15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used with respect to the Securities of any Series shall mean the Trustee with respect to Securities of that Series.</w:t>
      </w:r>
    </w:p>
    <w:p>
      <w:pPr>
        <w:spacing w:after="0" w:line="176" w:lineRule="exact"/>
        <w:rPr>
          <w:sz w:val="20"/>
          <w:szCs w:val="20"/>
          <w:color w:val="auto"/>
        </w:rPr>
      </w:pPr>
    </w:p>
    <w:p>
      <w:pPr>
        <w:jc w:val="both"/>
        <w:ind w:right="2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Obligations</w:t>
      </w:r>
      <w:r>
        <w:rPr>
          <w:rFonts w:ascii="Times New Roman" w:cs="Times New Roman" w:eastAsia="Times New Roman" w:hAnsi="Times New Roman"/>
          <w:sz w:val="18"/>
          <w:szCs w:val="18"/>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w:t>
            </w:r>
          </w:p>
        </w:tc>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45"/>
        </w:trPr>
        <w:tc>
          <w:tcPr>
            <w:tcW w:w="68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4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Defined in Section</w:t>
            </w:r>
          </w:p>
        </w:tc>
      </w:tr>
      <w:tr>
        <w:trPr>
          <w:trHeight w:val="191"/>
        </w:trPr>
        <w:tc>
          <w:tcPr>
            <w:tcW w:w="680" w:type="dxa"/>
            <w:vAlign w:val="bottom"/>
          </w:tcPr>
          <w:p>
            <w:pPr>
              <w:spacing w:after="0"/>
              <w:rPr>
                <w:sz w:val="16"/>
                <w:szCs w:val="16"/>
                <w:color w:val="auto"/>
              </w:rPr>
            </w:pPr>
          </w:p>
        </w:tc>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“Bankruptcy Law”</w:t>
            </w:r>
          </w:p>
        </w:tc>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‎6.01</w:t>
            </w:r>
          </w:p>
        </w:tc>
      </w:tr>
      <w:tr>
        <w:trPr>
          <w:trHeight w:val="234"/>
        </w:trPr>
        <w:tc>
          <w:tcPr>
            <w:tcW w:w="6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“Custodian”</w:t>
            </w:r>
          </w:p>
        </w:tc>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‎6.01</w:t>
            </w:r>
          </w:p>
        </w:tc>
      </w:tr>
      <w:tr>
        <w:trPr>
          <w:trHeight w:val="675"/>
        </w:trPr>
        <w:tc>
          <w:tcPr>
            <w:tcW w:w="6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right"/>
              <w:ind w:right="285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7" w:name="page78"/>
    <w:bookmarkEnd w:id="77"/>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4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Defined in Section</w:t>
            </w:r>
          </w:p>
        </w:tc>
      </w:tr>
      <w:tr>
        <w:trPr>
          <w:trHeight w:val="191"/>
        </w:trPr>
        <w:tc>
          <w:tcPr>
            <w:tcW w:w="7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“Event of Default”</w:t>
            </w:r>
          </w:p>
        </w:tc>
        <w:tc>
          <w:tcPr>
            <w:tcW w:w="2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‎6.01</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“Journal”</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‎11.15</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Holiday”</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‎11.07</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“mandatory sinking fund payment”</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Exchange Rate”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‎11.15</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Banking Day”</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‎11.16</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“optional sinking fund payment”</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‎2.04</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‎2.04</w:t>
            </w: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“Registrar”</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‎2.04</w:t>
            </w:r>
          </w:p>
        </w:tc>
      </w:t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“successor person”</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‎5.01</w:t>
            </w:r>
          </w:p>
        </w:tc>
      </w:tr>
    </w:tbl>
    <w:p>
      <w:pPr>
        <w:spacing w:after="0" w:line="196"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Incorporation by Reference of Trust Indenture Act</w:t>
      </w:r>
      <w:r>
        <w:rPr>
          <w:rFonts w:ascii="Times New Roman" w:cs="Times New Roman" w:eastAsia="Times New Roman" w:hAnsi="Times New Roman"/>
          <w:sz w:val="18"/>
          <w:szCs w:val="18"/>
          <w:color w:val="auto"/>
        </w:rPr>
        <w:t>. Whenever this Indenture refers to a provision of the TIA, the provision is incorporated by reference in and made a part of this Indenture. The following TIA terms used in this Indenture have the following meanings: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security holder</w:t>
      </w:r>
      <w:r>
        <w:rPr>
          <w:rFonts w:ascii="Times New Roman" w:cs="Times New Roman" w:eastAsia="Times New Roman" w:hAnsi="Times New Roman"/>
          <w:sz w:val="18"/>
          <w:szCs w:val="18"/>
          <w:color w:val="auto"/>
        </w:rPr>
        <w:t>” means a Securityholder.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Unless the context otherwise requires:</w:t>
      </w:r>
    </w:p>
    <w:p>
      <w:pPr>
        <w:spacing w:after="0" w:line="227" w:lineRule="exact"/>
        <w:rPr>
          <w:sz w:val="20"/>
          <w:szCs w:val="20"/>
          <w:color w:val="auto"/>
        </w:rPr>
      </w:pPr>
    </w:p>
    <w:p>
      <w:pPr>
        <w:ind w:left="1400" w:hanging="744"/>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generally accepted accounting principles;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8" w:name="page79"/>
    <w:bookmarkEnd w:id="78"/>
    <w:p>
      <w:pPr>
        <w:ind w:right="340" w:firstLine="656"/>
        <w:spacing w:after="0" w:line="282" w:lineRule="auto"/>
        <w:tabs>
          <w:tab w:leader="none" w:pos="13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“generally accepted accounting principles” shall mean generally accepted accounting principles in effect as of the time when and for the period as to which such accounting principles are to be applied;</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 and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p>
    <w:p>
      <w:pPr>
        <w:spacing w:after="0" w:line="20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Issuable in Series</w:t>
      </w:r>
      <w:r>
        <w:rPr>
          <w:rFonts w:ascii="Times New Roman" w:cs="Times New Roman" w:eastAsia="Times New Roman" w:hAnsi="Times New Roman"/>
          <w:sz w:val="18"/>
          <w:szCs w:val="18"/>
          <w:color w:val="auto"/>
        </w:rPr>
        <w:t xml:space="preserve">. 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maturity date, record date or date from which interest shall accrue) are to be determined. Securities may differ between Series in respect of any matters,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Series of Securities shall be equally and ratably entitled to the benefits of the Indenture.</w:t>
      </w:r>
    </w:p>
    <w:p>
      <w:pPr>
        <w:spacing w:after="0" w:line="18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i w:val="1"/>
          <w:iCs w:val="1"/>
          <w:color w:val="auto"/>
        </w:rPr>
        <w:t>Establishment of Terms of Series of Securities</w:t>
      </w:r>
      <w:r>
        <w:rPr>
          <w:rFonts w:ascii="Times New Roman" w:cs="Times New Roman" w:eastAsia="Times New Roman" w:hAnsi="Times New Roman"/>
          <w:sz w:val="17"/>
          <w:szCs w:val="17"/>
          <w:color w:val="auto"/>
        </w:rPr>
        <w:t xml:space="preserve">. At or prior to the issuance of any Securities within a Series, the following shall be established (as to the Series generally, in the case of Subsection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7"/>
          <w:szCs w:val="17"/>
          <w:color w:val="auto"/>
        </w:rPr>
        <w:t>2.02(a) and either as to such Securities within the Series or as to the Series generally in the</w:t>
      </w:r>
    </w:p>
    <w:p>
      <w:pPr>
        <w:spacing w:after="0" w:line="1"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8"/>
          <w:szCs w:val="18"/>
          <w:color w:val="auto"/>
        </w:rPr>
        <w:t xml:space="preserve">case of Subsections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2.02(b) through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2.02(x)) by a Board Resolution, a supplemental indenture or an Officer’s Certificate pursuant to authority granted under a Board Resolution:</w:t>
      </w:r>
    </w:p>
    <w:p>
      <w:pPr>
        <w:spacing w:after="0" w:line="173" w:lineRule="exact"/>
        <w:rPr>
          <w:sz w:val="20"/>
          <w:szCs w:val="20"/>
          <w:color w:val="auto"/>
        </w:rPr>
      </w:pPr>
    </w:p>
    <w:p>
      <w:pPr>
        <w:ind w:firstLine="656"/>
        <w:spacing w:after="0" w:line="282" w:lineRule="auto"/>
        <w:tabs>
          <w:tab w:leader="none" w:pos="13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designation of the Securities of the Series, which shall distinguish the Securities of the Series from the Securities of all other Series, and which may be part of a Series of Securities previously issued;</w:t>
      </w:r>
    </w:p>
    <w:p>
      <w:pPr>
        <w:spacing w:after="0" w:line="161" w:lineRule="exact"/>
        <w:rPr>
          <w:rFonts w:ascii="Times New Roman" w:cs="Times New Roman" w:eastAsia="Times New Roman" w:hAnsi="Times New Roman"/>
          <w:sz w:val="18"/>
          <w:szCs w:val="18"/>
          <w:color w:val="auto"/>
        </w:rPr>
      </w:pPr>
    </w:p>
    <w:p>
      <w:pPr>
        <w:jc w:val="both"/>
        <w:ind w:right="640" w:firstLine="656"/>
        <w:spacing w:after="0" w:line="276" w:lineRule="auto"/>
        <w:tabs>
          <w:tab w:leader="none" w:pos="139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Series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.06 or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.06);</w:t>
      </w:r>
    </w:p>
    <w:p>
      <w:pPr>
        <w:spacing w:after="0" w:line="206" w:lineRule="exact"/>
        <w:rPr>
          <w:rFonts w:ascii="Times New Roman" w:cs="Times New Roman" w:eastAsia="Times New Roman" w:hAnsi="Times New Roman"/>
          <w:sz w:val="17"/>
          <w:szCs w:val="17"/>
          <w:color w:val="auto"/>
        </w:rPr>
      </w:pPr>
    </w:p>
    <w:p>
      <w:pPr>
        <w:ind w:left="1400" w:hanging="744"/>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Foreign Currency or Foreign Currencies in which the Securities of the Series are denominated;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1400" w:hanging="744"/>
        <w:spacing w:after="0"/>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or the method of determination thereof;</w:t>
      </w:r>
    </w:p>
    <w:p>
      <w:pPr>
        <w:spacing w:after="0" w:line="225" w:lineRule="exact"/>
        <w:rPr>
          <w:rFonts w:ascii="Times New Roman" w:cs="Times New Roman" w:eastAsia="Times New Roman" w:hAnsi="Times New Roman"/>
          <w:sz w:val="18"/>
          <w:szCs w:val="18"/>
          <w:color w:val="auto"/>
        </w:rPr>
      </w:pPr>
    </w:p>
    <w:p>
      <w:pPr>
        <w:ind w:right="20" w:firstLine="656"/>
        <w:spacing w:after="0" w:line="258" w:lineRule="auto"/>
        <w:tabs>
          <w:tab w:leader="none" w:pos="138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Securities of the Series shall bear interest, if any, the date or dates from which such interest shall accrue, on which such interest shall be payable, the terms and conditions of any deferral of interest and the additional interest, if any, thereon, the right, if any, of the Company to extend the interest payment periods and the duration of the extensions and (in the case of Securities) the date or dates on which a record shall be taken for the determination of Holders to whom interest is payable and/or the method by which such rate or rates or date or dates shall be determined;</w:t>
      </w:r>
    </w:p>
    <w:p>
      <w:pPr>
        <w:spacing w:after="0" w:line="183"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and the manner in which, the principal of and any interest on Securities of the Series shall be payable;</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13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the Company to redeem Securities, in whole or in part, at its option and the period or periods within which, or the date or dates on which, the price or prices at which and any terms and conditions upon which Securities of the Series may be so redeemed, pursuant to any sinking fund or otherwise;</w:t>
      </w:r>
    </w:p>
    <w:p>
      <w:pPr>
        <w:spacing w:after="0" w:line="175" w:lineRule="exact"/>
        <w:rPr>
          <w:rFonts w:ascii="Times New Roman" w:cs="Times New Roman" w:eastAsia="Times New Roman" w:hAnsi="Times New Roman"/>
          <w:sz w:val="18"/>
          <w:szCs w:val="18"/>
          <w:color w:val="auto"/>
        </w:rPr>
      </w:pPr>
    </w:p>
    <w:p>
      <w:pPr>
        <w:ind w:firstLine="656"/>
        <w:spacing w:after="0" w:line="261" w:lineRule="auto"/>
        <w:tabs>
          <w:tab w:leader="none" w:pos="13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or the date or dates on which, and any terms and conditions upon which Securities of the Series shall be redeemed, purchased or repaid, in whole or in part, pursuant to such obligation;</w:t>
      </w:r>
    </w:p>
    <w:p>
      <w:pPr>
        <w:spacing w:after="0" w:line="179" w:lineRule="exact"/>
        <w:rPr>
          <w:rFonts w:ascii="Times New Roman" w:cs="Times New Roman" w:eastAsia="Times New Roman" w:hAnsi="Times New Roman"/>
          <w:sz w:val="18"/>
          <w:szCs w:val="18"/>
          <w:color w:val="auto"/>
        </w:rPr>
      </w:pPr>
    </w:p>
    <w:p>
      <w:pPr>
        <w:ind w:right="20" w:firstLine="656"/>
        <w:spacing w:after="0" w:line="256" w:lineRule="auto"/>
        <w:tabs>
          <w:tab w:leader="none" w:pos="13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Subordinated Securities, the terms pursuant to which the Securities of such Series will be made subordinate in right of payment to Senior Debt and the definition of such Senior Debt with respect to such Series (in the absence of an express statement to the effect that the Securities of such Series are subordinate in right of payment to all such Senior Debt, the Securities of such Series shall not be subordinate to Senior Debt and shall not constitute Subordinated Securities); and, in the event that the Securities of such Series are Subordinated Securities, such Board Resolution, Officer’s Certificate or supplemental indenture, as the case may be, establishing the terms of such Series shall expressly state which articles, sections or other provisions thereof constitute the “Subordination Provisions” with respect to the Securities of such Series;</w:t>
      </w:r>
    </w:p>
    <w:p>
      <w:pPr>
        <w:spacing w:after="0" w:line="187"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 the denominations in which Securities of the Series shall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right="20" w:firstLine="656"/>
        <w:spacing w:after="0" w:line="266" w:lineRule="auto"/>
        <w:tabs>
          <w:tab w:leader="none" w:pos="13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Securities will be issued, and, if other than the principal amount thereof, the portion of the principal amount of Securities of the Series which shall be payable upon declaration of acceleration of the maturity thereof and the terms and conditions of any acceleration;</w:t>
      </w:r>
    </w:p>
    <w:p>
      <w:pPr>
        <w:spacing w:after="0" w:line="175" w:lineRule="exact"/>
        <w:rPr>
          <w:rFonts w:ascii="Times New Roman" w:cs="Times New Roman" w:eastAsia="Times New Roman" w:hAnsi="Times New Roman"/>
          <w:sz w:val="18"/>
          <w:szCs w:val="18"/>
          <w:color w:val="auto"/>
        </w:rPr>
      </w:pPr>
    </w:p>
    <w:p>
      <w:pPr>
        <w:ind w:right="220" w:firstLine="656"/>
        <w:spacing w:after="0" w:line="282" w:lineRule="auto"/>
        <w:tabs>
          <w:tab w:leader="none" w:pos="13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coin, currency or currencies in which the Securities of the Series are denominated, the coin, currency or currencies in which payment of the principal of or interest on the Securities of such Series shall be payable, including composite currencies or currency units;</w:t>
      </w:r>
    </w:p>
    <w:p>
      <w:pPr>
        <w:spacing w:after="0" w:line="161" w:lineRule="exact"/>
        <w:rPr>
          <w:rFonts w:ascii="Times New Roman" w:cs="Times New Roman" w:eastAsia="Times New Roman" w:hAnsi="Times New Roman"/>
          <w:sz w:val="18"/>
          <w:szCs w:val="18"/>
          <w:color w:val="auto"/>
        </w:rPr>
      </w:pPr>
    </w:p>
    <w:p>
      <w:pPr>
        <w:ind w:right="180" w:firstLine="656"/>
        <w:spacing w:after="0" w:line="266" w:lineRule="auto"/>
        <w:tabs>
          <w:tab w:leader="none" w:pos="144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interest on the Securities of the Series are to be payable, at the election of the Company or a Holder thereof, in a coin or currency other than that in which the Securities are denominated, the period or periods within which, and the terms and conditions upon which, such election may be made;</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13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of and interest on the Securities of the Series may be determined with reference to an index or formula based on a coin, currency, composite currency or currency unit other than that in which the Securities of the Series are denominated, the manner in which such amounts shall be determined;</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will be issuable as Global Securities;</w:t>
      </w:r>
    </w:p>
    <w:p>
      <w:pPr>
        <w:spacing w:after="0" w:line="225" w:lineRule="exact"/>
        <w:rPr>
          <w:rFonts w:ascii="Times New Roman" w:cs="Times New Roman" w:eastAsia="Times New Roman" w:hAnsi="Times New Roman"/>
          <w:sz w:val="18"/>
          <w:szCs w:val="18"/>
          <w:color w:val="auto"/>
        </w:rPr>
      </w:pPr>
    </w:p>
    <w:p>
      <w:pPr>
        <w:ind w:firstLine="656"/>
        <w:spacing w:after="0" w:line="266" w:lineRule="auto"/>
        <w:tabs>
          <w:tab w:leader="none" w:pos="13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the Securities of the Series rather than pay such additional amounts;</w:t>
      </w:r>
    </w:p>
    <w:p>
      <w:pPr>
        <w:spacing w:after="0" w:line="175" w:lineRule="exact"/>
        <w:rPr>
          <w:rFonts w:ascii="Times New Roman" w:cs="Times New Roman" w:eastAsia="Times New Roman" w:hAnsi="Times New Roman"/>
          <w:sz w:val="18"/>
          <w:szCs w:val="18"/>
          <w:color w:val="auto"/>
        </w:rPr>
      </w:pPr>
    </w:p>
    <w:p>
      <w:pPr>
        <w:ind w:right="600" w:firstLine="656"/>
        <w:spacing w:after="0" w:line="266" w:lineRule="auto"/>
        <w:tabs>
          <w:tab w:leader="none" w:pos="13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depositaries, authenticating or paying agents, transfer agents or registrars of any other agents with respect to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Series;</w:t>
      </w:r>
    </w:p>
    <w:p>
      <w:pPr>
        <w:spacing w:after="0" w:line="206" w:lineRule="exact"/>
        <w:rPr>
          <w:rFonts w:ascii="Times New Roman" w:cs="Times New Roman" w:eastAsia="Times New Roman" w:hAnsi="Times New Roman"/>
          <w:sz w:val="18"/>
          <w:szCs w:val="18"/>
          <w:color w:val="auto"/>
        </w:rPr>
      </w:pPr>
    </w:p>
    <w:p>
      <w:pPr>
        <w:ind w:right="320" w:firstLine="656"/>
        <w:spacing w:after="0" w:line="266" w:lineRule="auto"/>
        <w:tabs>
          <w:tab w:leader="none" w:pos="13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 from, modification of or addition to the Events of Default or covenants with respect to the Securities of such Series, including, if applicable, covenants affording Holders of debt protection with respect to the Company’s operations, financial conditions and transactions involving the Company;</w:t>
      </w:r>
    </w:p>
    <w:p>
      <w:pPr>
        <w:spacing w:after="0" w:line="175" w:lineRule="exact"/>
        <w:rPr>
          <w:rFonts w:ascii="Times New Roman" w:cs="Times New Roman" w:eastAsia="Times New Roman" w:hAnsi="Times New Roman"/>
          <w:sz w:val="18"/>
          <w:szCs w:val="18"/>
          <w:color w:val="auto"/>
        </w:rPr>
      </w:pPr>
    </w:p>
    <w:p>
      <w:pPr>
        <w:ind w:right="80" w:firstLine="656"/>
        <w:spacing w:after="0" w:line="266" w:lineRule="auto"/>
        <w:tabs>
          <w:tab w:leader="none" w:pos="13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any other security or property of the Company, including, without limitation, securities of another Person held by the Company or its Affiliates and, if so, the terms thereof, including conversion or exchange prices or rate and adjustments thereto;</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1" w:name="page82"/>
    <w:bookmarkEnd w:id="81"/>
    <w:p>
      <w:pPr>
        <w:ind w:left="1400" w:hanging="744"/>
        <w:spacing w:after="0"/>
        <w:tabs>
          <w:tab w:leader="none" w:pos="1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Securities will be issued;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remarketing;</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applicable to any Securities issued at a discount from their stated principal amount; and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22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issuances of additional Securities of such Series, unless otherwise provided in such Board Resolution, supplemental indenture or Officer’s Certificate.</w:t>
      </w:r>
    </w:p>
    <w:p>
      <w:pPr>
        <w:spacing w:after="0" w:line="178"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i w:val="1"/>
          <w:iCs w:val="1"/>
          <w:color w:val="auto"/>
        </w:rPr>
        <w:t>Execution and Authentication</w:t>
      </w:r>
      <w:r>
        <w:rPr>
          <w:rFonts w:ascii="Times New Roman" w:cs="Times New Roman" w:eastAsia="Times New Roman" w:hAnsi="Times New Roman"/>
          <w:sz w:val="18"/>
          <w:szCs w:val="18"/>
          <w:color w:val="auto"/>
        </w:rPr>
        <w:t>. One or more Officers shall sign the Securities for the Company by manual or facsimile signature.</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be valid nevertheless so long as such individual was an Officer at the time of execution of the Security.</w:t>
      </w:r>
    </w:p>
    <w:p>
      <w:pPr>
        <w:spacing w:after="0" w:line="16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aggregate principal amount of Securities of any Series outstanding at any time may not exceed any limit upon the maximum principal amount</w:t>
      </w:r>
    </w:p>
    <w:p>
      <w:pPr>
        <w:spacing w:after="0" w:line="39"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for such Series set forth in the Board Resolution, supplemental indenture hereto or Officer’s Certificate delivered pursuant to Section‎ 2.02, except as provided in ‎Section 2.08.</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Prior to the issuance of Securities of any Series, the Trustee shall have received and (subject to Section‎ 7.02) shall be fully protected in relying on:</w:t>
      </w:r>
    </w:p>
    <w:p>
      <w:pPr>
        <w:spacing w:after="0" w:line="39" w:lineRule="exact"/>
        <w:rPr>
          <w:sz w:val="20"/>
          <w:szCs w:val="20"/>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 supplemental indenture hereto or Officer’s Certificate establishing the form of the Securities of that Series or of Securities within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Series and the terms of the Securities of that Series or of Securities within that Series, (b) an Officers’ Certificate complying with Section‎ 11.04,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complying with Section‎ 11.04.</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2" w:name="page83"/>
    <w:bookmarkEnd w:id="82"/>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lawfully be taken; or (b) if the Trustee in good faith shall determine that such action would expose the Trustee to personal liability to Holders of any then outstanding Series of Securities.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Trustee may appoint an authenticating agent reasonably acceptable to the Company to authenticate the Securities. Any such appointment shall be evidenced by an instrument signed by a Trust Officer, a copy of which shall be furnished to the Company. Unless limited by the terms of such appointment,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w:t>
      </w:r>
    </w:p>
    <w:p>
      <w:pPr>
        <w:spacing w:after="0" w:line="178"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Registrar and Paying Agent</w:t>
      </w:r>
      <w:r>
        <w:rPr>
          <w:rFonts w:ascii="Times New Roman" w:cs="Times New Roman" w:eastAsia="Times New Roman" w:hAnsi="Times New Roman"/>
          <w:sz w:val="18"/>
          <w:szCs w:val="18"/>
          <w:color w:val="auto"/>
        </w:rPr>
        <w:t xml:space="preserve">. The Company shall maintain, with respect to each Series of Securities, at the place or places specified with respect to such Series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2.02, an office or agency where Securities of such Series may be presented or surrendered for payment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where Securities of such Series may be surrendered for registration of transfer or exchange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The Registrar shall keep a register with respect to each Series of Securities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and to their transfer and exchange. The Company will give prompt written notice to the Trustee of the name and address, and any change in the name or address, of each Registrar or Paying Agent. If at any time the Company shall fail to maintain any such required Registrar or Paying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provided that the Corporate Trust Office shall not be an office or agency of the Company for the purpose of effecting service of legal process on the Company.</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or additional paying agents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and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3" w:name="page84"/>
    <w:bookmarkEnd w:id="83"/>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and Paying Agent for each Series unless another Registrar or Paying Agent, as the case may be, is appointed prior to the time Securities of that Series are first issued. The Company or any of its domestically organized Subsidiaries may act as Paying Agent or Registrar.</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rights, privileges, protections, immunities and benefits given to the Trustee under this Indenture including, without limitation, its right to be indemnified, are extended to, and shall be enforceable by, the Trustee in each of its capacities hereunder, and each Agent acting hereunder.</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shall enter into an appropriate agency agreement with any Registrar or Paying Agent not a party to this Indenture, which shall incorporate the terms of the TIA. The agreement shall implement the provisions of this Indenture that relate to such agent. The Company shall notify the Trustee of the name and address of any such agent.</w:t>
      </w:r>
    </w:p>
    <w:p>
      <w:pPr>
        <w:spacing w:after="0" w:line="176" w:lineRule="exact"/>
        <w:rPr>
          <w:sz w:val="20"/>
          <w:szCs w:val="20"/>
          <w:color w:val="auto"/>
        </w:rPr>
      </w:pPr>
    </w:p>
    <w:p>
      <w:pPr>
        <w:ind w:right="140" w:firstLine="648"/>
        <w:spacing w:after="0" w:line="272" w:lineRule="auto"/>
        <w:rPr>
          <w:sz w:val="20"/>
          <w:szCs w:val="20"/>
          <w:color w:val="auto"/>
        </w:rPr>
      </w:pPr>
      <w:r>
        <w:rPr>
          <w:rFonts w:ascii="Times New Roman" w:cs="Times New Roman" w:eastAsia="Times New Roman" w:hAnsi="Times New Roman"/>
          <w:sz w:val="17"/>
          <w:szCs w:val="17"/>
          <w:color w:val="auto"/>
        </w:rPr>
        <w:t xml:space="preserve">The Company may remove any Registrar or Paying Agent for any Series of Securities upon written notice to such Registrar or Paying Agent and to the Trustee;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removal shall become effective until (1) acceptance of an appointment by a successor as evidenced by an appropriate agreement entered into by the Company and such successor Registrar or Paying Agent, as the case may be, and delivered to the Trustee or</w:t>
      </w:r>
    </w:p>
    <w:p>
      <w:pPr>
        <w:spacing w:after="0" w:line="2" w:lineRule="exact"/>
        <w:rPr>
          <w:sz w:val="20"/>
          <w:szCs w:val="20"/>
          <w:color w:val="auto"/>
        </w:rPr>
      </w:pPr>
    </w:p>
    <w:p>
      <w:pPr>
        <w:ind w:right="400" w:firstLine="8"/>
        <w:spacing w:after="0" w:line="265" w:lineRule="auto"/>
        <w:tabs>
          <w:tab w:leader="none" w:pos="25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notification to the Trustee that the Trustee shall serve as Registrar or Paying Agent, as the case may be, until the appointment of a successor in accordance with clause (1) above. The Registrar or Paying Agent may resign at any time upon written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Trustee may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resign as Paying Agent or Registrar only if the Trustee also resigns as Trustee in accordance with Section‎ 7.08. Upon any Event of Default under</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6.01(e) or Section‎ 6.01(f), the Trustee shall automatically be the Paying Agent.</w:t>
      </w:r>
    </w:p>
    <w:p>
      <w:pPr>
        <w:spacing w:after="0" w:line="20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Paying Agent to Hold Money in Trust</w:t>
      </w:r>
      <w:r>
        <w:rPr>
          <w:rFonts w:ascii="Times New Roman" w:cs="Times New Roman" w:eastAsia="Times New Roman" w:hAnsi="Times New Roman"/>
          <w:sz w:val="18"/>
          <w:szCs w:val="18"/>
          <w:color w:val="auto"/>
        </w:rPr>
        <w:t>. Prior to each due date of the principal and interest on any Series of Securities, the Company shall deposit with the Paying Agent (or if the Company or a Subsidiary is acting as Paying Agent, segregate and hold in trust for the benefit of the Persons entitled thereto) a sum sufficient to pay such principal and interest when so becoming due. 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Securityholders of any Series of Securities all money held by it as Paying Agent.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4" w:name="page85"/>
    <w:bookmarkEnd w:id="84"/>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Securityholder Lists</w:t>
      </w:r>
      <w:r>
        <w:rPr>
          <w:rFonts w:ascii="Times New Roman" w:cs="Times New Roman" w:eastAsia="Times New Roman" w:hAnsi="Times New Roman"/>
          <w:sz w:val="18"/>
          <w:szCs w:val="18"/>
          <w:color w:val="auto"/>
        </w:rPr>
        <w:t>. 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or cause the Registrar to furnish, to the Trustee at least five Business Days before each interest payment date, but in any event not less frequently than semi-annually, and at such other times as the Trustee may request in writing a list, in such form and as of such date as the Trustee may reasonably require, of the names and addresses of Securityholders of each Series of Securities.</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Exchange and Registration of Transfer</w:t>
      </w:r>
      <w:r>
        <w:rPr>
          <w:rFonts w:ascii="Times New Roman" w:cs="Times New Roman" w:eastAsia="Times New Roman" w:hAnsi="Times New Roman"/>
          <w:sz w:val="18"/>
          <w:szCs w:val="18"/>
          <w:color w:val="auto"/>
        </w:rPr>
        <w:t>. The Company shall cause to be kept at the Corporate Trust Office the Register in which, subject to such reasonable regulations as it may prescribe, the Company shall provide for the registration of Securities of a Series and of transfers of Securities of such Series. The Register shall be in written form or in any form capable of being converted into written form within a reasonably prompt period of time.</w:t>
      </w:r>
    </w:p>
    <w:p>
      <w:pPr>
        <w:spacing w:after="0" w:line="18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 Series to the Registrar or any co-registrar, and satisfaction of the requirements for such transfer set forth in this Section‎ 2.07, the Company shall execute, and the Trustee shall authenticate and deliver, in the name of the designated transferee or transferees, one or more new Security of the same Series of any authorized denominations and of a like aggregate principal amount and bearing such restrictive legends as may be required by this Indenture.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Securities of a Series may be exchanged for other Securities of the same Series of any authorized denominations and of a like aggregate principal amount, upon surrender of the Securities to be exchanged at any such office or agency maintained by the Company pursuant to ‎Section 4.06. Whenever any Securities of a Series are so surrendered for exchange, the Company shall execute, and the Trustee shall authenticate and deliver, the Securities of the same Series that the Holder making the exchange is entitled to receive bearing registration numbers not contemporaneously outstanding.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5" w:name="page86"/>
    <w:bookmarkEnd w:id="85"/>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All Securities of a Series issued upon any registration of transfer or exchange of Securities of the same Series shall be the valid obligations of the Company, evidencing the same debt, and entitled to the same benefits under this Indenture, as the Securities of the same Series surrendered upon such registration of transfer or exchange.</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of a Series presented or surrendered for registration of transfer or for exchange shall (if so required by the Company or the Registrar) be duly endorsed, or be accompanied by a written instrument or instruments of transfer in form satisfactory to the Company, and the Securities of such Series shall be duly executed by the Holder thereof or his attorney duly authorized in writing.</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 service charge shall be made to any holder for any registration of, transfer or exchange of Securities, but the Company or the Trustee may require payment by the holder of a sum sufficient to cover any tax, assessment or other governmental charge that may be imposed in connection with any registration of transfer or exchange of such Securities (other than any such transfer tax or similar governmental charge payable upon exchanges pursuant to Sections 2‎.11, 3‎.06 or 9‎.06).</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Neither the Company nor the Trustee nor any Registrar shall be required to exchange, issue or register a transfer of (a) Securities of any Series for a period of fifteen calendar days next preceding date of mailing of a notice of redemption of Securities of that Series selected for redemption, or</w:t>
      </w:r>
    </w:p>
    <w:p>
      <w:pPr>
        <w:ind w:right="120" w:firstLine="8"/>
        <w:spacing w:after="0" w:line="260"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or portions thereof called for redemption, except for the unredeemed portion of any Securities of that Series being redeemed in part.</w:t>
      </w:r>
    </w:p>
    <w:p>
      <w:pPr>
        <w:spacing w:after="0" w:line="17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Mutilated, Destroyed, Lost and Stolen Securities</w:t>
      </w:r>
      <w:r>
        <w:rPr>
          <w:rFonts w:ascii="Times New Roman" w:cs="Times New Roman" w:eastAsia="Times New Roman" w:hAnsi="Times New Roman"/>
          <w:sz w:val="18"/>
          <w:szCs w:val="18"/>
          <w:color w:val="auto"/>
        </w:rPr>
        <w:t>. If a mutilated Security is surrendered to the Registrar or if the Securityholder of a Security claims that the Security has been lost, destroyed or wrongfully taken, the Company shall issue and the Trustee shall authenticate and deliver a replacement Security of the same Series if the requirements of Section 8-405 of the Uniform Commercial Code are met, such that the Securityholder</w:t>
      </w:r>
    </w:p>
    <w:p>
      <w:pPr>
        <w:spacing w:after="0" w:line="1" w:lineRule="exact"/>
        <w:rPr>
          <w:sz w:val="20"/>
          <w:szCs w:val="20"/>
          <w:color w:val="auto"/>
        </w:rPr>
      </w:pPr>
    </w:p>
    <w:p>
      <w:pPr>
        <w:ind w:right="60" w:firstLine="8"/>
        <w:spacing w:after="0" w:line="251" w:lineRule="auto"/>
        <w:tabs>
          <w:tab w:leader="none" w:pos="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Company or the Trustee within a reasonable time after he has notice of such loss, destruction or wrongful taking and the Registrar does not register a transfer prior to receiving such notification, (b) makes such request to the Company or the Trustee prior to the Security being acquired by a protected purchaser as defined in Section 8-303 of the Uniform Commercial Code (a “</w:t>
      </w:r>
      <w:r>
        <w:rPr>
          <w:rFonts w:ascii="Times New Roman" w:cs="Times New Roman" w:eastAsia="Times New Roman" w:hAnsi="Times New Roman"/>
          <w:sz w:val="18"/>
          <w:szCs w:val="18"/>
          <w:b w:val="1"/>
          <w:bCs w:val="1"/>
          <w:color w:val="auto"/>
        </w:rPr>
        <w:t>protected purchaser</w:t>
      </w:r>
      <w:r>
        <w:rPr>
          <w:rFonts w:ascii="Times New Roman" w:cs="Times New Roman" w:eastAsia="Times New Roman" w:hAnsi="Times New Roman"/>
          <w:sz w:val="18"/>
          <w:szCs w:val="18"/>
          <w:color w:val="auto"/>
        </w:rPr>
        <w:t>”) and (c) satisfies any other reasonable requirements of the Company or the Trustee. If required by the Trustee or the Company, such Securityholder shall furnish an indemnity bond sufficient in the judgment of the Trustee to protect the Trustee and any Agent and in the judgment of the Company to protect the Company, the Trustee, the Paying Agent and the Registrar from any loss that any of them may suffer if a Security is replaced. The Company and the Trustee may charge the Securityholder for their expenses in replacing a Security. In case any Security which has matured or is about to mature or has been called for redemption, shall become mutilated or be destroyed, lost or stolen, the Company may, instead of issuing a substitute Security, pay or authorize the payment of (without surrender thereof except in the case of a mutilated Security),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in connection with such substitution, and, in every case of destruction, loss or theft, the applicant shall also furnish to the Company, the Trustee and, if applicable, any Paying Agent evidence to their satisfaction of the destruction, loss or theft of such Securities and of the ownership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Every replacement Security of any Series issued pursuant to this Section is an additional obligation of the Company, evidencing the same debt, and entitled to the same benefits under this Indenture, as the Securities of the same Series replaced.</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Outstanding Securities</w:t>
      </w:r>
      <w:r>
        <w:rPr>
          <w:rFonts w:ascii="Times New Roman" w:cs="Times New Roman" w:eastAsia="Times New Roman" w:hAnsi="Times New Roman"/>
          <w:sz w:val="18"/>
          <w:szCs w:val="18"/>
          <w:color w:val="auto"/>
        </w:rPr>
        <w:t>. The Securities outstanding at any time are all the Securities authenticated by the Trustee except for those cancelled by it, those delivered to it for cancellation, those reductions in the interest on a Global Security effected by the Trustee in accordance with the provisions hereof and those described in this Section as not outstanding. A Security does not cease to be outstanding because the Company or an Affiliate holds the Security.</w:t>
      </w:r>
    </w:p>
    <w:p>
      <w:pPr>
        <w:spacing w:after="0" w:line="18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2.08, it ceases to be outstanding unless the Trustee and the Company receive proof satisfactory to them that the replaced Security is held by a protected purchaser.</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If the Paying Agent (other than the Company, a Subsidiary or an Affiliate of any thereof) holds on the Maturity of Securities of a Series money sufficient to pay such Securities (or portions thereof) payable on that date, and the Paying Agent is not prohibited from paying such money to the Securityholders of such Series on that date pursuant to the terms of the Indenture, then on and after that date such Securities of the Series (or portions thereof) cease to be outstanding and interest on them ceases to accrue.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7" w:name="page88"/>
    <w:bookmarkEnd w:id="87"/>
    <w:p>
      <w:pPr>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i w:val="1"/>
          <w:iCs w:val="1"/>
          <w:color w:val="auto"/>
        </w:rPr>
        <w:t>Treasury Securities</w:t>
      </w:r>
      <w:r>
        <w:rPr>
          <w:rFonts w:ascii="Times New Roman" w:cs="Times New Roman" w:eastAsia="Times New Roman" w:hAnsi="Times New Roman"/>
          <w:sz w:val="17"/>
          <w:szCs w:val="17"/>
          <w:color w:val="auto"/>
        </w:rPr>
        <w:t>. In determining whether the Holders of the required principal amount of Securities of a Series have concurred in any direction, waiver or consent, Securities of a Series owned by the Company, any other obligor upon the Securities or an Affiliate of the Company or such other obligor shall be disregarded and deemed not to be outstanding, except that for the purposes of determining whether the Trustee shall be protected in relying on any such direction, waiver or consent only Securities of a Series that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any other obligor on the Securities. In case of a dispute as to such right, the advice of counsel shall be full protection in respect of any decision made by the Trustee in accordance with such advice. Upon written request of the Trustee, the Company shall furnish to the Trustee promptly an Officer’s Certificate listing and identifying all Securities, if any, known by the Company to be owned or held by or for the account of any of the above-described persons; and,</w:t>
      </w:r>
    </w:p>
    <w:p>
      <w:pPr>
        <w:spacing w:after="0" w:line="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 xml:space="preserve">subject to Sections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7.01 and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7.02, the Trustee shall be entitled to accept such Officer’s Certificate as conclusive evidence of the facts therein set forth and of the fact that all Securities not listed therein are outstanding for the purpose of any such determination.</w:t>
      </w:r>
    </w:p>
    <w:p>
      <w:pPr>
        <w:spacing w:after="0" w:line="17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Temporary Securities</w:t>
      </w:r>
      <w:r>
        <w:rPr>
          <w:rFonts w:ascii="Times New Roman" w:cs="Times New Roman" w:eastAsia="Times New Roman" w:hAnsi="Times New Roman"/>
          <w:sz w:val="18"/>
          <w:szCs w:val="18"/>
          <w:color w:val="auto"/>
        </w:rPr>
        <w:t>. Pending the preparation of Securities in certificated form, the Company may execute and the Trustee or an authenticating agent appointed by the Trustee shall, upon a Company Order, authenticate and deliver temporary Securities (printed, lithographed, typewritten, photocopied or otherwise produced). Temporary Securities shall be issuable in any authorized denomination, and substantially in the form of the Securities in certificated form, but with such omissions, insertions and variations as may be appropriate for temporary Securities, all as may be determined by the Company. Every such temporary Security shall be executed by the Company and authenticated by the Trustee or such authenticating agent upon the same conditions and in substantially the same manner, and with the same effect, as the Securities in certificated form. Without unreasonable delay, the Company will execute and deliver to the Trustee or such authenticating agent Securities of the same Series in certificated form and thereupon any or all temporary Securities may be surrendered in exchange therefor, at each office or agency maintained by the Company pursuant to ‎Section 4.07 and the Trustee or such authenticating agent shall authenticate and make available for delivery in exchange for such temporary Securities an equal aggregate principal amount of Securities of the same Series in certificated form. Such exchange shall be made by the Company at its own expense and without any charge therefor. Until so exchanged, the temporary Securities shall in all respects be entitled to the same benefits and subject to the same limitations under this Indenture as Securities of the same Series in certificated form authenticated and delivered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8" w:name="page89"/>
    <w:bookmarkEnd w:id="88"/>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The Company at any time may deliver Securities to the Trustee for cancellation. The Registrar and the Paying Agent shall forward to the Trustee any Securities surrendered to them for registration of transfer, exchange or payment. The Trustee and no one else shall cancel all Securities surrendered for registration of transfer, exchange, payment, replacement or cancellation and dispose of such cancelled Securities in accordance with its customary procedure. The Company may not issue new Securities to replace Securities that it has paid or delivered to the Trustee for cancellation. The Trustee shall not authenticate Securities in place of cancelled Securities other than pursuant to the terms of this Indenture.</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Defaulted Interest</w:t>
      </w:r>
      <w:r>
        <w:rPr>
          <w:rFonts w:ascii="Times New Roman" w:cs="Times New Roman" w:eastAsia="Times New Roman" w:hAnsi="Times New Roman"/>
          <w:sz w:val="18"/>
          <w:szCs w:val="18"/>
          <w:color w:val="auto"/>
        </w:rPr>
        <w:t>. 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or cause to be fixed any such special record date and payment date to the reasonable satisfaction of the Trustee and shall promptly mail or cause to be mailed or deliver by electronic transmission to each Securityholder of the Series a notice that states the special record date, the payment date and the amount of defaulted interest to be paid. The Company may pay defaulted interest in any lawful manner.</w:t>
      </w:r>
    </w:p>
    <w:p>
      <w:pPr>
        <w:spacing w:after="0" w:line="18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i w:val="1"/>
          <w:iCs w:val="1"/>
          <w:color w:val="auto"/>
        </w:rPr>
        <w:t>Global Securities.</w:t>
      </w:r>
    </w:p>
    <w:p>
      <w:pPr>
        <w:spacing w:after="0" w:line="225" w:lineRule="exact"/>
        <w:rPr>
          <w:sz w:val="20"/>
          <w:szCs w:val="20"/>
          <w:color w:val="auto"/>
        </w:rPr>
      </w:pPr>
    </w:p>
    <w:p>
      <w:pPr>
        <w:ind w:right="600" w:firstLine="656"/>
        <w:spacing w:after="0" w:line="267" w:lineRule="auto"/>
        <w:tabs>
          <w:tab w:leader="none" w:pos="138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of a Series shall be issued in whole or in part in the form of one or more Global Securities and the Depositary for such Global Security or Securities.</w:t>
      </w:r>
    </w:p>
    <w:p>
      <w:pPr>
        <w:spacing w:after="0" w:line="17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 Notwithstanding any provisions to the contrary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2.07 of the Indenture and in addition</w:t>
      </w:r>
    </w:p>
    <w:p>
      <w:pPr>
        <w:spacing w:after="0" w:line="31"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 any Global Security shall be exchangeable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2.14(b),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optional redemption) or the payment of any amount, under or with respect to such Securities.</w:t>
      </w:r>
    </w:p>
    <w:p>
      <w:pPr>
        <w:spacing w:after="0" w:line="181" w:lineRule="exact"/>
        <w:rPr>
          <w:sz w:val="20"/>
          <w:szCs w:val="20"/>
          <w:color w:val="auto"/>
        </w:rPr>
      </w:pPr>
    </w:p>
    <w:p>
      <w:pPr>
        <w:ind w:left="1400" w:hanging="744"/>
        <w:spacing w:after="0"/>
        <w:tabs>
          <w:tab w:leader="none" w:pos="1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3" w:lineRule="exact"/>
        <w:rPr>
          <w:sz w:val="20"/>
          <w:szCs w:val="20"/>
          <w:color w:val="auto"/>
        </w:rPr>
      </w:pPr>
    </w:p>
    <w:p>
      <w:pPr>
        <w:ind w:right="480" w:firstLine="656"/>
        <w:spacing w:after="0" w:line="282" w:lineRule="auto"/>
        <w:tabs>
          <w:tab w:leader="none" w:pos="13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Holders.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0" w:name="page91"/>
    <w:bookmarkEnd w:id="90"/>
    <w:p>
      <w:pPr>
        <w:ind w:right="80" w:firstLine="656"/>
        <w:spacing w:after="0" w:line="286" w:lineRule="auto"/>
        <w:tabs>
          <w:tab w:leader="none" w:pos="13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Notwithstanding the other provisions of this Indenture, unless otherwise specified as contemplated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 payment of the principal of and interest, if any, on any Global Security shall be made to the Holder thereof.</w:t>
      </w:r>
    </w:p>
    <w:p>
      <w:pPr>
        <w:spacing w:after="0" w:line="154" w:lineRule="exact"/>
        <w:rPr>
          <w:rFonts w:ascii="Times New Roman" w:cs="Times New Roman" w:eastAsia="Times New Roman" w:hAnsi="Times New Roman"/>
          <w:sz w:val="18"/>
          <w:szCs w:val="18"/>
          <w:color w:val="auto"/>
        </w:rPr>
      </w:pPr>
    </w:p>
    <w:p>
      <w:pPr>
        <w:ind w:right="120" w:firstLine="656"/>
        <w:spacing w:after="0" w:line="262" w:lineRule="auto"/>
        <w:tabs>
          <w:tab w:leader="none" w:pos="13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Declaration and Directions. Except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2.14(e),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63" w:lineRule="exact"/>
        <w:rPr>
          <w:sz w:val="20"/>
          <w:szCs w:val="20"/>
          <w:color w:val="auto"/>
        </w:rPr>
      </w:pPr>
    </w:p>
    <w:p>
      <w:pPr>
        <w:ind w:right="580" w:firstLine="648"/>
        <w:spacing w:after="0" w:line="298"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Computation of Interest</w:t>
      </w:r>
      <w:r>
        <w:rPr>
          <w:rFonts w:ascii="Times New Roman" w:cs="Times New Roman" w:eastAsia="Times New Roman" w:hAnsi="Times New Roman"/>
          <w:sz w:val="18"/>
          <w:szCs w:val="18"/>
          <w:color w:val="auto"/>
        </w:rPr>
        <w:t xml:space="preserve">. Except as otherwise specified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2.02 for Securities of any Series, interest on the Securities of each Series shall be computed on the basis of a 360-day year of twelve 30-day months.</w:t>
      </w:r>
    </w:p>
    <w:p>
      <w:pPr>
        <w:spacing w:after="0" w:line="132"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i w:val="1"/>
          <w:iCs w:val="1"/>
          <w:color w:val="auto"/>
        </w:rPr>
        <w:t>CUSIP and ISIN Numbers</w:t>
      </w:r>
      <w:r>
        <w:rPr>
          <w:rFonts w:ascii="Times New Roman" w:cs="Times New Roman" w:eastAsia="Times New Roman" w:hAnsi="Times New Roman"/>
          <w:sz w:val="18"/>
          <w:szCs w:val="18"/>
          <w:color w:val="auto"/>
        </w:rPr>
        <w:t xml:space="preserve">. The Company in issuing the Securities may use “CUSIP” and “ISIN” numbers (if then generally in use), and, if so, the Trustee shall use “CUSIP” and “ISIN” numbers in notices of redemption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in writing of any changes to the CUSIP and ISIN numbers.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edemption</w:t>
      </w:r>
    </w:p>
    <w:p>
      <w:pPr>
        <w:spacing w:after="0" w:line="20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 to Trustee</w:t>
      </w:r>
      <w:r>
        <w:rPr>
          <w:rFonts w:ascii="Times New Roman" w:cs="Times New Roman" w:eastAsia="Times New Roman" w:hAnsi="Times New Roman"/>
          <w:sz w:val="18"/>
          <w:szCs w:val="18"/>
          <w:color w:val="auto"/>
        </w:rPr>
        <w:t>. 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35 calendar days before the redemption date (or such shorter notice as may be acceptable to the Trustee).</w:t>
      </w:r>
    </w:p>
    <w:p>
      <w:pPr>
        <w:spacing w:after="0" w:line="18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i w:val="1"/>
          <w:iCs w:val="1"/>
          <w:color w:val="auto"/>
        </w:rPr>
        <w:t>Selection of Securities to be Redeemed</w:t>
      </w:r>
      <w:r>
        <w:rPr>
          <w:rFonts w:ascii="Times New Roman" w:cs="Times New Roman" w:eastAsia="Times New Roman" w:hAnsi="Times New Roman"/>
          <w:sz w:val="17"/>
          <w:szCs w:val="17"/>
          <w:color w:val="auto"/>
        </w:rPr>
        <w:t>. Unless otherwise indicated for a particular Series by a Board Resolution, a supplemental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or an Officer’s Certificate, if less than all the Securities of a Series are to be redeemed, the Trustee shall select the Securities of the Series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 in any manner that the Trustee deems fair and appropriate including by lot or other method, unless otherwise required by law or applicable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requirements (as certified by the Company to the Trustee), subject, in the case of Global Securities, to the applicable rules and procedures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The Trustee shall make the selection from Securities of the Series outstanding not previously called for redemption. The Trustee may select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portions of the principal of Securities of the Series that have denominations larger than $1,000. Securities of the Series and portions of them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selects shall be in amounts of $1,000 or whole multiples of $1,000 or, with respect to Securities of any Series issuable in other denominations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2.02(j), the minimum principal denomination for each Series and integral multiples thereof. Provisions of this Indenture that apply to Securities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called for redemption also apply to portions of Securities of that Series called for redemption.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Unless otherwise indicated for a particular Series by Board Resolution, a supplemental indenture hereto or an Officer’s Certificate, at least 30 days but not more than 60 days before a redemption date, the Company shall provide a notice of redemption by electronic transmission or first-class mail to each Holder whose Securities are to be redeemed.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225" w:lineRule="exact"/>
        <w:rPr>
          <w:sz w:val="20"/>
          <w:szCs w:val="20"/>
          <w:color w:val="auto"/>
        </w:rPr>
      </w:pPr>
    </w:p>
    <w:p>
      <w:pPr>
        <w:ind w:left="1400" w:hanging="744"/>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if not then ascertainable, the manner of calculation thereof;</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right="40" w:firstLine="656"/>
        <w:spacing w:after="0" w:line="282" w:lineRule="auto"/>
        <w:tabs>
          <w:tab w:leader="none" w:pos="139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Securities of any Series are to be redeemed, the identification of the particular Securities to be redeemed and the portion of the principal amount of any Security to be redeemed in part;</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conditions precedent to the Company’s obligation to redeem the Securities on the redemption date; and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2" w:right="439" w:bottom="1440" w:gutter="0" w:footer="0" w:header="0"/>
        </w:sectPr>
      </w:pPr>
    </w:p>
    <w:bookmarkStart w:id="92" w:name="page93"/>
    <w:bookmarkEnd w:id="92"/>
    <w:p>
      <w:pPr>
        <w:ind w:left="1400" w:hanging="744"/>
        <w:spacing w:after="0"/>
        <w:tabs>
          <w:tab w:leader="none" w:pos="14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written request, given at least five (5) Business Days before such notice is to be sent (or such shorter period as shall be acceptable to the Trustee), the Trustee shall give the notice of redemption in the Company’s name and at the Company’s expense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form and content of such notice shall be prepared by the Company.</w:t>
      </w:r>
    </w:p>
    <w:p>
      <w:pPr>
        <w:spacing w:after="0" w:line="158" w:lineRule="exact"/>
        <w:rPr>
          <w:sz w:val="20"/>
          <w:szCs w:val="20"/>
          <w:color w:val="auto"/>
        </w:rPr>
      </w:pPr>
    </w:p>
    <w:p>
      <w:pPr>
        <w:ind w:right="360" w:firstLine="648"/>
        <w:spacing w:after="0" w:line="270"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Effect of Notice of Redemption</w:t>
      </w:r>
      <w:r>
        <w:rPr>
          <w:rFonts w:ascii="Times New Roman" w:cs="Times New Roman" w:eastAsia="Times New Roman" w:hAnsi="Times New Roman"/>
          <w:sz w:val="18"/>
          <w:szCs w:val="18"/>
          <w:color w:val="auto"/>
        </w:rPr>
        <w:t xml:space="preserve">. Once notice of redemption is transmitted, mailed or published as provided in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3.03, Securities of a Series called for redemption become due and payable on the redemption date and at the redemption price. Upon surrender to the Paying Agent, such Securities shall be paid at the redemption price plus accrued interest to, but excluding, the redemption date.</w:t>
      </w:r>
    </w:p>
    <w:p>
      <w:pPr>
        <w:spacing w:after="0" w:line="170"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r>
        <w:rPr>
          <w:rFonts w:ascii="Times New Roman" w:cs="Times New Roman" w:eastAsia="Times New Roman" w:hAnsi="Times New Roman"/>
          <w:sz w:val="18"/>
          <w:szCs w:val="18"/>
          <w:color w:val="auto"/>
        </w:rPr>
        <w:t>. On or before 11:00 a.m. New York City time on the redemption date, the Company shall deposit with the Paying Agent money sufficient to pay the redemption price of and accrued interest, if any, on all Securities to be redeemed on that date.</w:t>
      </w:r>
    </w:p>
    <w:p>
      <w:pPr>
        <w:spacing w:after="0" w:line="158"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Securities Redeemed in Part</w:t>
      </w:r>
      <w:r>
        <w:rPr>
          <w:rFonts w:ascii="Times New Roman" w:cs="Times New Roman" w:eastAsia="Times New Roman" w:hAnsi="Times New Roman"/>
          <w:sz w:val="18"/>
          <w:szCs w:val="18"/>
          <w:color w:val="auto"/>
        </w:rPr>
        <w:t>. Upon surrender of a Security that is redeemed in part, the Trustee shall authenticate for the Holder a new Security of the same Series and the same maturity equal in principal amount to the unredeemed portion of the Security surrendered.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w:t>
      </w:r>
    </w:p>
    <w:p>
      <w:pPr>
        <w:spacing w:after="0" w:line="20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Principal and Interest</w:t>
      </w:r>
      <w:r>
        <w:rPr>
          <w:rFonts w:ascii="Times New Roman" w:cs="Times New Roman" w:eastAsia="Times New Roman" w:hAnsi="Times New Roman"/>
          <w:sz w:val="18"/>
          <w:szCs w:val="18"/>
          <w:color w:val="auto"/>
        </w:rPr>
        <w:t>. The Company shall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SEC Reports</w:t>
      </w:r>
      <w:r>
        <w:rPr>
          <w:rFonts w:ascii="Times New Roman" w:cs="Times New Roman" w:eastAsia="Times New Roman" w:hAnsi="Times New Roman"/>
          <w:sz w:val="18"/>
          <w:szCs w:val="18"/>
          <w:color w:val="auto"/>
        </w:rPr>
        <w:t>. The Company shall furnish to the Trustee within 15 days after the filing by the Company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The Company will be deemed to have furnished such reports referred to in this Section to the Trustee if the Company has filed such reports with the SEC via the EDGAR filing system (or any successor thereto) and such reports are publicly available provided, however, that the Trustee shall have no obligation whatsoever to determine whether or not such information, documents or reports have been filed via EDGAR.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3" w:name="page94"/>
    <w:bookmarkEnd w:id="93"/>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The Company shall deliver to the Trustee, within 120 days after the end of each fiscal year of the Company, a brief certificate from the principal executive officer, principal financial officer, principal accounting officer or vice president or treasurer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nature and status thereof of which such Person may have knowledge. Such certificates need not comply with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11.05 of this Indenture.</w:t>
      </w:r>
    </w:p>
    <w:p>
      <w:pPr>
        <w:spacing w:after="0" w:line="20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color w:val="auto"/>
        </w:rPr>
        <w:t>.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6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Corporate Existence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Article 5, the Company will do or cause to be done all things necessary to preserve and keep in full force and effect its corporate existence and the rights (charter and statutory), licenses and franchises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preserve any such right, license or franchise,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7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The Company will maintain an office or agency in the United States, where the Securities of a Series may be surrendered for registration of transfer or exchange or for presentation for payment and where notices and demands to or upon the Company in respect of the Securities of a Series and this Indenture may be served.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 provided that the Corporate Trust Office shall not be a place of service of legal process on the Company.</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94" w:name="page95"/>
    <w:bookmarkEnd w:id="94"/>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from time to time designate co-registrars and one or more offices or agencies where the Securities of a Series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7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 to the Securities of any Series, it shall, on or before each due date of the principal of and premium, if any, and interest, if any, on any of such Securities, segregate and hold in trust for the benefit of the Persons entitled thereto a sum sufficient to pay the principal and premium or interest so becoming due until such sums shall be paid to such Persons or otherwise disposed of as herein provided. The Company shall promptly notify the Trustee of any failure by the Company (or any other obligor of such Securities) to make any payment of principal of or premium, if any, or interest, if any, on such Securities.</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the Securities of any Series, it shall, on or before each due date of the principal of and premium, if any, and interest, if any, on such Securities, deposit with such Paying Agents sums sufficient (without duplication) to pay the principal and premium or interest so becoming due, such sums to be held in trust for the benefit of the Persons entitled to such principal, premium or interest, and (unless such Paying Agent is the Trustee) the Company shall promptly notify the Trustee of any failure by it so to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cause each Paying Agent for the Securities of any Series, other than the Company or the Trustee, to execute and deliver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 instrument in which such Paying Agent shall agree with the Trustee, subject to the provisions of this Section, that such Paying Agent shall:</w:t>
      </w:r>
    </w:p>
    <w:p>
      <w:pPr>
        <w:spacing w:after="0" w:line="207" w:lineRule="exact"/>
        <w:rPr>
          <w:sz w:val="20"/>
          <w:szCs w:val="20"/>
          <w:color w:val="auto"/>
        </w:rPr>
      </w:pPr>
    </w:p>
    <w:p>
      <w:pPr>
        <w:ind w:left="660" w:right="280" w:firstLine="968"/>
        <w:spacing w:after="0" w:line="312" w:lineRule="auto"/>
        <w:tabs>
          <w:tab w:leader="none" w:pos="2342"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all sums held by it for the payment of the principal of and premium, if any, or interest, if any, on such Securities in trust for the benefit of the Persons entitled thereto until such sums shall be paid to such Persons or otherwise disposed of as herein provided;</w:t>
      </w:r>
    </w:p>
    <w:p>
      <w:pPr>
        <w:spacing w:after="0" w:line="139" w:lineRule="exact"/>
        <w:rPr>
          <w:rFonts w:ascii="Times New Roman" w:cs="Times New Roman" w:eastAsia="Times New Roman" w:hAnsi="Times New Roman"/>
          <w:sz w:val="17"/>
          <w:szCs w:val="17"/>
          <w:color w:val="auto"/>
        </w:rPr>
      </w:pPr>
    </w:p>
    <w:p>
      <w:pPr>
        <w:ind w:left="660" w:firstLine="968"/>
        <w:spacing w:after="0" w:line="282" w:lineRule="auto"/>
        <w:tabs>
          <w:tab w:leader="none" w:pos="23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failure by the Company (or any other obligor upon such Securities) to make any payment of principal of or premium, if any, or interest, if any, on such Securities; and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5" w:name="page96"/>
    <w:bookmarkEnd w:id="95"/>
    <w:p>
      <w:pPr>
        <w:jc w:val="both"/>
        <w:ind w:left="660" w:firstLine="968"/>
        <w:spacing w:after="0" w:line="266" w:lineRule="auto"/>
        <w:tabs>
          <w:tab w:leader="none" w:pos="23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failure, upon the written request of the Trustee, forthwith pay to the Trustee all sums so held in trust by such Paying Agent and furnish to the Trustee such information as it possesses regarding the names and addresses of the Persons entitled to such sums.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pay, or by Company Order direct any Paying Agent to pay, to the Trustee all sums held in trust by the Company or such Paying Agent, such sums to be held by the Trustee upon the same trusts as those upon which such sums were held by the Company or such Paying Agent and, if so stated in a Company Order delivered to the Trustee, in accordance with the provisions of Article‎ 8; and, upon such payment by any Paying Agent to the Trustee, such Paying Agent shall be released from all further liability with respect to such money.</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Any money deposited with the Trustee or any Paying Agent, or then held by the Company, in trust for the payment of the principal of and premium, if any, or interest, if any, on any Security and remaining unclaimed for two years after such principal and premium, if any, or interest, if any, has become due and payable shall be paid to the Company on request of the Company, or, if then held by the Company, shall be discharged from such trust; and, upon such payment or discharge, the Holder of such Security shall, as an unsecured general creditor and not as the Holder of an outstanding Security, look only to the Company for payment of the amount so due and payable and remaining unpaid, and all liability of the Trustee or such Paying Agent with respect to such trust money, and all liability of the Company as trustee thereof, shall thereupon cease.</w:t>
      </w:r>
    </w:p>
    <w:p>
      <w:pPr>
        <w:spacing w:after="0" w:line="17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Waiver of Certain Covenants</w:t>
      </w:r>
      <w:r>
        <w:rPr>
          <w:rFonts w:ascii="Times New Roman" w:cs="Times New Roman" w:eastAsia="Times New Roman" w:hAnsi="Times New Roman"/>
          <w:sz w:val="18"/>
          <w:szCs w:val="18"/>
          <w:color w:val="auto"/>
        </w:rPr>
        <w:t xml:space="preserve">. Except as otherwise specified as contemplated by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2.02 for Securities of such Series, the Company may, with respect to the Securities of any Series, omit in any particular instance to comply with any term, provision or condition set forth in any covenant provided herein or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2.02(s) or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9.01(b) for the benefit of the Holders of such Series if before the time for such compliance the Holders of at least 50% in principal amount of the outstanding Securities of such Series shall, by an Act of such Holders, either waive such compliance in such instance or generally waive compliance with such term, provision or condition, but no such wavier shall extend to or affect such term, provision or condition except to the extent so expressly waived, and, until such waiver shall become effective, the obligations of the Company and the duties of the Trustee in respect of such term, provision or condition shall remain in full force and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ind w:right="-15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uccessors</w:t>
      </w:r>
    </w:p>
    <w:p>
      <w:pPr>
        <w:spacing w:after="0" w:line="205"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When Company May Merge, Etc</w:t>
      </w:r>
      <w:r>
        <w:rPr>
          <w:rFonts w:ascii="Times New Roman" w:cs="Times New Roman" w:eastAsia="Times New Roman" w:hAnsi="Times New Roman"/>
          <w:sz w:val="18"/>
          <w:szCs w:val="18"/>
          <w:color w:val="auto"/>
        </w:rPr>
        <w:t>. The Company shall not consolidate with or merge into, or convey, transfer or lease all or substantially all of its properties and assets to, any Person (a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and may not permit any Person to merge into, or convey, transfer or lease its properties and assets substantially as an entirety to, the Company, unless:</w:t>
      </w:r>
    </w:p>
    <w:p>
      <w:pPr>
        <w:spacing w:after="0" w:line="175" w:lineRule="exact"/>
        <w:rPr>
          <w:sz w:val="20"/>
          <w:szCs w:val="20"/>
          <w:color w:val="auto"/>
        </w:rPr>
      </w:pPr>
    </w:p>
    <w:p>
      <w:pPr>
        <w:ind w:right="760" w:firstLine="656"/>
        <w:spacing w:after="0" w:line="282" w:lineRule="auto"/>
        <w:tabs>
          <w:tab w:leader="none" w:pos="138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shall be the continuing corporation or the successor person (if other than the Company) is a corporation, partnership, trust or other entity that expressly assumes the Company’s obligations on the Securities and under this Indenture; and</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such supplemental indenture comply with this Indenture.</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Successor Corporation Substituted</w:t>
      </w:r>
      <w:r>
        <w:rPr>
          <w:rFonts w:ascii="Times New Roman" w:cs="Times New Roman" w:eastAsia="Times New Roman" w:hAnsi="Times New Roman"/>
          <w:sz w:val="18"/>
          <w:szCs w:val="18"/>
          <w:color w:val="auto"/>
        </w:rPr>
        <w:t>. The successor person formed by such consolidation or into which the Company is merged or to which such transfer or lease is made shall succeed to and be substituted for, and may exercise every right and power of, the Company under this Indenture with the same effect as if such successor person had been named as the Company herein, and thereafter (except in the case of a lease to another Person) the predecessor corporation shall be relieved of all obligations and covenants under the Indenture and the Securities and, in the event of such conveyance or transfer, any such predecessor corporation may be dissolved and liquidated.</w:t>
      </w:r>
    </w:p>
    <w:p>
      <w:pPr>
        <w:spacing w:after="0" w:line="1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0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i w:val="1"/>
          <w:iCs w:val="1"/>
          <w:color w:val="auto"/>
        </w:rPr>
        <w:t>Events of Default.</w:t>
      </w:r>
    </w:p>
    <w:p>
      <w:pPr>
        <w:spacing w:after="0" w:line="223"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wherever used herein with respect to Securities of any Series, means any one of the following events, unless in the establishing Board Resolution, supplemental indenture or Officer’s Certificate, it 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Series shall not have the benefit of said Event of Default:</w:t>
      </w: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97" w:name="page98"/>
    <w:bookmarkEnd w:id="97"/>
    <w:p>
      <w:pPr>
        <w:ind w:left="-20" w:firstLine="656"/>
        <w:spacing w:after="0" w:line="261" w:lineRule="auto"/>
        <w:tabs>
          <w:tab w:leader="none" w:pos="13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valid extension of an interest payment period by the Company in accordance with the terms of such Securities shall not constitute a failure to pay interest; or</w:t>
      </w:r>
    </w:p>
    <w:p>
      <w:pPr>
        <w:spacing w:after="0" w:line="179" w:lineRule="exact"/>
        <w:rPr>
          <w:rFonts w:ascii="Times New Roman" w:cs="Times New Roman" w:eastAsia="Times New Roman" w:hAnsi="Times New Roman"/>
          <w:sz w:val="18"/>
          <w:szCs w:val="18"/>
          <w:color w:val="auto"/>
        </w:rPr>
      </w:pPr>
    </w:p>
    <w:p>
      <w:pPr>
        <w:ind w:left="1380" w:hanging="744"/>
        <w:spacing w:after="0"/>
        <w:tabs>
          <w:tab w:leader="none" w:pos="1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Security of that Series when due at its Maturity; or</w:t>
      </w:r>
    </w:p>
    <w:p>
      <w:pPr>
        <w:spacing w:after="0" w:line="225" w:lineRule="exact"/>
        <w:rPr>
          <w:rFonts w:ascii="Times New Roman" w:cs="Times New Roman" w:eastAsia="Times New Roman" w:hAnsi="Times New Roman"/>
          <w:sz w:val="18"/>
          <w:szCs w:val="18"/>
          <w:color w:val="auto"/>
        </w:rPr>
      </w:pPr>
    </w:p>
    <w:p>
      <w:pPr>
        <w:ind w:left="1380" w:hanging="744"/>
        <w:spacing w:after="0"/>
        <w:tabs>
          <w:tab w:leader="none" w:pos="1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when and as due in respect of any Security of that Series; or</w:t>
      </w:r>
    </w:p>
    <w:p>
      <w:pPr>
        <w:spacing w:after="0" w:line="221" w:lineRule="exact"/>
        <w:rPr>
          <w:rFonts w:ascii="Times New Roman" w:cs="Times New Roman" w:eastAsia="Times New Roman" w:hAnsi="Times New Roman"/>
          <w:sz w:val="18"/>
          <w:szCs w:val="18"/>
          <w:color w:val="auto"/>
        </w:rPr>
      </w:pPr>
    </w:p>
    <w:p>
      <w:pPr>
        <w:ind w:left="-20" w:right="120" w:firstLine="656"/>
        <w:spacing w:after="0" w:line="259" w:lineRule="auto"/>
        <w:tabs>
          <w:tab w:leader="none" w:pos="13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subject to the provisions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4.08,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hereunder; or</w:t>
      </w:r>
    </w:p>
    <w:p>
      <w:pPr>
        <w:spacing w:after="0" w:line="183" w:lineRule="exact"/>
        <w:rPr>
          <w:rFonts w:ascii="Times New Roman" w:cs="Times New Roman" w:eastAsia="Times New Roman" w:hAnsi="Times New Roman"/>
          <w:sz w:val="18"/>
          <w:szCs w:val="18"/>
          <w:color w:val="auto"/>
        </w:rPr>
      </w:pPr>
    </w:p>
    <w:p>
      <w:pPr>
        <w:ind w:left="1380" w:hanging="744"/>
        <w:spacing w:after="0"/>
        <w:tabs>
          <w:tab w:leader="none" w:pos="1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2320" w:hanging="712"/>
        <w:spacing w:after="0"/>
        <w:tabs>
          <w:tab w:leader="none" w:pos="23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2320" w:hanging="712"/>
        <w:spacing w:after="0"/>
        <w:tabs>
          <w:tab w:leader="none" w:pos="23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2320" w:hanging="712"/>
        <w:spacing w:after="0"/>
        <w:tabs>
          <w:tab w:leader="none" w:pos="23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2280" w:hanging="672"/>
        <w:spacing w:after="0"/>
        <w:tabs>
          <w:tab w:leader="none" w:pos="22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2260" w:hanging="652"/>
        <w:spacing w:after="0"/>
        <w:tabs>
          <w:tab w:leader="none" w:pos="2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 or</w:t>
      </w:r>
    </w:p>
    <w:p>
      <w:pPr>
        <w:spacing w:after="0" w:line="225" w:lineRule="exact"/>
        <w:rPr>
          <w:rFonts w:ascii="Times New Roman" w:cs="Times New Roman" w:eastAsia="Times New Roman" w:hAnsi="Times New Roman"/>
          <w:sz w:val="18"/>
          <w:szCs w:val="18"/>
          <w:color w:val="auto"/>
        </w:rPr>
      </w:pPr>
    </w:p>
    <w:p>
      <w:pPr>
        <w:ind w:left="1360" w:hanging="724"/>
        <w:spacing w:after="0"/>
        <w:tabs>
          <w:tab w:leader="none" w:pos="1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320" w:hanging="712"/>
        <w:spacing w:after="0"/>
        <w:tabs>
          <w:tab w:leader="none" w:pos="23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98" w:name="page99"/>
    <w:bookmarkEnd w:id="98"/>
    <w:p>
      <w:pPr>
        <w:ind w:left="2340" w:hanging="712"/>
        <w:spacing w:after="0"/>
        <w:tabs>
          <w:tab w:leader="none" w:pos="2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for all or substantially all of its property, or</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and the order or decree remains unstayed and in effect for 60 days; or</w:t>
      </w:r>
    </w:p>
    <w:p>
      <w:pPr>
        <w:spacing w:after="0" w:line="225" w:lineRule="exact"/>
        <w:rPr>
          <w:sz w:val="20"/>
          <w:szCs w:val="20"/>
          <w:color w:val="auto"/>
        </w:rPr>
      </w:pPr>
    </w:p>
    <w:p>
      <w:pPr>
        <w:ind w:left="1400" w:hanging="744"/>
        <w:spacing w:after="0"/>
        <w:tabs>
          <w:tab w:leader="none" w:pos="1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hereto or an Officer’s Certificate,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2.02(s).</w:t>
      </w:r>
    </w:p>
    <w:p>
      <w:pPr>
        <w:spacing w:after="0" w:line="203"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 The term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4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of Maturity; Rescission and Annulment</w:t>
      </w:r>
      <w:r>
        <w:rPr>
          <w:rFonts w:ascii="Times New Roman" w:cs="Times New Roman" w:eastAsia="Times New Roman" w:hAnsi="Times New Roman"/>
          <w:sz w:val="18"/>
          <w:szCs w:val="18"/>
          <w:color w:val="auto"/>
        </w:rPr>
        <w:t xml:space="preserve">. If an Event of Default described in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(a) or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(b) occurs and is continuing, then, and in each and every such case, except for any series of Securities the principal of which shall have already become due and payable, either the Trustee or the Holders of not less than 25% in aggregate principal amount of the Securities of each such affected series then outstanding hereunder (each such series voting as a separate class) by notice in writing to the Company (and to the Trustee if given by Securityholders), may declare the entire principal (or, if the Securities of such series are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8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Except as otherwise provided in the terms of any series of Senior Securities pursuant to Section‎ 2.02, if an Event of Default described in</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Section 6.01(d) or Section‎ 6.01(g) above with respect to all series of the Senior Securities then outstanding, occurs and is continuing, then, and in each and every such case, unless the principal of all of the Senior Securities shall have already become due and payable, either the Trustee or the Holders of not less than 25% in aggregate principal amount of all of the Senior Securities then outstanding hereunder (treated as one class) by notice in writing to the Company (and to the Trustee if given by Securityholders), may declare the entire principal (or, if the Senior Securities of any series are Discount Securities, such portion of the principal amount as may be specified in the terms of such series) of all of the Senior Securities then outstanding, and the interest accrued thereon, if any, to be due and payable immediately, and upon such declaration, the same shall become immediately due and payable. If an Event of Default described in ‎Section 6.01(d) or 6.01(f) above occurs and is continuing, then the principal amount of all the Senior Securities then outstanding, and the interest accrued thereon, if any, shall become and be immediately due and payable without any declaration or other act on the part of the Trustee or any Holder.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firstLine="648"/>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the terms of any series of Subordinated Securities pursuant to Section‎ 2.02, if an Event of Default described in Section 6.01(d) or ‎Section 6.01(g) above with respect to all series of Subordinated Securities then outstanding, occurs and is continuing, then, and in each and every such case, unless the principal of all of the Subordinated Securities shall have already become due and payable, either the Trustee or the Holders of not less than 25% in aggregate principal amount of all of the Subordinated Securities then outstanding hereunder (treated as one class) by notice in writing to the Company (and to the Trustee if given by Securityholders), may declare the entire principal (or, if the Subordinated Securities of any series are Discount Securities, such portion of the principal amount as may be specified in the terms of such series) of all of the Subordinated Securities then outstanding, and the interest accrued thereon, if any, to be due and payable immediately, and upon such declaration, the same shall become immediately due and payable.</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an Event of Default described in Section‎ 6.01(d) or Section‎ 6.01(g) occurs and is continuing, which Event of Default is with respect to less than all series of Senior Securities then outstanding, then, and in each and every such case, except for any series of Senior Securities the principal of which shall have already become due and payable, either the Trustee or the Holders of not less than 25% in aggregate principal amount of the Senior Securities of each such affected series then outstanding hereunder (each such series voting as a separate class) by notice in writing to the Company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an Event of Default described in Section‎ 6.01(d) or Section‎ 6.01(g) occurs and is continuing, which Event of Default is with respect to less than all series of Subordinated Securities then outstanding, then, and in each and every such case, except for any series of Subordinated Securities the principal of which shall have already become due and payable, either the Trustee or the Holders of not less than 25% in aggregate principal amount of the Subordinated Securities of each such affected series then outstanding hereunder (each such series voting as a separate class) by notice in writing to the Company (and to the Trustee if given by Securityholders), may declare the entire principal (or, if the Securities of such series are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Section‎ 6.01(e) or Section‎ 6.01(f)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76" w:lineRule="exact"/>
        <w:rPr>
          <w:sz w:val="20"/>
          <w:szCs w:val="20"/>
          <w:color w:val="auto"/>
        </w:rPr>
      </w:pPr>
    </w:p>
    <w:p>
      <w:pPr>
        <w:ind w:left="1400" w:hanging="744"/>
        <w:spacing w:after="0"/>
        <w:tabs>
          <w:tab w:leader="none" w:pos="1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if any, on all Securities of that Series,</w:t>
      </w:r>
    </w:p>
    <w:p>
      <w:pPr>
        <w:spacing w:after="0" w:line="225" w:lineRule="exact"/>
        <w:rPr>
          <w:rFonts w:ascii="Times New Roman" w:cs="Times New Roman" w:eastAsia="Times New Roman" w:hAnsi="Times New Roman"/>
          <w:sz w:val="18"/>
          <w:szCs w:val="18"/>
          <w:color w:val="auto"/>
        </w:rPr>
      </w:pPr>
    </w:p>
    <w:p>
      <w:pPr>
        <w:ind w:left="660" w:firstLine="968"/>
        <w:spacing w:after="0" w:line="282" w:lineRule="auto"/>
        <w:tabs>
          <w:tab w:leader="none" w:pos="23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any Securities of that Series which have become due otherwise than by such declaration of acceleration and interest thereon at the rate or rates prescribed therefor in such Securities,</w:t>
      </w:r>
    </w:p>
    <w:p>
      <w:pPr>
        <w:spacing w:after="0" w:line="161" w:lineRule="exact"/>
        <w:rPr>
          <w:rFonts w:ascii="Times New Roman" w:cs="Times New Roman" w:eastAsia="Times New Roman" w:hAnsi="Times New Roman"/>
          <w:sz w:val="18"/>
          <w:szCs w:val="18"/>
          <w:color w:val="auto"/>
        </w:rPr>
      </w:pPr>
    </w:p>
    <w:p>
      <w:pPr>
        <w:ind w:left="660" w:right="120" w:firstLine="968"/>
        <w:spacing w:after="0" w:line="282" w:lineRule="auto"/>
        <w:tabs>
          <w:tab w:leader="none" w:pos="235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any overdue principal and overdue interest at the rate or rates prescribed therefor in such Securities, and</w:t>
      </w:r>
    </w:p>
    <w:p>
      <w:pPr>
        <w:spacing w:after="0" w:line="161" w:lineRule="exact"/>
        <w:rPr>
          <w:rFonts w:ascii="Times New Roman" w:cs="Times New Roman" w:eastAsia="Times New Roman" w:hAnsi="Times New Roman"/>
          <w:sz w:val="18"/>
          <w:szCs w:val="18"/>
          <w:color w:val="auto"/>
        </w:rPr>
      </w:pPr>
    </w:p>
    <w:p>
      <w:pPr>
        <w:ind w:left="660" w:right="600" w:firstLine="968"/>
        <w:spacing w:after="0" w:line="282" w:lineRule="auto"/>
        <w:tabs>
          <w:tab w:leader="none" w:pos="234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161"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Securities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Series which have become due solely by such declaration of acceleration, have been cured or waived as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6.13.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i w:val="1"/>
          <w:iCs w:val="1"/>
          <w:color w:val="auto"/>
        </w:rPr>
        <w:t>Collection of Indebtedness and Suits for Enforcement by Trustee</w:t>
      </w:r>
      <w:r>
        <w:rPr>
          <w:rFonts w:ascii="Times New Roman" w:cs="Times New Roman" w:eastAsia="Times New Roman" w:hAnsi="Times New Roman"/>
          <w:sz w:val="17"/>
          <w:szCs w:val="17"/>
          <w:color w:val="auto"/>
        </w:rPr>
        <w:t>. The Company covenants that if</w:t>
      </w:r>
    </w:p>
    <w:p>
      <w:pPr>
        <w:spacing w:after="0" w:line="227" w:lineRule="exact"/>
        <w:rPr>
          <w:sz w:val="20"/>
          <w:szCs w:val="20"/>
          <w:color w:val="auto"/>
        </w:rPr>
      </w:pPr>
    </w:p>
    <w:p>
      <w:pPr>
        <w:ind w:right="160" w:firstLine="656"/>
        <w:spacing w:after="0" w:line="282" w:lineRule="auto"/>
        <w:tabs>
          <w:tab w:leader="none" w:pos="138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when due at the Maturity thereof,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right="20" w:firstLine="656"/>
        <w:spacing w:after="0" w:line="258" w:lineRule="auto"/>
        <w:tabs>
          <w:tab w:leader="none" w:pos="138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when and as due by the terms of a Security, 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or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5" w:lineRule="exact"/>
        <w:rPr>
          <w:sz w:val="20"/>
          <w:szCs w:val="20"/>
          <w:color w:val="auto"/>
        </w:rPr>
      </w:pPr>
    </w:p>
    <w:p>
      <w:pPr>
        <w:ind w:right="280" w:firstLine="656"/>
        <w:spacing w:after="0" w:line="289" w:lineRule="auto"/>
        <w:tabs>
          <w:tab w:leader="none" w:pos="138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2" w:name="page103"/>
    <w:bookmarkEnd w:id="102"/>
    <w:p>
      <w:pPr>
        <w:ind w:firstLine="656"/>
        <w:spacing w:after="0" w:line="255" w:lineRule="auto"/>
        <w:tabs>
          <w:tab w:leader="none" w:pos="139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the Trustee under Section‎ 7.07.</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4" w:lineRule="exact"/>
        <w:rPr>
          <w:sz w:val="20"/>
          <w:szCs w:val="20"/>
          <w:color w:val="auto"/>
        </w:rPr>
      </w:pPr>
    </w:p>
    <w:p>
      <w:pPr>
        <w:jc w:val="both"/>
        <w:ind w:right="4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Trustee May Enforce Claims without Possession of Securities</w:t>
      </w:r>
      <w:r>
        <w:rPr>
          <w:rFonts w:ascii="Times New Roman" w:cs="Times New Roman" w:eastAsia="Times New Roman" w:hAnsi="Times New Roman"/>
          <w:sz w:val="18"/>
          <w:szCs w:val="18"/>
          <w:color w:val="auto"/>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Application of Money Collected</w:t>
      </w:r>
      <w:r>
        <w:rPr>
          <w:rFonts w:ascii="Times New Roman" w:cs="Times New Roman" w:eastAsia="Times New Roman" w:hAnsi="Times New Roman"/>
          <w:sz w:val="18"/>
          <w:szCs w:val="18"/>
          <w:color w:val="auto"/>
        </w:rPr>
        <w:t>. 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all amounts due the Trustee under Section‎ 7.07; and</w:t>
      </w:r>
    </w:p>
    <w:p>
      <w:pPr>
        <w:spacing w:after="0" w:line="225"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the amounts then due and unpaid for principal of and interest on the Securities in respect of which or for the benefit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such money has been collected, ratably, without preference or priority of any kind, according to the amounts due and payable on such Securities for principal and interest, respectively; and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Company.</w:t>
      </w:r>
    </w:p>
    <w:p>
      <w:pPr>
        <w:spacing w:after="0" w:line="225"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Limitation on Suits</w:t>
      </w:r>
      <w:r>
        <w:rPr>
          <w:rFonts w:ascii="Times New Roman" w:cs="Times New Roman" w:eastAsia="Times New Roman" w:hAnsi="Times New Roman"/>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3" w:name="page104"/>
    <w:bookmarkEnd w:id="103"/>
    <w:p>
      <w:pPr>
        <w:ind w:right="280" w:firstLine="656"/>
        <w:spacing w:after="0" w:line="282" w:lineRule="auto"/>
        <w:tabs>
          <w:tab w:leader="none" w:pos="138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an Event of Default and the continuance thereof with respect to the Securities of that Series;</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139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right="580" w:firstLine="656"/>
        <w:spacing w:after="0" w:line="282" w:lineRule="auto"/>
        <w:tabs>
          <w:tab w:leader="none" w:pos="138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reasonably satisfactory to the Trustee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right="40" w:firstLine="656"/>
        <w:spacing w:after="0" w:line="282" w:lineRule="auto"/>
        <w:tabs>
          <w:tab w:leader="none" w:pos="138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7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Unconditional Right of Holders to Receive Principal and Interest</w:t>
      </w:r>
      <w:r>
        <w:rPr>
          <w:rFonts w:ascii="Times New Roman" w:cs="Times New Roman" w:eastAsia="Times New Roman" w:hAnsi="Times New Roman"/>
          <w:sz w:val="18"/>
          <w:szCs w:val="18"/>
          <w:color w:val="auto"/>
        </w:rPr>
        <w:t>. 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4" w:name="page105"/>
    <w:bookmarkEnd w:id="104"/>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Rights and Remedies Cumulative</w:t>
      </w:r>
      <w:r>
        <w:rPr>
          <w:rFonts w:ascii="Times New Roman" w:cs="Times New Roman" w:eastAsia="Times New Roman" w:hAnsi="Times New Roman"/>
          <w:sz w:val="18"/>
          <w:szCs w:val="18"/>
          <w:color w:val="auto"/>
        </w:rPr>
        <w:t xml:space="preserve">. Except as otherwise provided with respect to the replacement or payment of mutilated, destroyed, lost or stolen Securities in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Control by Holders</w:t>
      </w:r>
      <w:r>
        <w:rPr>
          <w:rFonts w:ascii="Times New Roman" w:cs="Times New Roman" w:eastAsia="Times New Roman" w:hAnsi="Times New Roman"/>
          <w:sz w:val="18"/>
          <w:szCs w:val="18"/>
          <w:color w:val="auto"/>
        </w:rPr>
        <w:t xml:space="preserve">.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75" w:lineRule="exact"/>
        <w:rPr>
          <w:sz w:val="20"/>
          <w:szCs w:val="20"/>
          <w:color w:val="auto"/>
        </w:rPr>
      </w:pPr>
    </w:p>
    <w:p>
      <w:pPr>
        <w:ind w:left="1400" w:hanging="744"/>
        <w:spacing w:after="0"/>
        <w:tabs>
          <w:tab w:leader="none" w:pos="14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21" w:lineRule="exact"/>
        <w:rPr>
          <w:rFonts w:ascii="Times New Roman" w:cs="Times New Roman" w:eastAsia="Times New Roman" w:hAnsi="Times New Roman"/>
          <w:sz w:val="18"/>
          <w:szCs w:val="18"/>
          <w:color w:val="auto"/>
        </w:rPr>
      </w:pPr>
    </w:p>
    <w:p>
      <w:pPr>
        <w:ind w:right="160" w:firstLine="656"/>
        <w:spacing w:after="0" w:line="286" w:lineRule="auto"/>
        <w:tabs>
          <w:tab w:leader="none" w:pos="13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the Trustee shall have the right to decline to follow any such direction if the Trustee in good faith shall, by a Trust Officer of the Trustee, determine that the proceeding so directed would involve the Trustee in personal liability, and</w:t>
      </w:r>
    </w:p>
    <w:p>
      <w:pPr>
        <w:spacing w:after="0" w:line="158" w:lineRule="exact"/>
        <w:rPr>
          <w:rFonts w:ascii="Times New Roman" w:cs="Times New Roman" w:eastAsia="Times New Roman" w:hAnsi="Times New Roman"/>
          <w:sz w:val="18"/>
          <w:szCs w:val="18"/>
          <w:color w:val="auto"/>
        </w:rPr>
      </w:pPr>
    </w:p>
    <w:p>
      <w:pPr>
        <w:ind w:right="360" w:firstLine="656"/>
        <w:spacing w:after="0" w:line="282" w:lineRule="auto"/>
        <w:tabs>
          <w:tab w:leader="none" w:pos="13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action as directed under this Section 6.12, the Trustee shall be entitled to indemnity or security satisfactory to it against the costs, expenses and liabilities which might be incurred by it in compliance with such request or direction.</w:t>
      </w:r>
    </w:p>
    <w:p>
      <w:pPr>
        <w:spacing w:after="0" w:line="1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2" w:right="419" w:bottom="1440" w:gutter="0" w:footer="0" w:header="0"/>
        </w:sectPr>
      </w:pPr>
    </w:p>
    <w:bookmarkStart w:id="105" w:name="page106"/>
    <w:bookmarkEnd w:id="105"/>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rustee</w:t>
      </w:r>
    </w:p>
    <w:p>
      <w:pPr>
        <w:spacing w:after="0" w:line="205"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w:t>
      </w:r>
      <w:r>
        <w:rPr>
          <w:rFonts w:ascii="Times New Roman" w:cs="Times New Roman" w:eastAsia="Times New Roman" w:hAnsi="Times New Roman"/>
          <w:sz w:val="18"/>
          <w:szCs w:val="18"/>
          <w:color w:val="auto"/>
        </w:rPr>
        <w:t>. (a)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sz w:val="20"/>
          <w:szCs w:val="20"/>
          <w:color w:val="auto"/>
        </w:rPr>
      </w:pPr>
    </w:p>
    <w:p>
      <w:pPr>
        <w:ind w:left="1400" w:hanging="744"/>
        <w:spacing w:after="0"/>
        <w:tabs>
          <w:tab w:leader="none" w:pos="14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left="660" w:firstLine="968"/>
        <w:spacing w:after="0" w:line="282" w:lineRule="auto"/>
        <w:tabs>
          <w:tab w:leader="none" w:pos="234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 implied covenants or obligations shall be read into this Indenture against the Trustee; and</w:t>
      </w:r>
    </w:p>
    <w:p>
      <w:pPr>
        <w:spacing w:after="0" w:line="161" w:lineRule="exact"/>
        <w:rPr>
          <w:rFonts w:ascii="Times New Roman" w:cs="Times New Roman" w:eastAsia="Times New Roman" w:hAnsi="Times New Roman"/>
          <w:sz w:val="18"/>
          <w:szCs w:val="18"/>
          <w:color w:val="auto"/>
        </w:rPr>
      </w:pPr>
    </w:p>
    <w:p>
      <w:pPr>
        <w:ind w:left="660" w:right="80" w:firstLine="968"/>
        <w:spacing w:after="0" w:line="261" w:lineRule="auto"/>
        <w:tabs>
          <w:tab w:leader="none" w:pos="239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or not they conform to the requirements of this Indenture.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06" w:name="page107"/>
    <w:bookmarkEnd w:id="106"/>
    <w:p>
      <w:pPr>
        <w:ind w:left="1400" w:hanging="744"/>
        <w:spacing w:after="0"/>
        <w:tabs>
          <w:tab w:leader="none" w:pos="14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not be relieved from liability for its own negligent action, its own negligent failure to act or its own willful misconduct,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except that:</w:t>
      </w:r>
    </w:p>
    <w:p>
      <w:pPr>
        <w:spacing w:after="0" w:line="202" w:lineRule="exact"/>
        <w:rPr>
          <w:rFonts w:ascii="Times New Roman" w:cs="Times New Roman" w:eastAsia="Times New Roman" w:hAnsi="Times New Roman"/>
          <w:sz w:val="17"/>
          <w:szCs w:val="17"/>
          <w:color w:val="auto"/>
        </w:rPr>
      </w:pPr>
    </w:p>
    <w:p>
      <w:pPr>
        <w:ind w:left="2340" w:hanging="712"/>
        <w:spacing w:after="0"/>
        <w:tabs>
          <w:tab w:leader="none" w:pos="23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Section;</w:t>
      </w:r>
    </w:p>
    <w:p>
      <w:pPr>
        <w:spacing w:after="0" w:line="229" w:lineRule="exact"/>
        <w:rPr>
          <w:rFonts w:ascii="Times New Roman" w:cs="Times New Roman" w:eastAsia="Times New Roman" w:hAnsi="Times New Roman"/>
          <w:sz w:val="18"/>
          <w:szCs w:val="18"/>
          <w:color w:val="auto"/>
        </w:rPr>
      </w:pPr>
    </w:p>
    <w:p>
      <w:pPr>
        <w:ind w:left="660" w:right="160" w:firstLine="968"/>
        <w:spacing w:after="0" w:line="282" w:lineRule="auto"/>
        <w:tabs>
          <w:tab w:leader="none" w:pos="239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Trust Officer, unless it is proved that the Trustee was negligent in ascertaining the pertinent facts; and</w:t>
      </w:r>
    </w:p>
    <w:p>
      <w:pPr>
        <w:spacing w:after="0" w:line="161" w:lineRule="exact"/>
        <w:rPr>
          <w:rFonts w:ascii="Times New Roman" w:cs="Times New Roman" w:eastAsia="Times New Roman" w:hAnsi="Times New Roman"/>
          <w:sz w:val="18"/>
          <w:szCs w:val="18"/>
          <w:color w:val="auto"/>
        </w:rPr>
      </w:pPr>
    </w:p>
    <w:p>
      <w:pPr>
        <w:ind w:left="660" w:right="40" w:firstLine="968"/>
        <w:spacing w:after="0" w:line="282" w:lineRule="auto"/>
        <w:tabs>
          <w:tab w:leader="none" w:pos="244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with respect to Securities of any Series in good faith in accordance with the direction of the Holders of a majority in principal amount of the outstanding Securities of such Series.</w:t>
      </w:r>
    </w:p>
    <w:p>
      <w:pPr>
        <w:spacing w:after="0" w:line="157"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p>
    <w:p>
      <w:pPr>
        <w:spacing w:after="0" w:line="22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held in trust by the Trustee need not be segregated from other funds except to the extent required by law.</w:t>
      </w:r>
    </w:p>
    <w:p>
      <w:pPr>
        <w:spacing w:after="0" w:line="225" w:lineRule="exact"/>
        <w:rPr>
          <w:rFonts w:ascii="Times New Roman" w:cs="Times New Roman" w:eastAsia="Times New Roman" w:hAnsi="Times New Roman"/>
          <w:sz w:val="18"/>
          <w:szCs w:val="18"/>
          <w:color w:val="auto"/>
        </w:rPr>
      </w:pPr>
    </w:p>
    <w:p>
      <w:pPr>
        <w:ind w:right="120" w:firstLine="656"/>
        <w:spacing w:after="0" w:line="266" w:lineRule="auto"/>
        <w:tabs>
          <w:tab w:leader="none" w:pos="139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is not assured to the Trustee in its satisfaction.</w:t>
      </w:r>
    </w:p>
    <w:p>
      <w:pPr>
        <w:spacing w:after="0" w:line="175" w:lineRule="exact"/>
        <w:rPr>
          <w:rFonts w:ascii="Times New Roman" w:cs="Times New Roman" w:eastAsia="Times New Roman" w:hAnsi="Times New Roman"/>
          <w:sz w:val="18"/>
          <w:szCs w:val="18"/>
          <w:color w:val="auto"/>
        </w:rPr>
      </w:pPr>
    </w:p>
    <w:p>
      <w:pPr>
        <w:ind w:right="540" w:firstLine="656"/>
        <w:spacing w:after="0" w:line="282" w:lineRule="auto"/>
        <w:tabs>
          <w:tab w:leader="none" w:pos="139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relating to the conduct or affecting the liability of or affording protection to the Trustee shall be subject to the provisions of this Section and to the provisions of the TIA.</w:t>
      </w:r>
    </w:p>
    <w:p>
      <w:pPr>
        <w:spacing w:after="0" w:line="160" w:lineRule="exact"/>
        <w:rPr>
          <w:sz w:val="20"/>
          <w:szCs w:val="20"/>
          <w:color w:val="auto"/>
        </w:rPr>
      </w:pPr>
    </w:p>
    <w:p>
      <w:pPr>
        <w:jc w:val="both"/>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Rights of Trustee</w:t>
      </w:r>
      <w:r>
        <w:rPr>
          <w:rFonts w:ascii="Times New Roman" w:cs="Times New Roman" w:eastAsia="Times New Roman" w:hAnsi="Times New Roman"/>
          <w:sz w:val="18"/>
          <w:szCs w:val="18"/>
          <w:color w:val="auto"/>
        </w:rPr>
        <w:t>. (a) 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right="260" w:firstLine="656"/>
        <w:spacing w:after="0" w:line="282" w:lineRule="auto"/>
        <w:tabs>
          <w:tab w:leader="none" w:pos="139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the Officer’s Certificate or Opinion of Counsel.</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act through agents and shall not be responsible for the misconduct or negligence of any agent appointed with due care.</w:t>
      </w:r>
    </w:p>
    <w:p>
      <w:pPr>
        <w:spacing w:after="0" w:line="236" w:lineRule="exact"/>
        <w:rPr>
          <w:rFonts w:ascii="Times New Roman" w:cs="Times New Roman" w:eastAsia="Times New Roman" w:hAnsi="Times New Roman"/>
          <w:sz w:val="17"/>
          <w:szCs w:val="17"/>
          <w:color w:val="auto"/>
        </w:rPr>
      </w:pPr>
    </w:p>
    <w:p>
      <w:pPr>
        <w:ind w:left="1400" w:hanging="744"/>
        <w:spacing w:after="0"/>
        <w:tabs>
          <w:tab w:leader="none" w:pos="14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powers.</w:t>
      </w:r>
    </w:p>
    <w:p>
      <w:pPr>
        <w:spacing w:after="0" w:line="206" w:lineRule="exact"/>
        <w:rPr>
          <w:rFonts w:ascii="Times New Roman" w:cs="Times New Roman" w:eastAsia="Times New Roman" w:hAnsi="Times New Roman"/>
          <w:sz w:val="18"/>
          <w:szCs w:val="18"/>
          <w:color w:val="auto"/>
        </w:rPr>
      </w:pPr>
    </w:p>
    <w:p>
      <w:pPr>
        <w:ind w:right="140" w:firstLine="656"/>
        <w:spacing w:after="0" w:line="266" w:lineRule="auto"/>
        <w:tabs>
          <w:tab w:leader="none" w:pos="13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or opinion of counsel with respect to legal matters relating to this Indenture and the Securities shall be full and complete authorization and protection from liability in respect to any action taken, omitted or suffered by it hereunder in good faith and in accordance with the advice or opinion of such counsel.</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3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debenture, note or other paper or document, but the Trustee, in its discretion, may make such further inquiry or investigation into such facts or matters as it may see fit.</w:t>
      </w:r>
    </w:p>
    <w:p>
      <w:pPr>
        <w:spacing w:after="0" w:line="175" w:lineRule="exact"/>
        <w:rPr>
          <w:rFonts w:ascii="Times New Roman" w:cs="Times New Roman" w:eastAsia="Times New Roman" w:hAnsi="Times New Roman"/>
          <w:sz w:val="18"/>
          <w:szCs w:val="18"/>
          <w:color w:val="auto"/>
        </w:rPr>
      </w:pPr>
    </w:p>
    <w:p>
      <w:pPr>
        <w:ind w:firstLine="656"/>
        <w:spacing w:after="0" w:line="266" w:lineRule="auto"/>
        <w:tabs>
          <w:tab w:leader="none" w:pos="139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satisfactory to the Trustee against the costs, expenses, losses and liabilities which may be incurred therein or thereby.</w:t>
      </w:r>
    </w:p>
    <w:p>
      <w:pPr>
        <w:spacing w:after="0" w:line="175" w:lineRule="exact"/>
        <w:rPr>
          <w:rFonts w:ascii="Times New Roman" w:cs="Times New Roman" w:eastAsia="Times New Roman" w:hAnsi="Times New Roman"/>
          <w:sz w:val="18"/>
          <w:szCs w:val="18"/>
          <w:color w:val="auto"/>
        </w:rPr>
      </w:pPr>
    </w:p>
    <w:p>
      <w:pPr>
        <w:ind w:right="320" w:firstLine="656"/>
        <w:spacing w:after="0" w:line="266" w:lineRule="auto"/>
        <w:tabs>
          <w:tab w:leader="none" w:pos="139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rights to be indemnified, are extended to, and shall be enforceable by, the Trustee in each of its capacities hereunder, and to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right="60" w:firstLine="656"/>
        <w:spacing w:after="0" w:line="266" w:lineRule="auto"/>
        <w:tabs>
          <w:tab w:leader="none" w:pos="135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08" w:name="page109"/>
    <w:bookmarkEnd w:id="108"/>
    <w:p>
      <w:pPr>
        <w:ind w:left="1400" w:hanging="744"/>
        <w:spacing w:after="0"/>
        <w:tabs>
          <w:tab w:leader="none" w:pos="14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execution of the trusts and powers or otherwise in respect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Indenture.</w:t>
      </w:r>
    </w:p>
    <w:p>
      <w:pPr>
        <w:spacing w:after="0" w:line="20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Trustee be liable in its individual capacity for the obligations evidenced by the Securities.</w:t>
      </w:r>
    </w:p>
    <w:p>
      <w:pPr>
        <w:spacing w:after="0" w:line="221" w:lineRule="exact"/>
        <w:rPr>
          <w:rFonts w:ascii="Times New Roman" w:cs="Times New Roman" w:eastAsia="Times New Roman" w:hAnsi="Times New Roman"/>
          <w:sz w:val="18"/>
          <w:szCs w:val="18"/>
          <w:color w:val="auto"/>
        </w:rPr>
      </w:pPr>
    </w:p>
    <w:p>
      <w:pPr>
        <w:ind w:right="140" w:firstLine="656"/>
        <w:spacing w:after="0" w:line="291" w:lineRule="auto"/>
        <w:tabs>
          <w:tab w:leader="none" w:pos="144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reports, information and documents to the Trustee under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4.02 is for informational purposes only and the Trustee’s receipt of the foregoing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56" w:lineRule="exact"/>
        <w:rPr>
          <w:rFonts w:ascii="Times New Roman" w:cs="Times New Roman" w:eastAsia="Times New Roman" w:hAnsi="Times New Roman"/>
          <w:sz w:val="17"/>
          <w:szCs w:val="17"/>
          <w:color w:val="auto"/>
        </w:rPr>
      </w:pPr>
    </w:p>
    <w:p>
      <w:pPr>
        <w:ind w:firstLine="656"/>
        <w:spacing w:after="0" w:line="266" w:lineRule="auto"/>
        <w:tabs>
          <w:tab w:leader="none" w:pos="139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Indenture to the contrary, neither the Trustee nor any Agent shall be responsible or liable to any person for any indirect, special, punitive or consequential damage or loss (including but not limited to lost profits) whatsoever, even if the Trustee has been informed of the likelihood thereof and regardless of the form of action.</w:t>
      </w:r>
    </w:p>
    <w:p>
      <w:pPr>
        <w:spacing w:after="0" w:line="17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r>
        <w:rPr>
          <w:rFonts w:ascii="Times New Roman" w:cs="Times New Roman" w:eastAsia="Times New Roman" w:hAnsi="Times New Roman"/>
          <w:sz w:val="18"/>
          <w:szCs w:val="18"/>
          <w:color w:val="auto"/>
        </w:rPr>
        <w:t>. The Trustee in its individual or any other capacity may become the owner or pledgee of Securities and may otherwise deal with the Company or an Affiliate with the same rights it would have if it were not Trustee. Any Agent may do the same with like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rights. The Trustee is also subject to Sections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7.10 and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7.11.</w:t>
      </w:r>
    </w:p>
    <w:p>
      <w:pPr>
        <w:spacing w:after="0" w:line="20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shall not be responsible and makes no representation as to the validity or adequacy of this Indenture or the Securities, it shall not be accountable for the Company’s use of the proceeds from the Securities, and it shall not be responsible for any statement in the Securities or in any document issued in connection with the sale of the Securities or in the Securities other than its certificate of authentication.</w:t>
      </w:r>
    </w:p>
    <w:p>
      <w:pPr>
        <w:spacing w:after="0" w:line="18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If a Default or Event of Default occurs and is continuing with respect to the Securities of any Series and if it is known to a Trust Officer of the Trustee, the Trustee shall send to each Securityholder of the Securities of that Series notice of a Default or Event of Default within 90 days after it occurs or 30 days after it is known to a Trust Officer or written notice of it is received by the Trustee. Except in the case of a Default or Event of Default in payment of principal, premium, if any, of or interest on any Security of any Series or in payment of any redemption obligation, the Trustee may withhold the notice if and so long as its corporate trust committee or a committee of its Trust Officers in good faith determines that withholding the notice is in the interests of Securityholders of that Series.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9" w:name="page110"/>
    <w:bookmarkEnd w:id="109"/>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Reports by Trustee to Holders</w:t>
      </w:r>
      <w:r>
        <w:rPr>
          <w:rFonts w:ascii="Times New Roman" w:cs="Times New Roman" w:eastAsia="Times New Roman" w:hAnsi="Times New Roman"/>
          <w:sz w:val="18"/>
          <w:szCs w:val="18"/>
          <w:color w:val="auto"/>
        </w:rPr>
        <w:t>. As promptly as practicable after each May 15 beginning with May 15, 2023 and in any event prior to July 15 in each year, the Trustee shall transmit by mail or by electronic transmission to all Securityholders, as their names and addresses appear on the register kept by the Registrar. The Trustee shall also comply with TIA § 313(b) and TIA § 313(c).</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sending to Securityholders of any Series shall be filed with the SEC and each stock exchange (if any) on which the Securities of that Series are listed. The Company shall promptly notify the Trustee when Securities of any Series are listed on any stock exchange and of any delisting thereof.</w:t>
      </w:r>
    </w:p>
    <w:p>
      <w:pPr>
        <w:spacing w:after="0" w:line="17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Compensation and Indemnity</w:t>
      </w:r>
      <w:r>
        <w:rPr>
          <w:rFonts w:ascii="Times New Roman" w:cs="Times New Roman" w:eastAsia="Times New Roman" w:hAnsi="Times New Roman"/>
          <w:sz w:val="18"/>
          <w:szCs w:val="18"/>
          <w:color w:val="auto"/>
        </w:rPr>
        <w:t xml:space="preserve">. The Company shall pay to the Trustee from time to time such compensation as the Company and the Trustee shall from time to time agree in writing. The Trustee’s compensation shall not be limited by any law on compensation of a trustee of an express trust. The Company shall reimburse the Trustee upon request for all reasonable out-of-pocket expenses incurred or made by it, including costs of collection, in addition to the compensation for its services. Such expenses shall include the reasonable compensation and expenses, disbursements and advances of the Trustee’s agents, counsel, accountants and experts. The Company shall indemnify the Trustee, any predecessor Trustee, its officers, directors, employees and agents, and hold each of them harmless, against any and all loss, liability or expense (including reasonable attorneys’ fees) incurred by or in connection with the offer and sale of the Securities or the administration of this trust and the performance of its duties hereunder. The Trustee shall notify the Company of any claim for which it may seek indemnity promptly upon obtaining actual knowledge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failure so to notify the Company shall not relieve the Company of its indemnity obligations hereunder. The Company shall defend the claim and the indemnified party shall provide reasonable cooperation at the Company’s expense in the defense. Such indemnified parties may have separate counsel and the Company shall pay the fees and expenses of such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such fees and expenses if it assumes such indemnified parties’ defense and, in such indemnified parties’ reasonable judgment, there is no conflict of interest between the Company and such parties in connection with such defense. The Company need not reimburse any expense or indemnify against any loss, liability or expense incurred by an indemnified party through such party’s own willful misconduct and gross negligence.</w:t>
      </w:r>
    </w:p>
    <w:p>
      <w:pPr>
        <w:spacing w:after="0" w:line="18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other than money or property held in trust to pay principal of and interest and any liquidated damages on particular Securities of that Series.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0" w:name="page111"/>
    <w:bookmarkEnd w:id="110"/>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Company’s payment obligations pursuant to this Section shall survive the satisfaction or discharge of this Indenture, any rejection or termination of this Indenture under any bankruptcy law or the resignation or removal of the Trustee.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6.01(f) or Section‎ 6.01(g) occurs, the expenses and the compensation for the services are intended to constitute expenses of administration under any Bankruptcy Law.</w:t>
      </w:r>
    </w:p>
    <w:p>
      <w:pPr>
        <w:spacing w:after="0" w:line="16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r>
        <w:rPr>
          <w:rFonts w:ascii="Times New Roman" w:cs="Times New Roman" w:eastAsia="Times New Roman" w:hAnsi="Times New Roman"/>
          <w:sz w:val="18"/>
          <w:szCs w:val="18"/>
          <w:color w:val="auto"/>
        </w:rPr>
        <w:t>. The Trustee may resign with respect to the Securities of one or more Series at any time by so notifying the Company. The Holders of a majority in principal amount of the Securities of any Series may remove the Trustee with respect to that Series by so notifying the Trustee and may appoint a successor Trustee. The Company shall remove the Trustee with respect to Securities of one or more Series if:</w:t>
      </w:r>
    </w:p>
    <w:p>
      <w:pPr>
        <w:spacing w:after="0" w:line="171" w:lineRule="exact"/>
        <w:rPr>
          <w:sz w:val="20"/>
          <w:szCs w:val="20"/>
          <w:color w:val="auto"/>
        </w:rPr>
      </w:pPr>
    </w:p>
    <w:p>
      <w:pPr>
        <w:ind w:left="1400" w:hanging="744"/>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7.10;</w:t>
      </w:r>
    </w:p>
    <w:p>
      <w:pPr>
        <w:spacing w:after="0" w:line="22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bankrupt or insolvent;</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other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w:t>
      </w:r>
    </w:p>
    <w:p>
      <w:pPr>
        <w:spacing w:after="0" w:line="22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If the Trustee resigns, is removed by the Company or by the Holders of a majority in principal amount of the Securities of any Series and such Securityholders do not reasonably promptly appoint a successor Trustee, or if a vacancy exists in the office of Trustee for any reason (the Trustee in such event being referred to herein as the retiring Trustee), the Company shall promptly appoint a successor Trustee.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with respect to each Series of Securities for which it is acting as Trustee under this Indenture. The successor Trustee shall send a notice of its succession to each Securityholder of each such Series. The retiring Trustee shall promptly transfer all property held by it as Trustee to the successor Trustee, subject to the lien provided for in ‎Section 7.07.</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or the Holders of 10% in principal amount of the Securities of the applicable Series may petition any court of competent jurisdiction for the appointment of a successor Trustee.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1" w:name="page112"/>
    <w:bookmarkEnd w:id="111"/>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If the Trustee with respect to the Securities of any one or more Series fails to comply with Section‎ 7.10, any Securityholder of the applicable Series may petition any court of competent jurisdiction for the removal of the Trustee and the appointment of a successor Trustee.</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replacement of the Trustee pursuant to this Section, the Company’s obligations under Section‎ 7.07 shall continue for the benefit of the retiring Trustee.</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Successor Trustee by Merger, etc</w:t>
      </w:r>
      <w:r>
        <w:rPr>
          <w:rFonts w:ascii="Times New Roman" w:cs="Times New Roman" w:eastAsia="Times New Roman" w:hAnsi="Times New Roman"/>
          <w:sz w:val="18"/>
          <w:szCs w:val="18"/>
          <w:color w:val="auto"/>
        </w:rPr>
        <w:t>. If the Trustee consolidates with, merges or converts into, or transfers all or substantially all of its corporate trust business or assets to, another corporation or banking association, the resulting, surviving or transferee corporation without any further act or notice shall be the successor Trustee.</w:t>
      </w:r>
    </w:p>
    <w:p>
      <w:pPr>
        <w:spacing w:after="0" w:line="17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case at the time such successor or successors by merger, conversion or consolidation to the Trustee with respect to the Securities of any one or more Series shall succeed to the trusts created by this Indenture any of the Securities of the applicable Series shall have been authenticated but not delivered, any such successor to such Trustee may adopt the certificate of authentication of any predecessor trustee, and deliver such Securities of the applicable Series so authenticated; and in case at that time any of the Securities of such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of such Series or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certificate of the Trustee shall have.</w:t>
      </w:r>
    </w:p>
    <w:p>
      <w:pPr>
        <w:spacing w:after="0" w:line="18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Eligibility; Disqualification</w:t>
      </w:r>
      <w:r>
        <w:rPr>
          <w:rFonts w:ascii="Times New Roman" w:cs="Times New Roman" w:eastAsia="Times New Roman" w:hAnsi="Times New Roman"/>
          <w:sz w:val="18"/>
          <w:szCs w:val="18"/>
          <w:color w:val="auto"/>
        </w:rPr>
        <w:t xml:space="preserve">. The Trustee shall at all times satisfy the requirements of TIA § 310(a). The Trustee shall have a combined capital and surplus of at least $100,000,000 as set forth in its most recent published annual report of condition. The Trustee shall comply with TIA § 310(b);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shall be excluded from the operation of TIA § 310(b)(1) any indenture or indentures under which other securities or certificates of interest or participation in other securities of the Company are outstanding if the requirements for such exclusion set forth in TIA § 310(b)(1) are met.</w:t>
      </w:r>
    </w:p>
    <w:p>
      <w:pPr>
        <w:spacing w:after="0" w:line="183"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Preferential Collection of Claims against Company</w:t>
      </w:r>
      <w:r>
        <w:rPr>
          <w:rFonts w:ascii="Times New Roman" w:cs="Times New Roman" w:eastAsia="Times New Roman" w:hAnsi="Times New Roman"/>
          <w:sz w:val="18"/>
          <w:szCs w:val="18"/>
          <w:color w:val="auto"/>
        </w:rPr>
        <w:t>. The Trustee shall comply with TIA § 311(a), excluding any creditor relationship listed in TIA § 311(b). A Trustee who has resigned or been removed shall be subject to TIA § 311(a) to the extent indicated.</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2" w:name="page113"/>
    <w:bookmarkEnd w:id="112"/>
    <w:p>
      <w:pPr>
        <w:jc w:val="center"/>
        <w:ind w:right="-7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efeasance</w:t>
      </w:r>
    </w:p>
    <w:p>
      <w:pPr>
        <w:spacing w:after="0" w:line="20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Satisfaction and Discharge of Indenture</w:t>
      </w:r>
      <w:r>
        <w:rPr>
          <w:rFonts w:ascii="Times New Roman" w:cs="Times New Roman" w:eastAsia="Times New Roman" w:hAnsi="Times New Roman"/>
          <w:sz w:val="18"/>
          <w:szCs w:val="18"/>
          <w:color w:val="auto"/>
        </w:rPr>
        <w:t xml:space="preserve">. This Indenture, with respect to Securities of any Series (if all Series issued under this Indenture are not to be effected) shall, upon Company Order, cease to be of further effect (except as hereinafter provided in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8.01), and the Trustee, at the expense of the Company, shall execute such instruments reasonably requested by the Company acknowledging satisfaction and discharge of this Indenture, when</w:t>
      </w:r>
    </w:p>
    <w:p>
      <w:pPr>
        <w:spacing w:after="0" w:line="184" w:lineRule="exact"/>
        <w:rPr>
          <w:sz w:val="20"/>
          <w:szCs w:val="20"/>
          <w:color w:val="auto"/>
        </w:rPr>
      </w:pPr>
    </w:p>
    <w:p>
      <w:pPr>
        <w:ind w:left="1400" w:hanging="744"/>
        <w:spacing w:after="0"/>
        <w:tabs>
          <w:tab w:leader="none" w:pos="14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660" w:firstLine="968"/>
        <w:spacing w:after="0" w:line="261" w:lineRule="auto"/>
        <w:tabs>
          <w:tab w:leader="none" w:pos="234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(A) Securities that have been destroyed, lost or stolen and that have been replaced or paid or (B) Securities for whose payment money has theretofore been deposited in trust or segregated and held in trust by the Company and thereafter repaid to the Company or discharged from such trust, as provided in Sections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.05 and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.07) have been delivered to the Trustee for cancellation; or</w:t>
      </w:r>
    </w:p>
    <w:p>
      <w:pPr>
        <w:spacing w:after="0" w:line="179"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225" w:lineRule="exact"/>
        <w:rPr>
          <w:rFonts w:ascii="Times New Roman" w:cs="Times New Roman" w:eastAsia="Times New Roman" w:hAnsi="Times New Roman"/>
          <w:sz w:val="18"/>
          <w:szCs w:val="18"/>
          <w:color w:val="auto"/>
        </w:rPr>
      </w:pPr>
    </w:p>
    <w:p>
      <w:pPr>
        <w:ind w:left="3060" w:hanging="784"/>
        <w:spacing w:after="0"/>
        <w:tabs>
          <w:tab w:leader="none" w:pos="30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3060" w:hanging="784"/>
        <w:spacing w:after="0"/>
        <w:tabs>
          <w:tab w:leader="none" w:pos="30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left="1300" w:right="140" w:firstLine="976"/>
        <w:spacing w:after="0" w:line="282" w:lineRule="auto"/>
        <w:tabs>
          <w:tab w:leader="none" w:pos="305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 or</w:t>
      </w:r>
    </w:p>
    <w:p>
      <w:pPr>
        <w:spacing w:after="0" w:line="161" w:lineRule="exact"/>
        <w:rPr>
          <w:rFonts w:ascii="Times New Roman" w:cs="Times New Roman" w:eastAsia="Times New Roman" w:hAnsi="Times New Roman"/>
          <w:sz w:val="18"/>
          <w:szCs w:val="18"/>
          <w:color w:val="auto"/>
        </w:rPr>
      </w:pPr>
    </w:p>
    <w:p>
      <w:pPr>
        <w:ind w:left="3060" w:hanging="784"/>
        <w:spacing w:after="0"/>
        <w:tabs>
          <w:tab w:leader="none" w:pos="30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8.03, as applicable;</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and the Company, in the case of (A),‎ (B)‎ or (C)‎ above, has deposited or caused to be deposited with the Trustee as trust funds in trust an amount sufficient for the purpose of paying and discharging the entire indebtedness on such Securities not theretofore delivered to the Trustee for cancellation, for principal of, premium, if any, and interest on, and any mandatory sinking fund payments to the date of such deposit (in the case of Securities of such Series which have become due and payable on or prior to the date of such deposit) or to the Stated Maturity or redemption date, as the case may be;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13" w:name="page114"/>
    <w:bookmarkEnd w:id="113"/>
    <w:p>
      <w:pPr>
        <w:ind w:left="2440" w:hanging="812"/>
        <w:spacing w:after="0"/>
        <w:tabs>
          <w:tab w:leader="none" w:pos="2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660" w:right="640" w:firstLine="968"/>
        <w:spacing w:after="0" w:line="282" w:lineRule="auto"/>
        <w:tabs>
          <w:tab w:leader="none" w:pos="243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7.07, and, if money shall have been deposited with the Trustee pursuant to ‎Section 8.01 of this Section, the provisions of Sections ‎2.04, ‎2.07, ‎2.08, ‎4.07 (last paragraph only), 8.01, ‎8.02 and ‎8.05 shall survive.</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Application of Trust Funds; Indemnification</w:t>
      </w:r>
      <w:r>
        <w:rPr>
          <w:rFonts w:ascii="Times New Roman" w:cs="Times New Roman" w:eastAsia="Times New Roman" w:hAnsi="Times New Roman"/>
          <w:sz w:val="18"/>
          <w:szCs w:val="18"/>
          <w:color w:val="auto"/>
        </w:rPr>
        <w:t xml:space="preserve">. (a) Subject to the provisions of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8.05, all money deposited with the Trustee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8.01, all money and U.S. Government Obligations or Foreign Government Obligations (in the case of any Securities denominated in a foreign currency) deposited with the Trustee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8.03 or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8.04 and all money received by the Trustee in respect of U.S. Government</w:t>
      </w:r>
    </w:p>
    <w:p>
      <w:pPr>
        <w:ind w:right="100"/>
        <w:spacing w:after="0" w:line="248" w:lineRule="auto"/>
        <w:rPr>
          <w:sz w:val="20"/>
          <w:szCs w:val="20"/>
          <w:color w:val="auto"/>
        </w:rPr>
      </w:pPr>
      <w:r>
        <w:rPr>
          <w:rFonts w:ascii="Times New Roman" w:cs="Times New Roman" w:eastAsia="Times New Roman" w:hAnsi="Times New Roman"/>
          <w:sz w:val="18"/>
          <w:szCs w:val="18"/>
          <w:color w:val="auto"/>
        </w:rPr>
        <w:t xml:space="preserve">Obligations or Foreign Government Obligations deposited with the Trustee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8.03 or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8.04, shall be held in trust and applied by it, in accordance with the provisions of the Securities and this Indenture, to the payment, either directly or through any Paying Agent (including the Company if acting as its own Paying Agent) as the Trustee may determine, to the Persons entitled thereto, of the principal and interest for whose payment such money</w:t>
      </w:r>
    </w:p>
    <w:p>
      <w:pPr>
        <w:spacing w:after="0" w:line="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has been deposited with or received by the Trustee or to make mandatory sinking fund payments or analogous payments as contemplated by Section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8.03 or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8.04.</w:t>
      </w:r>
    </w:p>
    <w:p>
      <w:pPr>
        <w:spacing w:after="0" w:line="177" w:lineRule="exact"/>
        <w:rPr>
          <w:sz w:val="20"/>
          <w:szCs w:val="20"/>
          <w:color w:val="auto"/>
        </w:rPr>
      </w:pPr>
    </w:p>
    <w:p>
      <w:pPr>
        <w:ind w:right="120" w:firstLine="656"/>
        <w:spacing w:after="0" w:line="266" w:lineRule="auto"/>
        <w:tabs>
          <w:tab w:leader="none" w:pos="139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 or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.04 or the interest and principal received in respect of such obligations other than any payable by or on behalf of Holders.</w:t>
      </w:r>
    </w:p>
    <w:p>
      <w:pPr>
        <w:spacing w:after="0" w:line="175" w:lineRule="exact"/>
        <w:rPr>
          <w:rFonts w:ascii="Times New Roman" w:cs="Times New Roman" w:eastAsia="Times New Roman" w:hAnsi="Times New Roman"/>
          <w:sz w:val="18"/>
          <w:szCs w:val="18"/>
          <w:color w:val="auto"/>
        </w:rPr>
      </w:pPr>
    </w:p>
    <w:p>
      <w:pPr>
        <w:ind w:right="40" w:firstLine="656"/>
        <w:spacing w:after="0" w:line="256" w:lineRule="auto"/>
        <w:tabs>
          <w:tab w:leader="none" w:pos="138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Request any U.S. Government Obligations or Foreign Government Obligations or money held by it as provided in Section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 or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Legal Defeasance of Securities of any Series</w:t>
      </w:r>
      <w:r>
        <w:rPr>
          <w:rFonts w:ascii="Times New Roman" w:cs="Times New Roman" w:eastAsia="Times New Roman" w:hAnsi="Times New Roman"/>
          <w:sz w:val="18"/>
          <w:szCs w:val="18"/>
          <w:color w:val="auto"/>
        </w:rPr>
        <w:t xml:space="preserve">. Unless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8.03 is otherwise specified,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2.02(x), to be inapplicable to Securities of any Series, the Company shall be deemed to have paid and discharged the entire indebtedness on all the outstanding Securities of such Series on the 91st day after the date of the deposit referred to in subparagraph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(d) hereof, and the provisions of this Indenture, as it relates to such outstanding Securities of such Series, shall no longer be in effect (and the Trustee, at the expense of the Company, shall, at Company Request, execute such instruments reasonably requested by the Company acknowledging the same), except as to:</w:t>
      </w:r>
    </w:p>
    <w:p>
      <w:pPr>
        <w:spacing w:after="0" w:line="181" w:lineRule="exact"/>
        <w:rPr>
          <w:sz w:val="20"/>
          <w:szCs w:val="20"/>
          <w:color w:val="auto"/>
        </w:rPr>
      </w:pPr>
    </w:p>
    <w:p>
      <w:pPr>
        <w:ind w:firstLine="656"/>
        <w:spacing w:after="0" w:line="262" w:lineRule="auto"/>
        <w:tabs>
          <w:tab w:leader="none" w:pos="138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6"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.04,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.08,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 and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.05; and</w:t>
      </w:r>
    </w:p>
    <w:p>
      <w:pPr>
        <w:spacing w:after="0" w:line="22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 and immunities of the Trustee hereunder and the Company’s obligations in connection therewith;</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following conditions shall have been satisfied:</w:t>
      </w:r>
    </w:p>
    <w:p>
      <w:pPr>
        <w:spacing w:after="0" w:line="227" w:lineRule="exact"/>
        <w:rPr>
          <w:sz w:val="20"/>
          <w:szCs w:val="20"/>
          <w:color w:val="auto"/>
        </w:rPr>
      </w:pPr>
    </w:p>
    <w:p>
      <w:pPr>
        <w:ind w:right="20" w:firstLine="656"/>
        <w:spacing w:after="0" w:line="254" w:lineRule="auto"/>
        <w:tabs>
          <w:tab w:leader="none" w:pos="139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deposited or caused to be deposited irrevocably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(including mandatory sinking fund or analogous payments) of and interest, if any, on all the Securities of such Series on the dates such installments of interest or principal are due;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15" w:name="page116"/>
    <w:bookmarkEnd w:id="115"/>
    <w:p>
      <w:pPr>
        <w:ind w:right="40" w:firstLine="656"/>
        <w:spacing w:after="0" w:line="282" w:lineRule="auto"/>
        <w:tabs>
          <w:tab w:leader="none" w:pos="138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right="240" w:firstLine="656"/>
        <w:spacing w:after="0" w:line="282" w:lineRule="auto"/>
        <w:tabs>
          <w:tab w:leader="none" w:pos="13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ind w:firstLine="656"/>
        <w:spacing w:after="0" w:line="256" w:lineRule="auto"/>
        <w:tabs>
          <w:tab w:leader="none" w:pos="139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from a nationally recognized law firm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87"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9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175" w:lineRule="exact"/>
        <w:rPr>
          <w:rFonts w:ascii="Times New Roman" w:cs="Times New Roman" w:eastAsia="Times New Roman" w:hAnsi="Times New Roman"/>
          <w:sz w:val="18"/>
          <w:szCs w:val="18"/>
          <w:color w:val="auto"/>
        </w:rPr>
      </w:pPr>
    </w:p>
    <w:p>
      <w:pPr>
        <w:ind w:right="340" w:firstLine="656"/>
        <w:spacing w:after="0" w:line="282" w:lineRule="auto"/>
        <w:tabs>
          <w:tab w:leader="none" w:pos="135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shall not result in the trust arising from such deposit constituting an investment company (as defined in the Investment Company Act of 1940, as amended), or such trust shall be qualified under such Act or exempt from regulation thereunder; and</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precedent provided for relating to the defeasance contemplated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8.03 have been complied with.</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xml:space="preserve">. Unless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8.04 is otherwise specified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2.02(x) to be inapplicable to Securities of any Series, on and after the date of the deposit referred to in subparagraph </w:t>
      </w:r>
      <w:r>
        <w:rPr>
          <w:rFonts w:ascii="Times New Roman" w:cs="Times New Roman" w:eastAsia="Times New Roman" w:hAnsi="Times New Roman"/>
          <w:sz w:val="18"/>
          <w:szCs w:val="18"/>
          <w:color w:val="auto"/>
          <w:highlight w:val="lightGray"/>
        </w:rPr>
        <w:t>(a)</w:t>
      </w:r>
      <w:r>
        <w:rPr>
          <w:rFonts w:ascii="Times New Roman" w:cs="Times New Roman" w:eastAsia="Times New Roman" w:hAnsi="Times New Roman"/>
          <w:sz w:val="18"/>
          <w:szCs w:val="18"/>
          <w:color w:val="auto"/>
        </w:rPr>
        <w:t xml:space="preserve"> hereof, the Company may omit to comply with any term, provision or condition set forth under Sections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4.05 and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5.01 as well as any additional covenants contained in a supplemental indenture hereto for a particular Series of Securities or a Board Resolution or an Officer’s Certificate delivered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2.02(x) (and the failure to comply with any such covenants shall not constitute a Default or Event of Default under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6.01) and the occurrence of any event described in clause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(e) of</w:t>
      </w:r>
    </w:p>
    <w:p>
      <w:pPr>
        <w:spacing w:after="0" w:line="5"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8"/>
          <w:szCs w:val="18"/>
          <w:color w:val="auto"/>
        </w:rPr>
        <w:t>Section 6.01 shall not constitute a Default or Event of Default hereunder, with respect to the Securities of such Series, provided that the following conditions shall have been satisfied:</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16" w:name="page117"/>
    <w:bookmarkEnd w:id="116"/>
    <w:p>
      <w:pPr>
        <w:ind w:firstLine="656"/>
        <w:spacing w:after="0" w:line="254" w:lineRule="auto"/>
        <w:tabs>
          <w:tab w:leader="none" w:pos="13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8.04, the Company has deposited or caused to be irrevocably deposited (except as provided in Section 8.02(b)) with the Trustee as trust funds in trust,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principal and interest, if any, on and any mandatory sinking fund in respect of the Securities of such Series on the dates such installments of interest or principal are due;</w:t>
      </w:r>
    </w:p>
    <w:p>
      <w:pPr>
        <w:spacing w:after="0" w:line="192" w:lineRule="exact"/>
        <w:rPr>
          <w:rFonts w:ascii="Times New Roman" w:cs="Times New Roman" w:eastAsia="Times New Roman" w:hAnsi="Times New Roman"/>
          <w:sz w:val="18"/>
          <w:szCs w:val="18"/>
          <w:color w:val="auto"/>
        </w:rPr>
      </w:pPr>
    </w:p>
    <w:p>
      <w:pPr>
        <w:ind w:right="80" w:firstLine="656"/>
        <w:spacing w:after="0" w:line="282" w:lineRule="auto"/>
        <w:tabs>
          <w:tab w:leader="none" w:pos="139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w:t>
      </w:r>
    </w:p>
    <w:p>
      <w:pPr>
        <w:spacing w:after="0" w:line="206" w:lineRule="exact"/>
        <w:rPr>
          <w:rFonts w:ascii="Times New Roman" w:cs="Times New Roman" w:eastAsia="Times New Roman" w:hAnsi="Times New Roman"/>
          <w:sz w:val="18"/>
          <w:szCs w:val="18"/>
          <w:color w:val="auto"/>
        </w:rPr>
      </w:pPr>
    </w:p>
    <w:p>
      <w:pPr>
        <w:jc w:val="both"/>
        <w:ind w:right="120" w:firstLine="656"/>
        <w:spacing w:after="0" w:line="261" w:lineRule="auto"/>
        <w:tabs>
          <w:tab w:leader="none" w:pos="139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from a nationally recognized law firm confirming that Holders of the Securities of such Series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spacing w:after="0" w:line="179" w:lineRule="exact"/>
        <w:rPr>
          <w:rFonts w:ascii="Times New Roman" w:cs="Times New Roman" w:eastAsia="Times New Roman" w:hAnsi="Times New Roman"/>
          <w:sz w:val="18"/>
          <w:szCs w:val="18"/>
          <w:color w:val="auto"/>
        </w:rPr>
      </w:pPr>
    </w:p>
    <w:p>
      <w:pPr>
        <w:ind w:right="80" w:firstLine="656"/>
        <w:spacing w:after="0" w:line="266" w:lineRule="auto"/>
        <w:tabs>
          <w:tab w:leader="none" w:pos="13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ind w:left="1380" w:hanging="724"/>
        <w:spacing w:after="0"/>
        <w:tabs>
          <w:tab w:leader="none" w:pos="1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precedent herein provided for relating to the defeasance contemplated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8.04 have been complied with.</w:t>
      </w:r>
    </w:p>
    <w:p>
      <w:pPr>
        <w:spacing w:after="0" w:line="20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Repayment to Compan</w:t>
      </w:r>
      <w:r>
        <w:rPr>
          <w:rFonts w:ascii="Times New Roman" w:cs="Times New Roman" w:eastAsia="Times New Roman" w:hAnsi="Times New Roman"/>
          <w:sz w:val="18"/>
          <w:szCs w:val="18"/>
          <w:color w:val="auto"/>
        </w:rPr>
        <w:t>y. Subject to applicable abandoned property laws, the Trustee and the Paying Agent shall promptly pay to the Company (or its designee) upon Company Order any excess moneys or U.S. Government Obligations held by them at any time. The provisions of the</w:t>
      </w:r>
    </w:p>
    <w:p>
      <w:pPr>
        <w:spacing w:after="0" w:line="260" w:lineRule="auto"/>
        <w:rPr>
          <w:sz w:val="20"/>
          <w:szCs w:val="20"/>
          <w:color w:val="auto"/>
        </w:rPr>
      </w:pPr>
      <w:r>
        <w:rPr>
          <w:rFonts w:ascii="Times New Roman" w:cs="Times New Roman" w:eastAsia="Times New Roman" w:hAnsi="Times New Roman"/>
          <w:sz w:val="18"/>
          <w:szCs w:val="18"/>
          <w:color w:val="auto"/>
        </w:rPr>
        <w:t>last paragraph of Section‎ 4.07 shall apply to any money held by the Trustee or any Paying Agent that remains unclaimed for two years after the Maturity of any Series or Securities for which money or U.S. Government Obligations have been deposited pursuant to ‎Section 8.03 and ‎8.04.</w:t>
      </w:r>
    </w:p>
    <w:p>
      <w:pPr>
        <w:spacing w:after="0" w:line="179" w:lineRule="exact"/>
        <w:rPr>
          <w:sz w:val="20"/>
          <w:szCs w:val="20"/>
          <w:color w:val="auto"/>
        </w:rPr>
      </w:pPr>
    </w:p>
    <w:p>
      <w:pPr>
        <w:ind w:right="3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Effect of Subordination Provisions</w:t>
      </w:r>
      <w:r>
        <w:rPr>
          <w:rFonts w:ascii="Times New Roman" w:cs="Times New Roman" w:eastAsia="Times New Roman" w:hAnsi="Times New Roman"/>
          <w:sz w:val="18"/>
          <w:szCs w:val="18"/>
          <w:color w:val="auto"/>
        </w:rPr>
        <w:t>. Unless otherwise expressly established pursuant to ‎Section 2.02 with respect to the Subordinated Securities of any Series, the provisions of ‎Article 10 hereof, insofar as they pertain to the Subordinated Securities of such series, and the</w:t>
      </w:r>
    </w:p>
    <w:p>
      <w:pPr>
        <w:ind w:right="20"/>
        <w:spacing w:after="0" w:line="250" w:lineRule="auto"/>
        <w:rPr>
          <w:sz w:val="20"/>
          <w:szCs w:val="20"/>
          <w:color w:val="auto"/>
        </w:rPr>
      </w:pPr>
      <w:r>
        <w:rPr>
          <w:rFonts w:ascii="Times New Roman" w:cs="Times New Roman" w:eastAsia="Times New Roman" w:hAnsi="Times New Roman"/>
          <w:sz w:val="18"/>
          <w:szCs w:val="18"/>
          <w:color w:val="auto"/>
        </w:rPr>
        <w:t>Subordination Provisions established pursuant to Section‎ 2.02(i) with respect to such Series, are hereby expressly made subject to the provisions for satisfaction and discharge and defeasance and covenant defeasance set forth in this ‎Article 8 and, anything herein to the contrary notwithstanding, upon the</w:t>
      </w:r>
    </w:p>
    <w:p>
      <w:pPr>
        <w:spacing w:after="0" w:line="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effectiveness of such satisfaction and discharge and defeasance and covenant defeasance pursuant to this Article‎ 8 with respect to the Securities of such Series, such Securities shall thereupon cease to be so subordinated and shall no longer be subject to the provisions of ‎Article 10 or the Subordination</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Provisions established pursuant to Section‎ 2.02(i) with respect to such series and, without limitation to the foregoing, all moneys, U.S. Government Obligations and other securities or property deposited with the Trustee (or other qualifying trustee) in trust in connection with such satisfaction and discharge, defeasance or covenant defeasance, as the case may be, and all proceeds therefrom may be applied to pay the principal of, premium, if any, on, and mandatory sinking fund payments, if any with respect to the Securities of such Series as and when the same shall become due and payable notwithstanding the provisions of ‎Article 10 or such Subordination Provisions.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aivers</w:t>
      </w:r>
    </w:p>
    <w:p>
      <w:pPr>
        <w:spacing w:after="0" w:line="20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w:t>
      </w:r>
      <w:r>
        <w:rPr>
          <w:rFonts w:ascii="Times New Roman" w:cs="Times New Roman" w:eastAsia="Times New Roman" w:hAnsi="Times New Roman"/>
          <w:sz w:val="18"/>
          <w:szCs w:val="18"/>
          <w:color w:val="auto"/>
        </w:rPr>
        <w:t>. The Company and the Trustee may amend or supplement this Indenture or the Securities of one or more Series without the consent of any Securityholder:</w:t>
      </w:r>
    </w:p>
    <w:p>
      <w:pPr>
        <w:spacing w:after="0" w:line="160" w:lineRule="exact"/>
        <w:rPr>
          <w:sz w:val="20"/>
          <w:szCs w:val="20"/>
          <w:color w:val="auto"/>
        </w:rPr>
      </w:pPr>
    </w:p>
    <w:p>
      <w:pPr>
        <w:ind w:left="5540" w:right="80" w:hanging="4884"/>
        <w:spacing w:after="0" w:line="783" w:lineRule="auto"/>
        <w:tabs>
          <w:tab w:leader="none" w:pos="14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to the Trustee as security for the Securities of one or more Series any property or assets;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8" w:name="page119"/>
    <w:bookmarkEnd w:id="118"/>
    <w:p>
      <w:pPr>
        <w:ind w:left="1320" w:hanging="74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w:t>
      </w:r>
    </w:p>
    <w:p>
      <w:pPr>
        <w:spacing w:after="0" w:line="229" w:lineRule="exact"/>
        <w:rPr>
          <w:rFonts w:ascii="Times New Roman" w:cs="Times New Roman" w:eastAsia="Times New Roman" w:hAnsi="Times New Roman"/>
          <w:sz w:val="18"/>
          <w:szCs w:val="18"/>
          <w:color w:val="auto"/>
        </w:rPr>
      </w:pPr>
    </w:p>
    <w:p>
      <w:pPr>
        <w:ind w:left="-80" w:firstLine="656"/>
        <w:spacing w:after="0" w:line="255" w:lineRule="auto"/>
        <w:tabs>
          <w:tab w:leader="none" w:pos="130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the covenants of the Company such further covenants, restrictions, conditions or provisions as the Company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88" w:lineRule="exact"/>
        <w:rPr>
          <w:rFonts w:ascii="Times New Roman" w:cs="Times New Roman" w:eastAsia="Times New Roman" w:hAnsi="Times New Roman"/>
          <w:sz w:val="18"/>
          <w:szCs w:val="18"/>
          <w:color w:val="auto"/>
        </w:rPr>
      </w:pPr>
    </w:p>
    <w:p>
      <w:pPr>
        <w:ind w:left="1320" w:hanging="74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 guarantor or permit any Person to guarantee the obligations under any Series of Securities;</w:t>
      </w:r>
    </w:p>
    <w:p>
      <w:pPr>
        <w:spacing w:after="0" w:line="225" w:lineRule="exact"/>
        <w:rPr>
          <w:rFonts w:ascii="Times New Roman" w:cs="Times New Roman" w:eastAsia="Times New Roman" w:hAnsi="Times New Roman"/>
          <w:sz w:val="18"/>
          <w:szCs w:val="18"/>
          <w:color w:val="auto"/>
        </w:rPr>
      </w:pPr>
    </w:p>
    <w:p>
      <w:pPr>
        <w:ind w:left="1320" w:hanging="74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1300" w:hanging="72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 Indenture;</w:t>
      </w:r>
    </w:p>
    <w:p>
      <w:pPr>
        <w:spacing w:after="0" w:line="225" w:lineRule="exact"/>
        <w:rPr>
          <w:rFonts w:ascii="Times New Roman" w:cs="Times New Roman" w:eastAsia="Times New Roman" w:hAnsi="Times New Roman"/>
          <w:sz w:val="18"/>
          <w:szCs w:val="18"/>
          <w:color w:val="auto"/>
        </w:rPr>
      </w:pPr>
    </w:p>
    <w:p>
      <w:pPr>
        <w:ind w:left="-80" w:firstLine="656"/>
        <w:spacing w:after="0" w:line="266" w:lineRule="auto"/>
        <w:tabs>
          <w:tab w:leader="none" w:pos="131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to any provision of the “Description of the Notes” section, “Description of Debt Securities” section or other relevant section describing the terms of the Securities of the applicable prospectus, prospectus supplement, offering circular, offering memorandum or other relevant offering document;</w:t>
      </w:r>
    </w:p>
    <w:p>
      <w:pPr>
        <w:spacing w:after="0" w:line="175" w:lineRule="exact"/>
        <w:rPr>
          <w:rFonts w:ascii="Times New Roman" w:cs="Times New Roman" w:eastAsia="Times New Roman" w:hAnsi="Times New Roman"/>
          <w:sz w:val="18"/>
          <w:szCs w:val="18"/>
          <w:color w:val="auto"/>
        </w:rPr>
      </w:pPr>
    </w:p>
    <w:p>
      <w:pPr>
        <w:ind w:left="-80" w:right="100" w:firstLine="656"/>
        <w:spacing w:after="0" w:line="266" w:lineRule="auto"/>
        <w:tabs>
          <w:tab w:leader="none" w:pos="131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75" w:lineRule="exact"/>
        <w:rPr>
          <w:rFonts w:ascii="Times New Roman" w:cs="Times New Roman" w:eastAsia="Times New Roman" w:hAnsi="Times New Roman"/>
          <w:sz w:val="18"/>
          <w:szCs w:val="18"/>
          <w:color w:val="auto"/>
        </w:rPr>
      </w:pPr>
    </w:p>
    <w:p>
      <w:pPr>
        <w:ind w:left="1280" w:hanging="704"/>
        <w:spacing w:after="0"/>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1280" w:hanging="704"/>
        <w:spacing w:after="0"/>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materially adversely affect the rights of any Securityholder; and</w:t>
      </w:r>
    </w:p>
    <w:p>
      <w:pPr>
        <w:spacing w:after="0" w:line="225" w:lineRule="exact"/>
        <w:rPr>
          <w:rFonts w:ascii="Times New Roman" w:cs="Times New Roman" w:eastAsia="Times New Roman" w:hAnsi="Times New Roman"/>
          <w:sz w:val="18"/>
          <w:szCs w:val="18"/>
          <w:color w:val="auto"/>
        </w:rPr>
      </w:pPr>
    </w:p>
    <w:p>
      <w:pPr>
        <w:ind w:left="1320" w:hanging="74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00" w:top="900" w:right="399" w:bottom="1440" w:gutter="0" w:footer="0" w:header="0"/>
        </w:sectPr>
      </w:pPr>
    </w:p>
    <w:bookmarkStart w:id="119" w:name="page120"/>
    <w:bookmarkEnd w:id="119"/>
    <w:p>
      <w:pPr>
        <w:ind w:right="60" w:firstLine="648"/>
        <w:spacing w:after="0" w:line="269" w:lineRule="auto"/>
        <w:rPr>
          <w:sz w:val="20"/>
          <w:szCs w:val="20"/>
          <w:color w:val="auto"/>
        </w:rPr>
      </w:pPr>
      <w:r>
        <w:rPr>
          <w:rFonts w:ascii="Times New Roman" w:cs="Times New Roman" w:eastAsia="Times New Roman" w:hAnsi="Times New Roman"/>
          <w:sz w:val="17"/>
          <w:szCs w:val="17"/>
          <w:color w:val="auto"/>
        </w:rPr>
        <w:t xml:space="preserve">Section 9.02. </w:t>
      </w:r>
      <w:r>
        <w:rPr>
          <w:rFonts w:ascii="Times New Roman" w:cs="Times New Roman" w:eastAsia="Times New Roman" w:hAnsi="Times New Roman"/>
          <w:sz w:val="17"/>
          <w:szCs w:val="17"/>
          <w:i w:val="1"/>
          <w:iCs w:val="1"/>
          <w:color w:val="auto"/>
        </w:rPr>
        <w:t>With Consent of Holders</w:t>
      </w:r>
      <w:r>
        <w:rPr>
          <w:rFonts w:ascii="Times New Roman" w:cs="Times New Roman" w:eastAsia="Times New Roman" w:hAnsi="Times New Roman"/>
          <w:sz w:val="17"/>
          <w:szCs w:val="17"/>
          <w:color w:val="auto"/>
        </w:rPr>
        <w:t>.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Securityholders of each such Series. Except as provided in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6.13, the Holders of at least a majority in principal amount of the outstanding Securities of each Series affected by such waiver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Any failure by the Company to send or publish such notice, or any defect therein, shall not, however, in any way impair or affect the validity of any such supplemental indenture or waiver.</w:t>
      </w:r>
    </w:p>
    <w:p>
      <w:pPr>
        <w:spacing w:after="0" w:line="17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i w:val="1"/>
          <w:iCs w:val="1"/>
          <w:color w:val="auto"/>
        </w:rPr>
        <w:t>Limitations</w:t>
      </w:r>
      <w:r>
        <w:rPr>
          <w:rFonts w:ascii="Times New Roman" w:cs="Times New Roman" w:eastAsia="Times New Roman" w:hAnsi="Times New Roman"/>
          <w:sz w:val="17"/>
          <w:szCs w:val="17"/>
          <w:color w:val="auto"/>
        </w:rPr>
        <w:t>. Without the consent of each Securityholder affected, an amendment or waiver may not:</w:t>
      </w:r>
    </w:p>
    <w:p>
      <w:pPr>
        <w:spacing w:after="0" w:line="227" w:lineRule="exact"/>
        <w:rPr>
          <w:sz w:val="20"/>
          <w:szCs w:val="20"/>
          <w:color w:val="auto"/>
        </w:rPr>
      </w:pPr>
    </w:p>
    <w:p>
      <w:pPr>
        <w:ind w:left="1400" w:hanging="744"/>
        <w:spacing w:after="0"/>
        <w:tabs>
          <w:tab w:leader="none" w:pos="14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final maturity of any Security;</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premium thereon, if any;</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of payment of interest thereon,</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 payable on redemption thereof;</w:t>
      </w:r>
    </w:p>
    <w:p>
      <w:pPr>
        <w:spacing w:after="0" w:line="225" w:lineRule="exact"/>
        <w:rPr>
          <w:rFonts w:ascii="Times New Roman" w:cs="Times New Roman" w:eastAsia="Times New Roman" w:hAnsi="Times New Roman"/>
          <w:sz w:val="18"/>
          <w:szCs w:val="18"/>
          <w:color w:val="auto"/>
        </w:rPr>
      </w:pPr>
    </w:p>
    <w:p>
      <w:pPr>
        <w:ind w:right="120" w:firstLine="656"/>
        <w:spacing w:after="0" w:line="282" w:lineRule="auto"/>
        <w:tabs>
          <w:tab w:leader="none" w:pos="138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thereof (including any amount in respect of original issue discount), or premium thereon, if any, or interest thereon payable in any coin or currency other than that provided in the Securities or in accordance with the terms thereof;</w:t>
      </w:r>
    </w:p>
    <w:p>
      <w:pPr>
        <w:spacing w:after="0" w:line="161"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principal of a Discount Security that would be due and payable upon an acceleration of the maturity thereof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 or the amount thereof provable in bankruptcy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2" w:right="419" w:bottom="1440" w:gutter="0" w:footer="0" w:header="0"/>
        </w:sectPr>
      </w:pPr>
    </w:p>
    <w:bookmarkStart w:id="120" w:name="page121"/>
    <w:bookmarkEnd w:id="120"/>
    <w:p>
      <w:pPr>
        <w:ind w:right="900" w:firstLine="656"/>
        <w:spacing w:after="0" w:line="282" w:lineRule="auto"/>
        <w:tabs>
          <w:tab w:leader="none" w:pos="139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Securities of any series, modify any of the Subordination Provisions or the definition of “Senior Indebtedness” relating to such series in a manner adverse to the holders of such Subordinated Securities;</w:t>
      </w:r>
    </w:p>
    <w:p>
      <w:pPr>
        <w:spacing w:after="0" w:line="157"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11.15 or Section 11.16;</w:t>
      </w:r>
    </w:p>
    <w:p>
      <w:pPr>
        <w:spacing w:after="0" w:line="229" w:lineRule="exact"/>
        <w:rPr>
          <w:rFonts w:ascii="Times New Roman" w:cs="Times New Roman" w:eastAsia="Times New Roman" w:hAnsi="Times New Roman"/>
          <w:sz w:val="18"/>
          <w:szCs w:val="18"/>
          <w:color w:val="auto"/>
        </w:rPr>
      </w:pPr>
    </w:p>
    <w:p>
      <w:pPr>
        <w:ind w:right="240" w:firstLine="656"/>
        <w:spacing w:after="0" w:line="282" w:lineRule="auto"/>
        <w:tabs>
          <w:tab w:leader="none" w:pos="135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or affect the right of any Securityholder to institute suit for the payment thereof when due or, if the Securities provide therefor, any right of repayment at the option of the Securityholder;</w:t>
      </w:r>
    </w:p>
    <w:p>
      <w:pPr>
        <w:spacing w:after="0" w:line="161" w:lineRule="exact"/>
        <w:rPr>
          <w:rFonts w:ascii="Times New Roman" w:cs="Times New Roman" w:eastAsia="Times New Roman" w:hAnsi="Times New Roman"/>
          <w:sz w:val="18"/>
          <w:szCs w:val="18"/>
          <w:color w:val="auto"/>
        </w:rPr>
      </w:pPr>
    </w:p>
    <w:p>
      <w:pPr>
        <w:ind w:right="60" w:firstLine="656"/>
        <w:spacing w:after="0" w:line="266" w:lineRule="auto"/>
        <w:tabs>
          <w:tab w:leader="none" w:pos="135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aforesaid percentage of Securities of any Series, the consent of the Holders of which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7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provision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9.03.</w:t>
      </w:r>
    </w:p>
    <w:p>
      <w:pPr>
        <w:spacing w:after="0" w:line="22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Compliance with Trust Indenture Act</w:t>
      </w:r>
      <w:r>
        <w:rPr>
          <w:rFonts w:ascii="Times New Roman" w:cs="Times New Roman" w:eastAsia="Times New Roman" w:hAnsi="Times New Roman"/>
          <w:sz w:val="18"/>
          <w:szCs w:val="18"/>
          <w:color w:val="auto"/>
        </w:rPr>
        <w:t>. Every amendment to this Indenture or the Securities of one or more Series shall be set forth in a supplemental indenture hereto that complies with the TIA as then in effect.</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spacing w:after="0" w:line="182"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Any amendment or waiver once effective shall bind every Securityholder of each Series affected by such amendment or waiver unless it is of the type described in any of clauses ‎9.03(a) through ‎9.03(j)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5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Securityholders entitled to give their consent or take any other action described above or required or permitted to be taken pursuant to this Indenture. If a record date is fixed, then notwithstanding the immediately preceding paragraph, those Persons who were Securityholders at such record date (or their duly designated proxies), and only those Persons, shall be entitled to give such consent or to revoke any consent previously given or to take any such action, whether or not such Persons continue to be Securityholders after such record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1" w:name="page122"/>
    <w:bookmarkEnd w:id="121"/>
    <w:p>
      <w:pPr>
        <w:ind w:right="2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Notation on or Exchange of Securities</w:t>
      </w:r>
      <w:r>
        <w:rPr>
          <w:rFonts w:ascii="Times New Roman" w:cs="Times New Roman" w:eastAsia="Times New Roman" w:hAnsi="Times New Roman"/>
          <w:sz w:val="18"/>
          <w:szCs w:val="18"/>
          <w:color w:val="auto"/>
        </w:rPr>
        <w:t>. The Trustee may place an appropriate notation about an amendment or waiver on any Security of any Series thereafter authenticated. The Company in exchange for Securities of that Series may issue and the Trustee shall authenticate upon written request new Securities of that Series that reflect the amendment or waiver.</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Trustee Protected</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Officer’s Certificate and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ubordination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ecurities</w:t>
      </w:r>
    </w:p>
    <w:p>
      <w:pPr>
        <w:spacing w:after="0" w:line="20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Agreement to Subordinate</w:t>
      </w:r>
      <w:r>
        <w:rPr>
          <w:rFonts w:ascii="Times New Roman" w:cs="Times New Roman" w:eastAsia="Times New Roman" w:hAnsi="Times New Roman"/>
          <w:sz w:val="18"/>
          <w:szCs w:val="18"/>
          <w:color w:val="auto"/>
        </w:rPr>
        <w:t>. The Company, for itself, its successors and assigns, covenants and agrees, and each Holder of Subordinated Securities of any Series by his acceptance thereof, likewise covenants and agrees, that the payment of the principal of (and premium, if any) and interest, if any, on, and mandatory sinking fund payments, if any, in respect of each and all of the Subordinated Securities of such series shall be expressly subordinated, to the extent and in the manner provided in the Subordination Provisions established with respect to the Subordinated Securities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Series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2.02(i) hereof, in right of payment to the prior payment in full of all Senior Debt with respect to such Series.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Trust Indenture Act Controls</w:t>
      </w:r>
      <w:r>
        <w:rPr>
          <w:rFonts w:ascii="Times New Roman" w:cs="Times New Roman" w:eastAsia="Times New Roman" w:hAnsi="Times New Roman"/>
          <w:sz w:val="18"/>
          <w:szCs w:val="18"/>
          <w:color w:val="auto"/>
        </w:rPr>
        <w:t>. If any provision of this Indenture limits, qualifies, or conflicts with another provision which is required or deemed to be included in this Indenture by the TIA, such required or deemed provision shall control.</w:t>
      </w:r>
    </w:p>
    <w:p>
      <w:pPr>
        <w:spacing w:after="0" w:line="158"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 or communication by the Company or the Trustee to the other is duly given if in writing and delivered in person, mailed by first-class mail or delivered by electronic transmission: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7373 Gateway Blvd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Newark, CA 94560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Tower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Securityholder shall be provided by electronic transmission or by first-class mail to his address shown on the register kept by the Registrar. Failure to provide a notice or communication to a Securityholder of any Series or any defect in it shall not affect its sufficiency with respect to other Securityholders of that or any other Series.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provided or published in the manner provided above, within the time prescribed, it is duly given, whether or not the Securityholder receives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provides a notice or communication to Securityholders, it shall provide a copy to the Trustee and each Agent at the same time.</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or irregularities in regular mail service, it shall be impracticable to mail notice by the Company when such notice is required to be given pursuant to any provision of this Indenture, then any manner of giving such notice as shall be reasonably satisfactory to the Trustee shall be deemed to be a sufficient giving of such notice.</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Indenture to the contrary, wherever notice is to be given to Securityholders of Global Securities, it shall be sufficient if such notice is given in accordance with the procedures of the Depositary.</w:t>
      </w:r>
    </w:p>
    <w:p>
      <w:pPr>
        <w:spacing w:after="0" w:line="16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Communication by Holders with Other Holders</w:t>
      </w:r>
      <w:r>
        <w:rPr>
          <w:rFonts w:ascii="Times New Roman" w:cs="Times New Roman" w:eastAsia="Times New Roman" w:hAnsi="Times New Roman"/>
          <w:sz w:val="18"/>
          <w:szCs w:val="18"/>
          <w:color w:val="auto"/>
        </w:rPr>
        <w:t>. 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23" w:name="page124"/>
    <w:bookmarkEnd w:id="123"/>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Certificate and Opinion as to Conditions Precedent</w:t>
      </w:r>
      <w:r>
        <w:rPr>
          <w:rFonts w:ascii="Times New Roman" w:cs="Times New Roman" w:eastAsia="Times New Roman" w:hAnsi="Times New Roman"/>
          <w:sz w:val="18"/>
          <w:szCs w:val="18"/>
          <w:color w:val="auto"/>
        </w:rPr>
        <w:t>. Upon any request or application by the Company to the Trustee to take or refrain from taking any action under this Indenture, the Company shall furnish to the Trustee:</w:t>
      </w:r>
    </w:p>
    <w:p>
      <w:pPr>
        <w:spacing w:after="0" w:line="160" w:lineRule="exact"/>
        <w:rPr>
          <w:sz w:val="20"/>
          <w:szCs w:val="20"/>
          <w:color w:val="auto"/>
        </w:rPr>
      </w:pPr>
    </w:p>
    <w:p>
      <w:pPr>
        <w:ind w:right="360" w:firstLine="656"/>
        <w:spacing w:after="0" w:line="282" w:lineRule="auto"/>
        <w:tabs>
          <w:tab w:leader="none" w:pos="138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and covenants,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and covenants have been complied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w:t>
      </w:r>
    </w:p>
    <w:p>
      <w:pPr>
        <w:spacing w:after="0" w:line="205"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Statements Required in Certificate or Opinion</w:t>
      </w:r>
      <w:r>
        <w:rPr>
          <w:rFonts w:ascii="Times New Roman" w:cs="Times New Roman" w:eastAsia="Times New Roman" w:hAnsi="Times New Roman"/>
          <w:sz w:val="18"/>
          <w:szCs w:val="18"/>
          <w:color w:val="auto"/>
        </w:rPr>
        <w:t>. Each certificate or opinion with respect to compliance with a condition or covenant provided for in this Indenture shall include:</w:t>
      </w:r>
    </w:p>
    <w:p>
      <w:pPr>
        <w:spacing w:after="0" w:line="160" w:lineRule="exact"/>
        <w:rPr>
          <w:sz w:val="20"/>
          <w:szCs w:val="20"/>
          <w:color w:val="auto"/>
        </w:rPr>
      </w:pPr>
    </w:p>
    <w:p>
      <w:pPr>
        <w:ind w:left="1400" w:hanging="744"/>
        <w:spacing w:after="0"/>
        <w:tabs>
          <w:tab w:leader="none" w:pos="1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9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480" w:firstLine="656"/>
        <w:spacing w:after="0" w:line="282" w:lineRule="auto"/>
        <w:tabs>
          <w:tab w:leader="none" w:pos="138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individual, he has made such examination or investigation as is necessary to enable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3"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Rules by Trustee and Agents</w:t>
      </w:r>
      <w:r>
        <w:rPr>
          <w:rFonts w:ascii="Times New Roman" w:cs="Times New Roman" w:eastAsia="Times New Roman" w:hAnsi="Times New Roman"/>
          <w:sz w:val="18"/>
          <w:szCs w:val="18"/>
          <w:color w:val="auto"/>
        </w:rPr>
        <w:t>. The Trustee may make reasonable rules for action by or a meeting of Securityholders of one or more Series. Any Agent may make reasonable rules and set reasonable requirements for its functions.</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Legal Holidays</w:t>
      </w:r>
      <w:r>
        <w:rPr>
          <w:rFonts w:ascii="Times New Roman" w:cs="Times New Roman" w:eastAsia="Times New Roman" w:hAnsi="Times New Roman"/>
          <w:sz w:val="18"/>
          <w:szCs w:val="18"/>
          <w:color w:val="auto"/>
        </w:rPr>
        <w:t>. Unless otherwise provided by Board Resolution, Officer’s Certificate or supplemental indenture for a particular Series, a “</w:t>
      </w:r>
      <w:r>
        <w:rPr>
          <w:rFonts w:ascii="Times New Roman" w:cs="Times New Roman" w:eastAsia="Times New Roman" w:hAnsi="Times New Roman"/>
          <w:sz w:val="18"/>
          <w:szCs w:val="18"/>
          <w:b w:val="1"/>
          <w:bCs w:val="1"/>
          <w:color w:val="auto"/>
        </w:rPr>
        <w:t>Legal Holiday</w:t>
      </w:r>
      <w:r>
        <w:rPr>
          <w:rFonts w:ascii="Times New Roman" w:cs="Times New Roman" w:eastAsia="Times New Roman" w:hAnsi="Times New Roman"/>
          <w:sz w:val="18"/>
          <w:szCs w:val="18"/>
          <w:color w:val="auto"/>
        </w:rPr>
        <w:t>” is a Saturday, Sunday or a day on which banking institutions in the city (or in any of the cities, if more than one) in which amounts are payable, as specified in the form of such Security, are not required by any applicable law or regulation to be open. If a payment date for the payment of principal or interest on any Security falls on a Legal Holiday, such payment shall be made on the next succeeding Business Day, and no interest shall accrue for the intervening period. If a regular record date is a Legal Holiday, the record date shall not be affected.</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124" w:name="page125"/>
    <w:bookmarkEnd w:id="124"/>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and the coupons, if any, appertaining thereto by the Holders thereof and as part of the consideration for the issue of the Securities and the coupons, if any, appertaining thereto.</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Indenture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Any communication sent to Trustee under this Indenture that requires a signature must be in the form of a document that is signed manually or by way of a digital signature provided by DocuSign (or such other digital signature provider as specified in writing to Trustee by an authorized representative of the Company). The Company agrees to assume all risks arising out of its use of digital signatures and electronic methods to submit communications to Trustee, including the risk of the Trustee acting on unauthorized instructions and the risk of interception and misuse by third parties.</w:t>
      </w:r>
    </w:p>
    <w:p>
      <w:pPr>
        <w:spacing w:after="0" w:line="18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Governing Laws; Waiver of Jury Trial</w:t>
      </w:r>
      <w:r>
        <w:rPr>
          <w:rFonts w:ascii="Times New Roman" w:cs="Times New Roman" w:eastAsia="Times New Roman" w:hAnsi="Times New Roman"/>
          <w:sz w:val="18"/>
          <w:szCs w:val="18"/>
          <w:color w:val="auto"/>
        </w:rPr>
        <w:t>. THIS INDENTURE AND EACH SECURITY SHALL BE DEEMED TO BE A CONTRACT UNDER THE LAWS OF THE STATE OF NEW YORK, AND FOR ALL PURPOSES SHALL BE GOVERNED BY AND CONSTRUED IN ACCORDANCE WITH THE LAWS OF SUCH STATE, INCLUDING, WITHOUT LIMITATION, SECTIONS 5-1401 AND 5-1402 OF THE NEW YORK GENERAL OBLIGATIONS LAW AND NEW YORK CIVIL PRACTICE LAWS AND RULES 327(b).</w:t>
      </w:r>
    </w:p>
    <w:p>
      <w:pPr>
        <w:spacing w:after="0" w:line="18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25" w:name="page126"/>
    <w:bookmarkEnd w:id="125"/>
    <w:p>
      <w:pPr>
        <w:ind w:right="3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No Adverse Interpretation of Other Agreements</w:t>
      </w:r>
      <w:r>
        <w:rPr>
          <w:rFonts w:ascii="Times New Roman" w:cs="Times New Roman" w:eastAsia="Times New Roman" w:hAnsi="Times New Roman"/>
          <w:sz w:val="18"/>
          <w:szCs w:val="18"/>
          <w:color w:val="auto"/>
        </w:rPr>
        <w:t>. This Indenture may not be used to interpret another indenture, loan or debt agreement of the Company or a Subsidiary. Any such indenture, loan or debt agreement may not be used to interpret this Indenture.</w:t>
      </w:r>
    </w:p>
    <w:p>
      <w:pPr>
        <w:spacing w:after="0" w:line="158"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agreements of the Company in this Indenture and the Securities shall bind its successor. All agreements of the Trustee in this Indenture shall bind its successor.</w:t>
      </w:r>
    </w:p>
    <w:p>
      <w:pPr>
        <w:spacing w:after="0" w:line="158"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 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11.15.</w:t>
      </w:r>
      <w:r>
        <w:rPr>
          <w:sz w:val="20"/>
          <w:szCs w:val="20"/>
          <w:color w:val="auto"/>
        </w:rPr>
        <w:tab/>
      </w:r>
      <w:r>
        <w:rPr>
          <w:rFonts w:ascii="Times New Roman" w:cs="Times New Roman" w:eastAsia="Times New Roman" w:hAnsi="Times New Roman"/>
          <w:sz w:val="17"/>
          <w:szCs w:val="17"/>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11.16.</w:t>
      </w:r>
      <w:r>
        <w:rPr>
          <w:sz w:val="20"/>
          <w:szCs w:val="20"/>
          <w:color w:val="auto"/>
        </w:rPr>
        <w:tab/>
      </w:r>
      <w:r>
        <w:rPr>
          <w:rFonts w:ascii="Times New Roman" w:cs="Times New Roman" w:eastAsia="Times New Roman" w:hAnsi="Times New Roman"/>
          <w:sz w:val="17"/>
          <w:szCs w:val="17"/>
          <w:color w:val="auto"/>
        </w:rPr>
        <w:t>[Reserved]</w:t>
      </w:r>
    </w:p>
    <w:p>
      <w:pPr>
        <w:spacing w:after="0" w:line="22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i w:val="1"/>
          <w:iCs w:val="1"/>
          <w:color w:val="auto"/>
        </w:rPr>
        <w:t>Acts of Holders</w:t>
      </w:r>
      <w:r>
        <w:rPr>
          <w:rFonts w:ascii="Times New Roman" w:cs="Times New Roman" w:eastAsia="Times New Roman" w:hAnsi="Times New Roman"/>
          <w:sz w:val="18"/>
          <w:szCs w:val="18"/>
          <w:color w:val="auto"/>
        </w:rPr>
        <w:t>. (a)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and so voting at any such meeting. Proof of execution of any instrument or of a writing appointing any such agent shall be sufficient for any purpose of this Indenture and (subject to Sections ‎7.01 and ‎7.02) conclusive in favor of the Trustee and the Company, if made in the manner provided in this ‎Section 11.17.</w:t>
      </w:r>
    </w:p>
    <w:p>
      <w:pPr>
        <w:spacing w:after="0" w:line="183" w:lineRule="exact"/>
        <w:rPr>
          <w:sz w:val="20"/>
          <w:szCs w:val="20"/>
          <w:color w:val="auto"/>
        </w:rPr>
      </w:pPr>
    </w:p>
    <w:p>
      <w:pPr>
        <w:ind w:right="240" w:firstLine="656"/>
        <w:spacing w:after="0" w:line="268" w:lineRule="auto"/>
        <w:tabs>
          <w:tab w:leader="none" w:pos="139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 and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 the execution of any instrument by a Securityholder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126" w:name="page127"/>
    <w:bookmarkEnd w:id="126"/>
    <w:p>
      <w:pPr>
        <w:ind w:right="140" w:firstLine="656"/>
        <w:spacing w:after="0" w:line="254" w:lineRule="auto"/>
        <w:tabs>
          <w:tab w:leader="none" w:pos="138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 Notwithstanding the foregoing, nothing herein shall prevent the Company, the Trustee or any Agent from giving effect to any written certification, proxy or other authorization furnished by the Depositary or impair, as between the Depositary and its members, the operation of customary practices governing the exercise of the rights of a holder of a beneficial interest in any Global Security</w:t>
      </w:r>
    </w:p>
    <w:p>
      <w:pPr>
        <w:spacing w:after="0" w:line="187" w:lineRule="exact"/>
        <w:rPr>
          <w:rFonts w:ascii="Times New Roman" w:cs="Times New Roman" w:eastAsia="Times New Roman" w:hAnsi="Times New Roman"/>
          <w:sz w:val="18"/>
          <w:szCs w:val="18"/>
          <w:color w:val="auto"/>
        </w:rPr>
      </w:pPr>
    </w:p>
    <w:p>
      <w:pPr>
        <w:ind w:firstLine="656"/>
        <w:spacing w:after="0" w:line="254" w:lineRule="auto"/>
        <w:tabs>
          <w:tab w:leader="none" w:pos="139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(but not after) the evidencing to the Trustee, as provided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11.17,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Company, the Trustee and the Holders of all the Securities affected by such action.</w:t>
      </w:r>
    </w:p>
    <w:p>
      <w:pPr>
        <w:spacing w:after="0" w:line="19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In no event shall the Trustee or any Agent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epidemics, pandemics, and interruptions, loss or malfunctions of utilities, communications or computer (software and hardware) services; it being understood that the Trustee and such Agent shall use reasonable efforts that are consistent with accepted practices in the banking industry to resume performance as soon as practicable under the circumstances.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7" w:name="page128"/>
    <w:bookmarkEnd w:id="127"/>
    <w:p>
      <w:pPr>
        <w:jc w:val="center"/>
        <w:ind w:right="-5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inking</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unds</w:t>
      </w:r>
    </w:p>
    <w:p>
      <w:pPr>
        <w:spacing w:after="0" w:line="205"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The provisions of this Article shall be applicable to any sinking fund for the retirement of the Securities of a Series, except as otherwise permitted or required by any form of Security of such Series issued pursuant to this Indenture.</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the Securities of such Series.</w:t>
      </w:r>
    </w:p>
    <w:p>
      <w:pPr>
        <w:spacing w:after="0" w:line="18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Section 12.02. </w:t>
      </w:r>
      <w:r>
        <w:rPr>
          <w:rFonts w:ascii="Times New Roman" w:cs="Times New Roman" w:eastAsia="Times New Roman" w:hAnsi="Times New Roman"/>
          <w:sz w:val="17"/>
          <w:szCs w:val="17"/>
          <w:i w:val="1"/>
          <w:iCs w:val="1"/>
          <w:color w:val="auto"/>
        </w:rPr>
        <w:t>Satisfaction of Sinking Fund Payments with Securities</w:t>
      </w:r>
      <w:r>
        <w:rPr>
          <w:rFonts w:ascii="Times New Roman" w:cs="Times New Roman" w:eastAsia="Times New Roman" w:hAnsi="Times New Roman"/>
          <w:sz w:val="17"/>
          <w:szCs w:val="17"/>
          <w:color w:val="auto"/>
        </w:rPr>
        <w:t>. The Company may, in satisfaction of all or any part of any sinking fund payment with respect to the Securities of any Series to be made pursuant to the terms of such Securities (a) deliver outstanding Securities of such Series to which such sinking fund payment is applicable (other than any of such Securities previously called for mandatory sinking fund redemption) and (b) apply as credit Securities of such Series to which such sinking fund payment is applicable and which have been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12.02,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8" w:name="page129"/>
    <w:bookmarkEnd w:id="128"/>
    <w:p>
      <w:pPr>
        <w:ind w:right="100" w:firstLine="648"/>
        <w:spacing w:after="0" w:line="271" w:lineRule="auto"/>
        <w:rPr>
          <w:sz w:val="20"/>
          <w:szCs w:val="20"/>
          <w:color w:val="auto"/>
        </w:rPr>
      </w:pPr>
      <w:r>
        <w:rPr>
          <w:rFonts w:ascii="Times New Roman" w:cs="Times New Roman" w:eastAsia="Times New Roman" w:hAnsi="Times New Roman"/>
          <w:sz w:val="17"/>
          <w:szCs w:val="17"/>
          <w:color w:val="auto"/>
        </w:rPr>
        <w:t xml:space="preserve">Section 12.03. </w:t>
      </w:r>
      <w:r>
        <w:rPr>
          <w:rFonts w:ascii="Times New Roman" w:cs="Times New Roman" w:eastAsia="Times New Roman" w:hAnsi="Times New Roman"/>
          <w:sz w:val="17"/>
          <w:szCs w:val="17"/>
          <w:i w:val="1"/>
          <w:iCs w:val="1"/>
          <w:color w:val="auto"/>
        </w:rPr>
        <w:t>Redemption of Securities for Sinking Fund</w:t>
      </w:r>
      <w:r>
        <w:rPr>
          <w:rFonts w:ascii="Times New Roman" w:cs="Times New Roman" w:eastAsia="Times New Roman" w:hAnsi="Times New Roman"/>
          <w:sz w:val="17"/>
          <w:szCs w:val="17"/>
          <w:color w:val="auto"/>
        </w:rPr>
        <w:t>. 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which is to be satisfied by delivering and crediting of Securities of that Series pursuant to Section‎ 12.02,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w:t>
      </w:r>
    </w:p>
    <w:p>
      <w:pPr>
        <w:spacing w:after="0" w:line="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 Section‎ 3.03. Such notice having been duly given, the redemption of such Securities shall be made upon the terms and in the manner stated in Sections ‎3.04, ‎3.05 and ‎3.06.</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day and year first above written.</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05535" cy="265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1105535" cy="265430"/>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davispolk.com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2022</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Lucid Group, Inc.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Newark, California 94560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Lucid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filing with the Securities and Exchange Commission a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the registration of securities in connection with:</w:t>
      </w:r>
    </w:p>
    <w:p>
      <w:pPr>
        <w:spacing w:after="0" w:line="171" w:lineRule="exact"/>
        <w:rPr>
          <w:sz w:val="20"/>
          <w:szCs w:val="20"/>
          <w:color w:val="auto"/>
        </w:rPr>
      </w:pPr>
    </w:p>
    <w:p>
      <w:pPr>
        <w:ind w:right="60" w:firstLine="656"/>
        <w:spacing w:after="0" w:line="253" w:lineRule="auto"/>
        <w:tabs>
          <w:tab w:leader="none" w:pos="87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from time to time by the Company of: (a) Class A common stock, par value $0.0001 per share, of the Company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(b) shares of preferred stock, par value $0.0001 per share, of the Company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(c) debt securities of the Company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which may be issued under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entered into between the Company and the trustee to be named therein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(d) warrants to purchase the Company’s debt or equity securities or securities of third parties or other rights, including rights to receive payment in cash or securities based on the value, rate or price of one or more specified commodities, currencies, securities or indices, or any combination of the foregoing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which may be issued under one or more warrant agreements (each, a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to be entered into between the Company and the warrant agent to be named therein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(e) purchase contracts for the purchase or sale of debt or equity securities issued by the Company or securities of third parties, a basket of such securities, an index or indices or such securities or any combination of the foregoing, currencies, or commodities (the “</w:t>
      </w:r>
      <w:r>
        <w:rPr>
          <w:rFonts w:ascii="Times New Roman" w:cs="Times New Roman" w:eastAsia="Times New Roman" w:hAnsi="Times New Roman"/>
          <w:sz w:val="18"/>
          <w:szCs w:val="18"/>
          <w:b w:val="1"/>
          <w:bCs w:val="1"/>
          <w:color w:val="auto"/>
        </w:rPr>
        <w:t>Purchase Contracts</w:t>
      </w:r>
      <w:r>
        <w:rPr>
          <w:rFonts w:ascii="Times New Roman" w:cs="Times New Roman" w:eastAsia="Times New Roman" w:hAnsi="Times New Roman"/>
          <w:sz w:val="18"/>
          <w:szCs w:val="18"/>
          <w:color w:val="auto"/>
        </w:rPr>
        <w:t>”), which may be issued under one or more purchase contract agreements (each, a “</w:t>
      </w:r>
      <w:r>
        <w:rPr>
          <w:rFonts w:ascii="Times New Roman" w:cs="Times New Roman" w:eastAsia="Times New Roman" w:hAnsi="Times New Roman"/>
          <w:sz w:val="18"/>
          <w:szCs w:val="18"/>
          <w:b w:val="1"/>
          <w:bCs w:val="1"/>
          <w:color w:val="auto"/>
        </w:rPr>
        <w:t>Purchase Contract Agreement</w:t>
      </w:r>
      <w:r>
        <w:rPr>
          <w:rFonts w:ascii="Times New Roman" w:cs="Times New Roman" w:eastAsia="Times New Roman" w:hAnsi="Times New Roman"/>
          <w:sz w:val="18"/>
          <w:szCs w:val="18"/>
          <w:color w:val="auto"/>
        </w:rPr>
        <w:t>”) to be entered into between the Company and the purchase contract agent to be named therein (the “</w:t>
      </w:r>
      <w:r>
        <w:rPr>
          <w:rFonts w:ascii="Times New Roman" w:cs="Times New Roman" w:eastAsia="Times New Roman" w:hAnsi="Times New Roman"/>
          <w:sz w:val="18"/>
          <w:szCs w:val="18"/>
          <w:b w:val="1"/>
          <w:bCs w:val="1"/>
          <w:color w:val="auto"/>
        </w:rPr>
        <w:t>Purchase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 depositary shares representing Preferred Stock (the “</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which may be issued pursuant to one or more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agreements (each, a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to be entered into between the Company and the depositary to be named therein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(g) units consisting of one or more shares of Common Stock, shares of Preferred Stock, Debt Securities, Warrants, Purchase Contracts, Depositary Shares or any combination of such securities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and, together with Common Stock, Preferred Stock, Debt Securities, Warrants, Purchase Contracts and Depositary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which Units may be issued under one or more unit agreements (each, a “</w:t>
      </w:r>
      <w:r>
        <w:rPr>
          <w:rFonts w:ascii="Times New Roman" w:cs="Times New Roman" w:eastAsia="Times New Roman" w:hAnsi="Times New Roman"/>
          <w:sz w:val="18"/>
          <w:szCs w:val="18"/>
          <w:b w:val="1"/>
          <w:bCs w:val="1"/>
          <w:color w:val="auto"/>
        </w:rPr>
        <w:t>Unit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the issuance by the Company of up to an aggregate of 44,350,000 shares of Common Stock, which consists of (a) 42,850,000 shares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Warrant Shares</w:t>
      </w:r>
      <w:r>
        <w:rPr>
          <w:rFonts w:ascii="Times New Roman" w:cs="Times New Roman" w:eastAsia="Times New Roman" w:hAnsi="Times New Roman"/>
          <w:sz w:val="18"/>
          <w:szCs w:val="18"/>
          <w:color w:val="auto"/>
        </w:rPr>
        <w:t>”) of Common Stock issuable upon the exercise of the Company’s warrants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Common Stock originally issued to Churchill Sponsor IV, LLC, a Delaware limited liability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a private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simultaneously with the initial public offering of the Company’s units and (b) 1,500,000 shares (the “</w:t>
      </w:r>
      <w:r>
        <w:rPr>
          <w:rFonts w:ascii="Times New Roman" w:cs="Times New Roman" w:eastAsia="Times New Roman" w:hAnsi="Times New Roman"/>
          <w:sz w:val="18"/>
          <w:szCs w:val="18"/>
          <w:b w:val="1"/>
          <w:bCs w:val="1"/>
          <w:color w:val="auto"/>
        </w:rPr>
        <w:t>Working Capital Warrant Shares</w:t>
      </w:r>
      <w:r>
        <w:rPr>
          <w:rFonts w:ascii="Times New Roman" w:cs="Times New Roman" w:eastAsia="Times New Roman" w:hAnsi="Times New Roman"/>
          <w:sz w:val="18"/>
          <w:szCs w:val="18"/>
          <w:color w:val="auto"/>
        </w:rPr>
        <w:t>” and,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Private Placement Warrant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our Common Stock issuable upon the exercise of the Company’s warrants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Existing Warrants</w:t>
      </w:r>
      <w:r>
        <w:rPr>
          <w:rFonts w:ascii="Times New Roman" w:cs="Times New Roman" w:eastAsia="Times New Roman" w:hAnsi="Times New Roman"/>
          <w:sz w:val="18"/>
          <w:szCs w:val="18"/>
          <w:color w:val="auto"/>
        </w:rPr>
        <w:t>”) to purchase Common Stock originally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an unsecured promissory note, dated as of February 22, 2021 (the “</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issued by the Company to the Sponsor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aggregate principal amount of $1,500,000, on terms identical to the terms of the Private Placement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65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65430"/>
                    </a:xfrm>
                    <a:prstGeom prst="rect">
                      <a:avLst/>
                    </a:prstGeom>
                    <a:noFill/>
                  </pic:spPr>
                </pic:pic>
              </a:graphicData>
            </a:graphic>
          </wp:anchor>
        </w:drawing>
      </w:r>
    </w:p>
    <w:p>
      <w:pPr>
        <w:ind w:right="100" w:firstLine="656"/>
        <w:spacing w:after="0" w:line="253" w:lineRule="auto"/>
        <w:tabs>
          <w:tab w:leader="none" w:pos="99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by the selling securityholders named in the Registration Statement, or their permitted transferees, of (a) up to 1,189,450,445 shares of Common Stock, consisting of (i) 1,115,163,848 issued and outstanding shares (the “</w:t>
      </w:r>
      <w:r>
        <w:rPr>
          <w:rFonts w:ascii="Times New Roman" w:cs="Times New Roman" w:eastAsia="Times New Roman" w:hAnsi="Times New Roman"/>
          <w:sz w:val="18"/>
          <w:szCs w:val="18"/>
          <w:b w:val="1"/>
          <w:bCs w:val="1"/>
          <w:color w:val="auto"/>
        </w:rPr>
        <w:t>Outstanding Secondary Shares</w:t>
      </w:r>
      <w:r>
        <w:rPr>
          <w:rFonts w:ascii="Times New Roman" w:cs="Times New Roman" w:eastAsia="Times New Roman" w:hAnsi="Times New Roman"/>
          <w:sz w:val="18"/>
          <w:szCs w:val="18"/>
          <w:color w:val="auto"/>
        </w:rPr>
        <w:t>”) of Common Stock, (ii) 29,936,597 shares (the “</w:t>
      </w:r>
      <w:r>
        <w:rPr>
          <w:rFonts w:ascii="Times New Roman" w:cs="Times New Roman" w:eastAsia="Times New Roman" w:hAnsi="Times New Roman"/>
          <w:sz w:val="18"/>
          <w:szCs w:val="18"/>
          <w:b w:val="1"/>
          <w:bCs w:val="1"/>
          <w:color w:val="auto"/>
        </w:rPr>
        <w:t>Secondary Equity Award Shares</w:t>
      </w:r>
      <w:r>
        <w:rPr>
          <w:rFonts w:ascii="Times New Roman" w:cs="Times New Roman" w:eastAsia="Times New Roman" w:hAnsi="Times New Roman"/>
          <w:sz w:val="18"/>
          <w:szCs w:val="18"/>
          <w:color w:val="auto"/>
        </w:rPr>
        <w:t>”) of Common Stock subject to vesting and/or exercise of certain Equity Awards (as defined below) and (iii) 44,350,000 Private Placement Warrant Shares and Working Capital Warrant Shares, and (b) 44,350,000 Private Placement Warrants and Working Capital Warrants. The Existing Warrants were issued pursuant to the Warrant Agreement, dated July 29, 2020 (the “</w:t>
      </w:r>
      <w:r>
        <w:rPr>
          <w:rFonts w:ascii="Times New Roman" w:cs="Times New Roman" w:eastAsia="Times New Roman" w:hAnsi="Times New Roman"/>
          <w:sz w:val="18"/>
          <w:szCs w:val="18"/>
          <w:b w:val="1"/>
          <w:bCs w:val="1"/>
          <w:color w:val="auto"/>
        </w:rPr>
        <w:t>Existing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the Company and Continental Stock Transfer &amp; Trust Company, as warrant agent. The Private Placement Warrants were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Private Placement Warrant Purchase Agreement, dated July 29, 2020 (the “</w:t>
      </w:r>
      <w:r>
        <w:rPr>
          <w:rFonts w:ascii="Times New Roman" w:cs="Times New Roman" w:eastAsia="Times New Roman" w:hAnsi="Times New Roman"/>
          <w:sz w:val="18"/>
          <w:szCs w:val="18"/>
          <w:b w:val="1"/>
          <w:bCs w:val="1"/>
          <w:color w:val="auto"/>
        </w:rPr>
        <w:t>Existing Warrant Purchase Agreement</w:t>
      </w:r>
      <w:r>
        <w:rPr>
          <w:rFonts w:ascii="Times New Roman" w:cs="Times New Roman" w:eastAsia="Times New Roman" w:hAnsi="Times New Roman"/>
          <w:sz w:val="18"/>
          <w:szCs w:val="18"/>
          <w:color w:val="auto"/>
        </w:rPr>
        <w:t>”), between the Company and the Sponsor. In accordance with the Agreement and Plan of Merger, dated February 22, 2021 and as amended, modified supplemented or waived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among the Company, Atieva, Inc., d/b/a Lucid Motors (“</w:t>
      </w:r>
      <w:r>
        <w:rPr>
          <w:rFonts w:ascii="Times New Roman" w:cs="Times New Roman" w:eastAsia="Times New Roman" w:hAnsi="Times New Roman"/>
          <w:sz w:val="18"/>
          <w:szCs w:val="18"/>
          <w:b w:val="1"/>
          <w:bCs w:val="1"/>
          <w:color w:val="auto"/>
        </w:rPr>
        <w:t>Lucid</w:t>
      </w:r>
      <w:r>
        <w:rPr>
          <w:rFonts w:ascii="Times New Roman" w:cs="Times New Roman" w:eastAsia="Times New Roman" w:hAnsi="Times New Roman"/>
          <w:sz w:val="18"/>
          <w:szCs w:val="18"/>
          <w:color w:val="auto"/>
        </w:rPr>
        <w:t>”), and Air Merger Sub, Inc., a Delaware corporation and a direct, wholly-owned subsidiary of the Company, certain options and restricted stock units originally issued by Lucid pursuant to Lucid’s 2009 Share Plan, 2014 Share Plan and 2021 Stock Incentive Plan (together, the “</w:t>
      </w:r>
      <w:r>
        <w:rPr>
          <w:rFonts w:ascii="Times New Roman" w:cs="Times New Roman" w:eastAsia="Times New Roman" w:hAnsi="Times New Roman"/>
          <w:sz w:val="18"/>
          <w:szCs w:val="18"/>
          <w:b w:val="1"/>
          <w:bCs w:val="1"/>
          <w:color w:val="auto"/>
        </w:rPr>
        <w:t>Lucid Equity Compensation Plans</w:t>
      </w:r>
      <w:r>
        <w:rPr>
          <w:rFonts w:ascii="Times New Roman" w:cs="Times New Roman" w:eastAsia="Times New Roman" w:hAnsi="Times New Roman"/>
          <w:sz w:val="18"/>
          <w:szCs w:val="18"/>
          <w:color w:val="auto"/>
        </w:rPr>
        <w:t>”), as applicable, were cancelled and exchanged into Company options and restricted stock units, respectively (the “</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assumptions and qualifications set forth below, we advise you that, in our opinion:</w:t>
      </w:r>
    </w:p>
    <w:p>
      <w:pPr>
        <w:spacing w:after="0" w:line="225" w:lineRule="exact"/>
        <w:rPr>
          <w:sz w:val="20"/>
          <w:szCs w:val="20"/>
          <w:color w:val="auto"/>
        </w:rPr>
      </w:pPr>
    </w:p>
    <w:p>
      <w:pPr>
        <w:ind w:left="1300" w:right="40" w:hanging="644"/>
        <w:spacing w:after="0" w:line="255"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Times New Roman" w:cs="Times New Roman" w:eastAsia="Times New Roman" w:hAnsi="Times New Roman"/>
          <w:sz w:val="18"/>
          <w:szCs w:val="18"/>
          <w:b w:val="1"/>
          <w:bCs w:val="1"/>
          <w:color w:val="auto"/>
        </w:rPr>
        <w:t>Offered Security</w:t>
      </w:r>
      <w:r>
        <w:rPr>
          <w:rFonts w:ascii="Times New Roman" w:cs="Times New Roman" w:eastAsia="Times New Roman" w:hAnsi="Times New Roman"/>
          <w:sz w:val="18"/>
          <w:szCs w:val="18"/>
          <w:color w:val="auto"/>
        </w:rPr>
        <w:t>”), in accordance with the terms of such Offered Security or the instrument governing such Offered Security providing for such 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29, 2022</w:t>
            </w: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1440" w:right="339" w:bottom="1440" w:gutter="0" w:footer="0" w:header="0"/>
        </w:sectPr>
      </w:pPr>
    </w:p>
    <w:bookmarkStart w:id="131" w:name="page132"/>
    <w:bookmarkEnd w:id="131"/>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65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65430"/>
                    </a:xfrm>
                    <a:prstGeom prst="rect">
                      <a:avLst/>
                    </a:prstGeom>
                    <a:noFill/>
                  </pic:spPr>
                </pic:pic>
              </a:graphicData>
            </a:graphic>
          </wp:anchor>
        </w:drawing>
      </w:r>
    </w:p>
    <w:p>
      <w:pPr>
        <w:ind w:left="1300" w:right="120" w:hanging="644"/>
        <w:spacing w:after="0" w:line="256"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187" w:lineRule="exact"/>
        <w:rPr>
          <w:rFonts w:ascii="Times New Roman" w:cs="Times New Roman" w:eastAsia="Times New Roman" w:hAnsi="Times New Roman"/>
          <w:sz w:val="18"/>
          <w:szCs w:val="18"/>
          <w:color w:val="auto"/>
        </w:rPr>
      </w:pPr>
    </w:p>
    <w:p>
      <w:pPr>
        <w:ind w:left="1300" w:right="60" w:hanging="644"/>
        <w:spacing w:after="0" w:line="252" w:lineRule="auto"/>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Indenture and any supplemental indenture to be entered into in connection with the issuance of any Debt Securities have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(x) the effect of fraudulent conveyance, fraudulent transfer or similar provision of applicable law on the conclusions expressed above, (y) the validity, legally binding effect or enforceability of any section of any supplemental indenture that requires or relates to adjustments to a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97" w:lineRule="exact"/>
        <w:rPr>
          <w:rFonts w:ascii="Times New Roman" w:cs="Times New Roman" w:eastAsia="Times New Roman" w:hAnsi="Times New Roman"/>
          <w:sz w:val="18"/>
          <w:szCs w:val="18"/>
          <w:color w:val="auto"/>
        </w:rPr>
      </w:pPr>
    </w:p>
    <w:p>
      <w:pPr>
        <w:ind w:left="1300" w:right="120" w:hanging="644"/>
        <w:spacing w:after="0" w:line="273" w:lineRule="auto"/>
        <w:tabs>
          <w:tab w:leader="none" w:pos="13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29, 2022</w:t>
            </w: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440" w:right="339" w:bottom="1440" w:gutter="0" w:footer="0" w:header="0"/>
        </w:sectPr>
      </w:pPr>
    </w:p>
    <w:bookmarkStart w:id="132" w:name="page133"/>
    <w:bookmarkEnd w:id="132"/>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65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65430"/>
                    </a:xfrm>
                    <a:prstGeom prst="rect">
                      <a:avLst/>
                    </a:prstGeom>
                    <a:noFill/>
                  </pic:spPr>
                </pic:pic>
              </a:graphicData>
            </a:graphic>
          </wp:anchor>
        </w:drawing>
      </w:r>
    </w:p>
    <w:p>
      <w:pPr>
        <w:ind w:left="1300" w:right="80" w:hanging="644"/>
        <w:spacing w:after="0" w:line="254"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91" w:lineRule="exact"/>
        <w:rPr>
          <w:rFonts w:ascii="Times New Roman" w:cs="Times New Roman" w:eastAsia="Times New Roman" w:hAnsi="Times New Roman"/>
          <w:sz w:val="18"/>
          <w:szCs w:val="18"/>
          <w:color w:val="auto"/>
        </w:rPr>
      </w:pPr>
    </w:p>
    <w:p>
      <w:pPr>
        <w:ind w:left="1300" w:right="180" w:hanging="644"/>
        <w:spacing w:after="0" w:line="254"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Deposit Agreement to be entered into in connection with the issuance of any Depositary Shares has been duly authorized, executed and delivered by the Depositary and the Company; the specific terms of the Depositary Shares have been duly authorized and established in accordance with the Deposit Agreement; and such Depositary Shares have been duly authorized, executed, issued and delivered in accordance with the Deposit Agreement and the applicable underwriting or other agreement against payment therefor, such Depositary Shares will constitute legal and valid interests in the corresponding shares of Preferred Stock,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91" w:lineRule="exact"/>
        <w:rPr>
          <w:rFonts w:ascii="Times New Roman" w:cs="Times New Roman" w:eastAsia="Times New Roman" w:hAnsi="Times New Roman"/>
          <w:sz w:val="18"/>
          <w:szCs w:val="18"/>
          <w:color w:val="auto"/>
        </w:rPr>
      </w:pPr>
    </w:p>
    <w:p>
      <w:pPr>
        <w:ind w:left="1300" w:right="220" w:hanging="644"/>
        <w:spacing w:after="0" w:line="255"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88" w:lineRule="exact"/>
        <w:rPr>
          <w:rFonts w:ascii="Times New Roman" w:cs="Times New Roman" w:eastAsia="Times New Roman" w:hAnsi="Times New Roman"/>
          <w:sz w:val="18"/>
          <w:szCs w:val="18"/>
          <w:color w:val="auto"/>
        </w:rPr>
      </w:pPr>
    </w:p>
    <w:p>
      <w:pPr>
        <w:ind w:left="1300" w:right="100" w:hanging="644"/>
        <w:spacing w:after="0" w:line="255"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Private Placement Warrants have been issued in accordance with the terms of the Existing Warrant Agreement and delivered against payment therefor in accordance with the terms of the Existing Warrant Purchase Agreement, (a) the Private Placement Warrants constitute valid and binding obligations of the Company, enforceable in accordance with their terms, subject to applicable bankruptcy, insolvency and similar laws affecting creditors’ rights generally, concepts of reasonableness and equitable principles of general applicability, and (b) the Private Placement Warrant Shares, when issued and paid for upon the exercise of the Private Placement Warrants in accordance with the terms of the Private Placement Warrants and the Existing Warrant Agreement, will be validly issued, fully paid and non-assessable.</w:t>
      </w:r>
    </w:p>
    <w:p>
      <w:pPr>
        <w:spacing w:after="0" w:line="188" w:lineRule="exact"/>
        <w:rPr>
          <w:rFonts w:ascii="Times New Roman" w:cs="Times New Roman" w:eastAsia="Times New Roman" w:hAnsi="Times New Roman"/>
          <w:sz w:val="18"/>
          <w:szCs w:val="18"/>
          <w:color w:val="auto"/>
        </w:rPr>
      </w:pPr>
    </w:p>
    <w:p>
      <w:pPr>
        <w:ind w:left="1300" w:right="60" w:hanging="644"/>
        <w:spacing w:after="0" w:line="274" w:lineRule="auto"/>
        <w:tabs>
          <w:tab w:leader="none" w:pos="13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Working Capital Warrants have been issued in accordance with the terms of the Existing Warrant Agreement and delivered against payment therefor in accordance with the terms of the Promissory Note, (a) the Working Capital Warrants constitute valid and binding obligations of the Company, enforceable in accordance with their terms, subject to applicable bankruptcy, insolvency and similar laws affecting creditors’ rights generally, concepts of reasonableness and equitable principles of general applicability, and (b) the Working Capital Warrant Shares, when issued and paid for upon the exercise of the Working Capital Warrants in accordance with the terms of the Working Capital Warrants and the Existing Warrant Agreement, will be validly issued, fully paid and non-assessable.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29, 2022</w:t>
            </w: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1440" w:right="339" w:bottom="1440" w:gutter="0" w:footer="0" w:header="0"/>
        </w:sectPr>
      </w:pPr>
    </w:p>
    <w:bookmarkStart w:id="133" w:name="page134"/>
    <w:bookmarkEnd w:id="133"/>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05535" cy="265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105535" cy="265430"/>
                    </a:xfrm>
                    <a:prstGeom prst="rect">
                      <a:avLst/>
                    </a:prstGeom>
                    <a:noFill/>
                  </pic:spPr>
                </pic:pic>
              </a:graphicData>
            </a:graphic>
          </wp:anchor>
        </w:drawing>
      </w: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Secondary Shares have been validly issued, fully paid and non-assessable.</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Secondary Equity Award Shares have been duly authorized and, when issued and paid for in accordance with the applicable Lucid Equity Compensation Plan, will be validly issued, fully paid and non-assessable.</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opinions expressed in paragraphs 8 through 11 above, we have assumed that, at or prior to the time of the delivery of any such Security, (i) the Board of Directors of the Company shall have duly established the terms of such Security, if applicable, and duly authorized the issuance and sale of such Security and such authorization shall not have been modified or rescinded; (ii) the Company shall remain validly existing as a corporation in good standing under the laws of the State of Delaware; (iii) the Registration Statement shall have been declared effective and such effectiveness shall not have been terminated or rescinded; and (iv) there shall not have occurred any change in law affecting the validity or enforceability of such Security. We have also assumed that the terms of any Security whose terms are established subsequent to the date hereof and the issuance, execution, delivery and performance by the Company of any such Security (a) require no action by or in respect of, or filing with, any governmental body, agency or official and</w:t>
      </w:r>
    </w:p>
    <w:p>
      <w:pPr>
        <w:spacing w:after="0" w:line="3" w:lineRule="exact"/>
        <w:rPr>
          <w:sz w:val="20"/>
          <w:szCs w:val="20"/>
          <w:color w:val="auto"/>
        </w:rPr>
      </w:pPr>
    </w:p>
    <w:p>
      <w:pPr>
        <w:ind w:right="360" w:firstLine="8"/>
        <w:spacing w:after="0" w:line="260"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contravene, or constitute a default under, any provision of applicable law or public policy or regulation or any judgment, injunction, order or decree or any agreement or other instrument binding upon the Company.</w:t>
      </w:r>
    </w:p>
    <w:p>
      <w:pPr>
        <w:spacing w:after="0" w:line="1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opinions expressed in paragraphs 1 through 9 above, we have assumed that the Underwriting Agreement, the Existing Warrant Agreement, the Existing Warrants and the Promissory Note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members of the Bars of the States of New York and California and the foregoing opinion is limited to the laws of the State of New York and the General Corporation Law of the State of Delaware.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29, 2022</w:t>
            </w:r>
          </w:p>
        </w:tc>
        <w:tc>
          <w:tcPr>
            <w:tcW w:w="5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144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have issued our report dated February 28, 2022, with respect to the consolidated financial statements of Lucid Group, Inc. included in the Annual Report on Form 10-K for the year ended December 31, 2021, which are incorporated by reference in this Registration Statement. We consent to the incorporation by reference of the aforementioned report in this Registration Statement, and to the use of our name as it appears under the caption “Experts.”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187325</wp:posOffset>
            </wp:positionV>
            <wp:extent cx="17830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T-1</w:t>
      </w:r>
    </w:p>
    <w:p>
      <w:pPr>
        <w:spacing w:after="0" w:line="2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STATEMENT OF ELIGIBILITY UNDER</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THE TRUST INDENTURE ACT OF 1939 OF A</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CORPORATION DESIGNATED TO ACT AS TRUSTEE</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Check if an Application to Determine Eligibility of</w:t>
      </w:r>
    </w:p>
    <w:p>
      <w:pPr>
        <w:spacing w:after="0" w:line="4" w:lineRule="exact"/>
        <w:rPr>
          <w:sz w:val="20"/>
          <w:szCs w:val="20"/>
          <w:color w:val="auto"/>
        </w:rPr>
      </w:pPr>
    </w:p>
    <w:p>
      <w:pPr>
        <w:ind w:left="4100"/>
        <w:spacing w:after="0" w:line="207" w:lineRule="exact"/>
        <w:rPr>
          <w:sz w:val="20"/>
          <w:szCs w:val="20"/>
          <w:color w:val="auto"/>
        </w:rPr>
      </w:pPr>
      <w:r>
        <w:rPr>
          <w:rFonts w:ascii="Times New Roman" w:cs="Times New Roman" w:eastAsia="Times New Roman" w:hAnsi="Times New Roman"/>
          <w:sz w:val="18"/>
          <w:szCs w:val="18"/>
          <w:color w:val="auto"/>
        </w:rPr>
        <w:t xml:space="preserve">a Trustee Pursuant to Section 305(b)(2)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180340</wp:posOffset>
            </wp:positionV>
            <wp:extent cx="3566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U.S. BANK TRUST COMPANY, NATIONAL ASSOCIATION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Trustee as specified in its charter)</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320" w:type="dxa"/>
            <w:vAlign w:val="bottom"/>
          </w:tcPr>
          <w:p>
            <w:pPr>
              <w:spacing w:after="0"/>
              <w:rPr>
                <w:sz w:val="19"/>
                <w:szCs w:val="19"/>
                <w:color w:val="auto"/>
              </w:rPr>
            </w:pPr>
          </w:p>
        </w:tc>
        <w:tc>
          <w:tcPr>
            <w:tcW w:w="6920" w:type="dxa"/>
            <w:vAlign w:val="bottom"/>
            <w:gridSpan w:val="2"/>
          </w:tcPr>
          <w:p>
            <w:pPr>
              <w:jc w:val="right"/>
              <w:ind w:right="5090"/>
              <w:spacing w:after="0"/>
              <w:rPr>
                <w:sz w:val="20"/>
                <w:szCs w:val="20"/>
                <w:color w:val="auto"/>
              </w:rPr>
            </w:pPr>
            <w:r>
              <w:rPr>
                <w:rFonts w:ascii="Times New Roman" w:cs="Times New Roman" w:eastAsia="Times New Roman" w:hAnsi="Times New Roman"/>
                <w:sz w:val="18"/>
                <w:szCs w:val="18"/>
                <w:b w:val="1"/>
                <w:bCs w:val="1"/>
                <w:color w:val="auto"/>
              </w:rPr>
              <w:t>91-1821036</w:t>
            </w:r>
          </w:p>
        </w:tc>
      </w:tr>
      <w:tr>
        <w:trPr>
          <w:trHeight w:val="234"/>
        </w:trPr>
        <w:tc>
          <w:tcPr>
            <w:tcW w:w="4320" w:type="dxa"/>
            <w:vAlign w:val="bottom"/>
          </w:tcPr>
          <w:p>
            <w:pPr>
              <w:spacing w:after="0"/>
              <w:rPr>
                <w:sz w:val="20"/>
                <w:szCs w:val="20"/>
                <w:color w:val="auto"/>
              </w:rPr>
            </w:pPr>
          </w:p>
        </w:tc>
        <w:tc>
          <w:tcPr>
            <w:tcW w:w="6920" w:type="dxa"/>
            <w:vAlign w:val="bottom"/>
            <w:gridSpan w:val="2"/>
          </w:tcPr>
          <w:p>
            <w:pPr>
              <w:jc w:val="center"/>
              <w:ind w:right="42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6"/>
        </w:trPr>
        <w:tc>
          <w:tcPr>
            <w:tcW w:w="4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191"/>
        </w:trPr>
        <w:tc>
          <w:tcPr>
            <w:tcW w:w="4320" w:type="dxa"/>
            <w:vAlign w:val="bottom"/>
            <w:tcBorders>
              <w:left w:val="single" w:sz="8" w:color="auto"/>
            </w:tcBorders>
          </w:tcPr>
          <w:p>
            <w:pPr>
              <w:jc w:val="center"/>
              <w:ind w:left="1230"/>
              <w:spacing w:after="0" w:line="191" w:lineRule="exact"/>
              <w:rPr>
                <w:sz w:val="20"/>
                <w:szCs w:val="20"/>
                <w:color w:val="auto"/>
              </w:rPr>
            </w:pPr>
            <w:r>
              <w:rPr>
                <w:rFonts w:ascii="Times New Roman" w:cs="Times New Roman" w:eastAsia="Times New Roman" w:hAnsi="Times New Roman"/>
                <w:sz w:val="18"/>
                <w:szCs w:val="18"/>
                <w:color w:val="auto"/>
                <w:w w:val="99"/>
              </w:rPr>
              <w:t>800 Nicollet Mall</w:t>
            </w:r>
          </w:p>
        </w:tc>
        <w:tc>
          <w:tcPr>
            <w:tcW w:w="132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spacing w:after="0"/>
              <w:rPr>
                <w:sz w:val="16"/>
                <w:szCs w:val="16"/>
                <w:color w:val="auto"/>
              </w:rPr>
            </w:pPr>
          </w:p>
        </w:tc>
      </w:tr>
      <w:tr>
        <w:trPr>
          <w:trHeight w:val="234"/>
        </w:trPr>
        <w:tc>
          <w:tcPr>
            <w:tcW w:w="4320" w:type="dxa"/>
            <w:vAlign w:val="bottom"/>
            <w:tcBorders>
              <w:left w:val="single" w:sz="8" w:color="auto"/>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color w:val="auto"/>
              </w:rPr>
              <w:t>Minneapolis, Minnesota</w:t>
            </w:r>
          </w:p>
        </w:tc>
        <w:tc>
          <w:tcPr>
            <w:tcW w:w="132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55402</w:t>
            </w:r>
          </w:p>
        </w:tc>
      </w:tr>
      <w:tr>
        <w:trPr>
          <w:trHeight w:val="209"/>
        </w:trPr>
        <w:tc>
          <w:tcPr>
            <w:tcW w:w="4320" w:type="dxa"/>
            <w:vAlign w:val="bottom"/>
            <w:tcBorders>
              <w:left w:val="single" w:sz="8" w:color="auto"/>
              <w:bottom w:val="single" w:sz="8" w:color="auto"/>
            </w:tcBorders>
          </w:tcPr>
          <w:p>
            <w:pPr>
              <w:jc w:val="center"/>
              <w:ind w:left="1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2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Bradley E. Scarbrough</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jc w:val="center"/>
        <w:ind w:right="40"/>
        <w:spacing w:after="0" w:line="192" w:lineRule="auto"/>
        <w:rPr>
          <w:sz w:val="20"/>
          <w:szCs w:val="20"/>
          <w:color w:val="auto"/>
        </w:rPr>
      </w:pPr>
      <w:r>
        <w:rPr>
          <w:rFonts w:ascii="Times New Roman" w:cs="Times New Roman" w:eastAsia="Times New Roman" w:hAnsi="Times New Roman"/>
          <w:sz w:val="18"/>
          <w:szCs w:val="18"/>
          <w:color w:val="auto"/>
        </w:rPr>
        <w:t>633 West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476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(213) 615-6047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1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Lucid Group,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 with respect to the Securities)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38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right w:val="single" w:sz="8" w:color="auto"/>
            </w:tcBorders>
          </w:tcPr>
          <w:p>
            <w:pPr>
              <w:jc w:val="right"/>
              <w:ind w:right="2290"/>
              <w:spacing w:after="0"/>
              <w:rPr>
                <w:sz w:val="20"/>
                <w:szCs w:val="20"/>
                <w:color w:val="auto"/>
              </w:rPr>
            </w:pPr>
            <w:r>
              <w:rPr>
                <w:rFonts w:ascii="Times New Roman" w:cs="Times New Roman" w:eastAsia="Times New Roman" w:hAnsi="Times New Roman"/>
                <w:sz w:val="18"/>
                <w:szCs w:val="18"/>
                <w:color w:val="auto"/>
              </w:rPr>
              <w:t>85-0891392</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380" w:type="dxa"/>
            <w:vAlign w:val="bottom"/>
            <w:tcBorders>
              <w:bottom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jc w:val="center"/>
              <w:ind w:right="13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0"/>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spacing w:after="0"/>
              <w:rPr>
                <w:sz w:val="18"/>
                <w:szCs w:val="18"/>
                <w:color w:val="auto"/>
              </w:rPr>
            </w:pPr>
          </w:p>
        </w:tc>
      </w:tr>
      <w:tr>
        <w:trPr>
          <w:trHeight w:val="210"/>
        </w:trPr>
        <w:tc>
          <w:tcPr>
            <w:tcW w:w="7020" w:type="dxa"/>
            <w:vAlign w:val="bottom"/>
            <w:tcBorders>
              <w:bottom w:val="single" w:sz="8" w:color="auto"/>
            </w:tcBorders>
            <w:gridSpan w:val="2"/>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r>
        <w:trPr>
          <w:trHeight w:val="191"/>
        </w:trPr>
        <w:tc>
          <w:tcPr>
            <w:tcW w:w="56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7373 Gateway Boulevard</w:t>
            </w:r>
          </w:p>
        </w:tc>
        <w:tc>
          <w:tcPr>
            <w:tcW w:w="1380" w:type="dxa"/>
            <w:vAlign w:val="bottom"/>
          </w:tcPr>
          <w:p>
            <w:pPr>
              <w:spacing w:after="0"/>
              <w:rPr>
                <w:sz w:val="16"/>
                <w:szCs w:val="16"/>
                <w:color w:val="auto"/>
              </w:rPr>
            </w:pPr>
          </w:p>
        </w:tc>
        <w:tc>
          <w:tcPr>
            <w:tcW w:w="4220" w:type="dxa"/>
            <w:vAlign w:val="bottom"/>
            <w:tcBorders>
              <w:right w:val="single" w:sz="8" w:color="auto"/>
            </w:tcBorders>
          </w:tcPr>
          <w:p>
            <w:pPr>
              <w:jc w:val="right"/>
              <w:ind w:right="2490"/>
              <w:spacing w:after="0" w:line="191" w:lineRule="exact"/>
              <w:rPr>
                <w:sz w:val="20"/>
                <w:szCs w:val="20"/>
                <w:color w:val="auto"/>
              </w:rPr>
            </w:pPr>
            <w:r>
              <w:rPr>
                <w:rFonts w:ascii="Times New Roman" w:cs="Times New Roman" w:eastAsia="Times New Roman" w:hAnsi="Times New Roman"/>
                <w:sz w:val="18"/>
                <w:szCs w:val="18"/>
                <w:color w:val="auto"/>
              </w:rPr>
              <w:t>94560</w:t>
            </w:r>
          </w:p>
        </w:tc>
      </w:tr>
      <w:tr>
        <w:trPr>
          <w:trHeight w:val="23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Newark, CA</w:t>
            </w:r>
          </w:p>
        </w:tc>
        <w:tc>
          <w:tcPr>
            <w:tcW w:w="1380" w:type="dxa"/>
            <w:vAlign w:val="bottom"/>
            <w:tcBorders>
              <w:bottom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spacing w:after="0"/>
              <w:rPr>
                <w:sz w:val="20"/>
                <w:szCs w:val="20"/>
                <w:color w:val="auto"/>
              </w:rPr>
            </w:pP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tcBorders>
              <w:bottom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jc w:val="center"/>
              <w:ind w:right="13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84"/>
        </w:trPr>
        <w:tc>
          <w:tcPr>
            <w:tcW w:w="7020" w:type="dxa"/>
            <w:vAlign w:val="bottom"/>
            <w:gridSpan w:val="2"/>
          </w:tcPr>
          <w:p>
            <w:pPr>
              <w:jc w:val="center"/>
              <w:ind w:left="4125"/>
              <w:spacing w:after="0"/>
              <w:rPr>
                <w:sz w:val="20"/>
                <w:szCs w:val="20"/>
                <w:color w:val="auto"/>
              </w:rPr>
            </w:pPr>
            <w:r>
              <w:rPr>
                <w:rFonts w:ascii="Times New Roman" w:cs="Times New Roman" w:eastAsia="Times New Roman" w:hAnsi="Times New Roman"/>
                <w:sz w:val="25"/>
                <w:szCs w:val="25"/>
                <w:b w:val="1"/>
                <w:bCs w:val="1"/>
                <w:color w:val="auto"/>
              </w:rPr>
              <w:t>Debt Securities</w:t>
            </w:r>
          </w:p>
        </w:tc>
        <w:tc>
          <w:tcPr>
            <w:tcW w:w="4220" w:type="dxa"/>
            <w:vAlign w:val="bottom"/>
          </w:tcPr>
          <w:p>
            <w:pPr>
              <w:spacing w:after="0"/>
              <w:rPr>
                <w:sz w:val="24"/>
                <w:szCs w:val="24"/>
                <w:color w:val="auto"/>
              </w:rPr>
            </w:pPr>
          </w:p>
        </w:tc>
      </w:tr>
      <w:tr>
        <w:trPr>
          <w:trHeight w:val="238"/>
        </w:trPr>
        <w:tc>
          <w:tcPr>
            <w:tcW w:w="7020" w:type="dxa"/>
            <w:vAlign w:val="bottom"/>
            <w:gridSpan w:val="2"/>
          </w:tcPr>
          <w:p>
            <w:pPr>
              <w:jc w:val="center"/>
              <w:ind w:left="4125"/>
              <w:spacing w:after="0"/>
              <w:rPr>
                <w:sz w:val="20"/>
                <w:szCs w:val="20"/>
                <w:color w:val="auto"/>
              </w:rPr>
            </w:pPr>
            <w:r>
              <w:rPr>
                <w:rFonts w:ascii="Times New Roman" w:cs="Times New Roman" w:eastAsia="Times New Roman" w:hAnsi="Times New Roman"/>
                <w:sz w:val="18"/>
                <w:szCs w:val="18"/>
                <w:b w:val="1"/>
                <w:bCs w:val="1"/>
                <w:color w:val="auto"/>
                <w:w w:val="99"/>
              </w:rPr>
              <w:t>(Title of the Indenture Securities)</w:t>
            </w:r>
          </w:p>
        </w:tc>
        <w:tc>
          <w:tcPr>
            <w:tcW w:w="4220" w:type="dxa"/>
            <w:vAlign w:val="bottom"/>
          </w:tcPr>
          <w:p>
            <w:pPr>
              <w:spacing w:after="0"/>
              <w:rPr>
                <w:sz w:val="20"/>
                <w:szCs w:val="20"/>
                <w:color w:val="auto"/>
              </w:rPr>
            </w:pPr>
          </w:p>
        </w:tc>
      </w:tr>
      <w:tr>
        <w:trPr>
          <w:trHeight w:val="270"/>
        </w:trPr>
        <w:tc>
          <w:tcPr>
            <w:tcW w:w="56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220" w:type="dxa"/>
            <w:vAlign w:val="bottom"/>
            <w:tcBorders>
              <w:bottom w:val="single" w:sz="8" w:color="auto"/>
            </w:tcBorders>
          </w:tcPr>
          <w:p>
            <w:pPr>
              <w:spacing w:after="0"/>
              <w:rPr>
                <w:sz w:val="23"/>
                <w:szCs w:val="23"/>
                <w:color w:val="auto"/>
              </w:rPr>
            </w:pPr>
          </w:p>
        </w:tc>
      </w:tr>
      <w:tr>
        <w:trPr>
          <w:trHeight w:val="28"/>
        </w:trPr>
        <w:tc>
          <w:tcPr>
            <w:tcW w:w="5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16"/>
        </w:trPr>
        <w:tc>
          <w:tcPr>
            <w:tcW w:w="5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351" w:right="33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GENERAL INFORMATION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Furnish the following information as to the Trustee.</w:t>
      </w:r>
    </w:p>
    <w:p>
      <w:pPr>
        <w:spacing w:after="0" w:line="227" w:lineRule="exact"/>
        <w:rPr>
          <w:sz w:val="20"/>
          <w:szCs w:val="20"/>
          <w:color w:val="auto"/>
        </w:rPr>
      </w:pPr>
    </w:p>
    <w:p>
      <w:pPr>
        <w:ind w:left="1960" w:right="3880" w:hanging="980"/>
        <w:spacing w:after="0" w:line="262" w:lineRule="auto"/>
        <w:tabs>
          <w:tab w:leader="none" w:pos="131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of each examining or supervising authority to which it is subject. </w:t>
      </w:r>
      <w:r>
        <w:rPr>
          <w:rFonts w:ascii="Times New Roman" w:cs="Times New Roman" w:eastAsia="Times New Roman" w:hAnsi="Times New Roman"/>
          <w:sz w:val="18"/>
          <w:szCs w:val="18"/>
          <w:color w:val="auto"/>
        </w:rPr>
        <w:t>Comptroller of the Currency</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Washington, D.C.</w:t>
      </w:r>
    </w:p>
    <w:p>
      <w:pPr>
        <w:spacing w:after="0" w:line="20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Whether it is authorized to exercise corporate trust powers.</w:t>
      </w:r>
    </w:p>
    <w:p>
      <w:pPr>
        <w:spacing w:after="0" w:line="200" w:lineRule="exact"/>
        <w:rPr>
          <w:sz w:val="20"/>
          <w:szCs w:val="20"/>
          <w:color w:val="auto"/>
        </w:rPr>
      </w:pPr>
    </w:p>
    <w:p>
      <w:pPr>
        <w:spacing w:after="0" w:line="239" w:lineRule="exact"/>
        <w:rPr>
          <w:sz w:val="20"/>
          <w:szCs w:val="20"/>
          <w:color w:val="auto"/>
        </w:rPr>
      </w:pPr>
    </w:p>
    <w:p>
      <w:pPr>
        <w:ind w:left="980" w:right="1780" w:hanging="1295"/>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 xml:space="preserve">AFFILIATIONS WITH THE OBLIGOR. </w:t>
      </w:r>
      <w:r>
        <w:rPr>
          <w:rFonts w:ascii="Times New Roman" w:cs="Times New Roman" w:eastAsia="Times New Roman" w:hAnsi="Times New Roman"/>
          <w:sz w:val="18"/>
          <w:szCs w:val="18"/>
          <w:i w:val="1"/>
          <w:iCs w:val="1"/>
          <w:color w:val="auto"/>
        </w:rPr>
        <w:t>If the obligor is an affiliate of the Trustee, describe each such affiliation.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5" w:lineRule="exact"/>
        <w:rPr>
          <w:sz w:val="20"/>
          <w:szCs w:val="20"/>
          <w:color w:val="auto"/>
        </w:rPr>
      </w:pPr>
    </w:p>
    <w:p>
      <w:pPr>
        <w:ind w:left="1300" w:hanging="1295"/>
        <w:spacing w:after="0" w:line="28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Items 3-15</w:t>
      </w:r>
      <w:r>
        <w:rPr>
          <w:sz w:val="20"/>
          <w:szCs w:val="20"/>
          <w:color w:val="auto"/>
        </w:rPr>
        <w:tab/>
      </w:r>
      <w:r>
        <w:rPr>
          <w:rFonts w:ascii="Times New Roman" w:cs="Times New Roman" w:eastAsia="Times New Roman" w:hAnsi="Times New Roman"/>
          <w:sz w:val="18"/>
          <w:szCs w:val="18"/>
          <w:i w:val="1"/>
          <w:iCs w:val="1"/>
          <w:color w:val="auto"/>
        </w:rPr>
        <w:t>Items 3-15 are not applicable because to the best of the Trustee's knowledge, the obligor is not in default under any Indenture for which the Trustee acts as Trustee.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 xml:space="preserve">LIST OF EXHIBITS: </w:t>
      </w:r>
      <w:r>
        <w:rPr>
          <w:rFonts w:ascii="Times New Roman" w:cs="Times New Roman" w:eastAsia="Times New Roman" w:hAnsi="Times New Roman"/>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Trustee, attached as Exhibit 1.</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commence business, attached as Exhibit 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authority of the Trustee to exercise corporate trust powers, attached as Exhibit 3.</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existing bylaws of the Trustee, attached as Exhibit 4.</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Indenture referred to in Item 4. Not applicable.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Trust Indenture Act of 1939, attached as Exhibit 6.</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Condition of the Trustee as of March 31, 2022,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Los Angeles, State of California on the 29th of August, 2022.</w:t>
      </w:r>
    </w:p>
    <w:p>
      <w:pPr>
        <w:spacing w:after="0" w:line="180"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Bradley E. Scarbrough</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 S. BANK TRUST COMPANY,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organizing an association (the "Association) to perform any lawful activities of national banks, the undersigned enter into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title of this Association shall be U. S. Bank Trust Company, National Association.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main office of the Association shall be in the city of Portland, county of Multnomah, state of Oregon. The business of the Association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 shall be an annual meeting of the shareholders to elect directors and transact whatever other business may be brought before the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jc w:val="both"/>
        <w:spacing w:after="0" w:line="261" w:lineRule="auto"/>
        <w:rPr>
          <w:sz w:val="20"/>
          <w:szCs w:val="20"/>
          <w:color w:val="auto"/>
        </w:rPr>
      </w:pPr>
      <w:r>
        <w:rPr>
          <w:rFonts w:ascii="Times New Roman" w:cs="Times New Roman" w:eastAsia="Times New Roman" w:hAnsi="Times New Roman"/>
          <w:sz w:val="18"/>
          <w:szCs w:val="18"/>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Articles of Association or required by law, all shares of voting stock shall be voted together as a class, on any matters requiring shareholder approval.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have the power to:</w:t>
      </w:r>
    </w:p>
    <w:p>
      <w:pPr>
        <w:spacing w:after="0" w:line="225"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duties of the officers, employees, and agents of the Association.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performance of its duties, but not the responsibility for its duties, to the officers, employees, and agents of the Association.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compensation and enter employment contracts with its officers and employees upon reasonable terms and conditions consistent with applicable law.</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officers and employees.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bonds from officers and employees and to fix the penalty thereof.</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written policies authorized by the Association's management or committees of the board.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39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administer the business and affairs of the Association.</w:t>
      </w:r>
    </w:p>
    <w:p>
      <w:pPr>
        <w:spacing w:after="0" w:line="225" w:lineRule="exact"/>
        <w:rPr>
          <w:rFonts w:ascii="Times New Roman" w:cs="Times New Roman" w:eastAsia="Times New Roman" w:hAnsi="Times New Roman"/>
          <w:sz w:val="18"/>
          <w:szCs w:val="18"/>
          <w:color w:val="auto"/>
        </w:rPr>
      </w:pPr>
    </w:p>
    <w:p>
      <w:pPr>
        <w:ind w:left="660" w:right="740" w:hanging="652"/>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initial Bylaws, not inconsistent with law or the Articles of Association, for managing the business and regulating the affairs of the Association.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repeal Bylaws, except to the extent that the Articles of Association reserve this power in whole or in part to the shareholders.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contracts.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perform all acts that are legal for a board of directors to perform.</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The board of directors shall have the power to change the location of the main office to any authorized branch within the limits of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The corporate existence of this Association shall continue until termination according to the laws of the United States.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color w:val="auto"/>
        </w:rPr>
        <w:t xml:space="preserve">In witness whereof, we have hereunto set our hands this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17"/>
          <w:szCs w:val="17"/>
          <w:color w:val="auto"/>
        </w:rPr>
        <w:t xml:space="preserve"> of June, 1997.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T. Grubb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Sznewajs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Dwight V.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K. Chatterjee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7774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32320" cy="777494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74320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32320" cy="743204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BYLAWS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Meetings of Shareholders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Every such special meeting, unless otherwise provided by law, shall be called upon not less than ten (10) days nor more than sixty (60) days prior notice stating the purpose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election to the Board may be made by the Board or by any shareholder.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record date for determining shareholders entitled to notice and to vote at any meeting will be thirty days before the date of such meeting, unless otherwise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and Consent</w:t>
      </w:r>
      <w:r>
        <w:rPr>
          <w:rFonts w:ascii="Times New Roman" w:cs="Times New Roman" w:eastAsia="Times New Roman" w:hAnsi="Times New Roman"/>
          <w:sz w:val="18"/>
          <w:szCs w:val="18"/>
          <w:color w:val="auto"/>
        </w:rPr>
        <w:t>. The shareholders may act without notice or a meeting by a unanimous written consent by all shareholders.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The directors of this Association shall hold office for one year and until their successors are duly elected and qualified, or until their earlier resignation or removal.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In addition to the foregoing, the Board shall have and may exercise all of the powers granted to or conferred upon it by the Articles of Association, the Bylaws and by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7" w:name="page148"/>
    <w:bookmarkEnd w:id="1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Organization Meeting</w:t>
      </w:r>
      <w:r>
        <w:rPr>
          <w:rFonts w:ascii="Times New Roman" w:cs="Times New Roman" w:eastAsia="Times New Roman" w:hAnsi="Times New Roman"/>
          <w:sz w:val="18"/>
          <w:szCs w:val="18"/>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The regular meetings of the Board shall be held, without notice, as the Chairman or President may designate and deem suitable.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Quorum and Necessary Vote</w:t>
      </w:r>
      <w:r>
        <w:rPr>
          <w:rFonts w:ascii="Times New Roman" w:cs="Times New Roman" w:eastAsia="Times New Roman" w:hAnsi="Times New Roman"/>
          <w:sz w:val="18"/>
          <w:szCs w:val="18"/>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Remote Meetings</w:t>
      </w:r>
      <w:r>
        <w:rPr>
          <w:rFonts w:ascii="Times New Roman" w:cs="Times New Roman" w:eastAsia="Times New Roman" w:hAnsi="Times New Roman"/>
          <w:sz w:val="18"/>
          <w:szCs w:val="18"/>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 any vacancy occurs among the directors, the remaining members of the Board may appoint a director to fill such vacancy at any regular meeting of the Board, or at a special meeting called for that purpose.</w:t>
      </w:r>
    </w:p>
    <w:p>
      <w:pPr>
        <w:spacing w:after="0" w:line="162"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Advisory Board of Directors</w:t>
      </w:r>
      <w:r>
        <w:rPr>
          <w:rFonts w:ascii="Times New Roman" w:cs="Times New Roman" w:eastAsia="Times New Roman" w:hAnsi="Times New Roman"/>
          <w:sz w:val="18"/>
          <w:szCs w:val="18"/>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Trust Audit Committee</w:t>
      </w:r>
      <w:r>
        <w:rPr>
          <w:rFonts w:ascii="Times New Roman" w:cs="Times New Roman" w:eastAsia="Times New Roman" w:hAnsi="Times New Roman"/>
          <w:sz w:val="18"/>
          <w:szCs w:val="18"/>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The Audit Committee of the financial holding company that is the ultimate parent of this Association, fulfilling the function of the trust audit committee:</w:t>
      </w:r>
    </w:p>
    <w:p>
      <w:pPr>
        <w:spacing w:after="0" w:line="225" w:lineRule="exact"/>
        <w:rPr>
          <w:sz w:val="20"/>
          <w:szCs w:val="20"/>
          <w:color w:val="auto"/>
        </w:rPr>
      </w:pPr>
    </w:p>
    <w:p>
      <w:pPr>
        <w:ind w:left="660" w:right="240" w:hanging="4"/>
        <w:spacing w:after="0" w:line="282" w:lineRule="auto"/>
        <w:tabs>
          <w:tab w:leader="none" w:pos="140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include any officers of the Association or an affiliate who participate significantly in the administration of the Association’s fiduciary activities;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43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consist of a majority of members who are not also members of any committee to which the Board has delegated power to manage and control the fiduciary activities of the Association.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Executive Committee</w:t>
      </w:r>
      <w:r>
        <w:rPr>
          <w:rFonts w:ascii="Times New Roman" w:cs="Times New Roman" w:eastAsia="Times New Roman" w:hAnsi="Times New Roman"/>
          <w:sz w:val="18"/>
          <w:szCs w:val="18"/>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Trust Management Committee</w:t>
      </w:r>
      <w:r>
        <w:rPr>
          <w:rFonts w:ascii="Times New Roman" w:cs="Times New Roman" w:eastAsia="Times New Roman" w:hAnsi="Times New Roman"/>
          <w:sz w:val="18"/>
          <w:szCs w:val="18"/>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Other Committees</w:t>
      </w:r>
      <w:r>
        <w:rPr>
          <w:rFonts w:ascii="Times New Roman" w:cs="Times New Roman" w:eastAsia="Times New Roman" w:hAnsi="Times New Roman"/>
          <w:sz w:val="18"/>
          <w:szCs w:val="18"/>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Meetings, Minutes and Rules</w:t>
      </w:r>
      <w:r>
        <w:rPr>
          <w:rFonts w:ascii="Times New Roman" w:cs="Times New Roman" w:eastAsia="Times New Roman" w:hAnsi="Times New Roman"/>
          <w:sz w:val="18"/>
          <w:szCs w:val="18"/>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5100"/>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Tenure of Office</w:t>
      </w:r>
      <w:r>
        <w:rPr>
          <w:rFonts w:ascii="Times New Roman" w:cs="Times New Roman" w:eastAsia="Times New Roman" w:hAnsi="Times New Roman"/>
          <w:sz w:val="18"/>
          <w:szCs w:val="18"/>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ind w:left="5140"/>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8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Corporate Seal</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5080"/>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Trust Files</w:t>
      </w:r>
      <w:r>
        <w:rPr>
          <w:rFonts w:ascii="Times New Roman" w:cs="Times New Roman" w:eastAsia="Times New Roman" w:hAnsi="Times New Roman"/>
          <w:sz w:val="18"/>
          <w:szCs w:val="18"/>
          <w:color w:val="auto"/>
        </w:rPr>
        <w:t>. There shall be maintained in the Association files all fiduciary records necessary to assure that its fiduciary responsibilities have been properly undertaken and discharged.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 Investments</w:t>
      </w:r>
      <w:r>
        <w:rPr>
          <w:rFonts w:ascii="Times New Roman" w:cs="Times New Roman" w:eastAsia="Times New Roman" w:hAnsi="Times New Roman"/>
          <w:sz w:val="18"/>
          <w:szCs w:val="18"/>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5060"/>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Bylaws: Interpretation and Amendment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9.1. These Bylaws shall be interpreted in accordance with and subject to appropriate provisions of law, and may be added to, altered, amended, or repealed, at any regular or special meeting of the Board.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Association shall begin on the first day of January in each year and shall end on the thirty-first day of December following.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29, 2022</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Bradley E. Scarbrough</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Exhibit 7</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3/31/2022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5360" w:type="dxa"/>
            <w:vAlign w:val="bottom"/>
            <w:gridSpan w:val="2"/>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4660" w:type="dxa"/>
            <w:vAlign w:val="bottom"/>
            <w:tcBorders>
              <w:bottom w:val="single" w:sz="8" w:color="CCEEFF"/>
            </w:tcBorders>
          </w:tcPr>
          <w:p>
            <w:pPr>
              <w:spacing w:after="0"/>
              <w:rPr>
                <w:sz w:val="24"/>
                <w:szCs w:val="24"/>
                <w:color w:val="auto"/>
              </w:rPr>
            </w:pPr>
          </w:p>
        </w:tc>
        <w:tc>
          <w:tcPr>
            <w:tcW w:w="5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3/31/2022</w:t>
            </w:r>
          </w:p>
        </w:tc>
        <w:tc>
          <w:tcPr>
            <w:tcW w:w="10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5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612,028</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4,678</w:t>
            </w: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Funds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&amp; Lease Financing Receivables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2,935</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583,387</w:t>
            </w: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70,964</w:t>
            </w:r>
          </w:p>
        </w:tc>
        <w:tc>
          <w:tcPr>
            <w:tcW w:w="60" w:type="dxa"/>
            <w:vAlign w:val="bottom"/>
          </w:tcPr>
          <w:p>
            <w:pPr>
              <w:spacing w:after="0"/>
              <w:rPr>
                <w:sz w:val="18"/>
                <w:szCs w:val="18"/>
                <w:color w:val="auto"/>
              </w:rPr>
            </w:pPr>
          </w:p>
        </w:tc>
      </w:tr>
      <w:tr>
        <w:trPr>
          <w:trHeight w:val="209"/>
        </w:trPr>
        <w:tc>
          <w:tcPr>
            <w:tcW w:w="46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1,273,992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5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 Funds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Demand Notes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Trading Liabilities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Borrowed Money</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Acceptances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81,226</w:t>
            </w:r>
          </w:p>
        </w:tc>
        <w:tc>
          <w:tcPr>
            <w:tcW w:w="60" w:type="dxa"/>
            <w:vAlign w:val="bottom"/>
          </w:tcPr>
          <w:p>
            <w:pPr>
              <w:spacing w:after="0"/>
              <w:rPr>
                <w:sz w:val="18"/>
                <w:szCs w:val="18"/>
                <w:color w:val="auto"/>
              </w:rPr>
            </w:pPr>
          </w:p>
        </w:tc>
      </w:tr>
      <w:tr>
        <w:trPr>
          <w:trHeight w:val="20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Surplus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1,171,635</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Undivided Profits</w:t>
            </w:r>
          </w:p>
        </w:tc>
        <w:tc>
          <w:tcPr>
            <w:tcW w:w="5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20,931</w:t>
            </w:r>
          </w:p>
        </w:tc>
        <w:tc>
          <w:tcPr>
            <w:tcW w:w="60" w:type="dxa"/>
            <w:vAlign w:val="bottom"/>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Minority Interest in Subsidiaries</w:t>
            </w: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09"/>
        </w:trPr>
        <w:tc>
          <w:tcPr>
            <w:tcW w:w="4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Equity Capital</w:t>
            </w:r>
          </w:p>
        </w:tc>
        <w:tc>
          <w:tcPr>
            <w:tcW w:w="5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1,192,766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 Capital</w:t>
            </w:r>
          </w:p>
        </w:tc>
        <w:tc>
          <w:tcPr>
            <w:tcW w:w="5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1,273,992</w:t>
            </w:r>
          </w:p>
        </w:tc>
        <w:tc>
          <w:tcPr>
            <w:tcW w:w="60" w:type="dxa"/>
            <w:vAlign w:val="bottom"/>
          </w:tcPr>
          <w:p>
            <w:pPr>
              <w:spacing w:after="0"/>
              <w:rPr>
                <w:sz w:val="18"/>
                <w:szCs w:val="18"/>
                <w:color w:val="auto"/>
              </w:rPr>
            </w:pPr>
          </w:p>
        </w:tc>
      </w:tr>
      <w:tr>
        <w:trPr>
          <w:trHeight w:val="675"/>
        </w:trPr>
        <w:tc>
          <w:tcPr>
            <w:tcW w:w="46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7"/>
              </w:rPr>
              <w:t>Filing Fee</w:t>
            </w:r>
          </w:p>
        </w:tc>
      </w:tr>
      <w:tr>
        <w:trPr>
          <w:trHeight w:val="122"/>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Previously</w:t>
            </w:r>
          </w:p>
        </w:tc>
      </w:tr>
      <w:tr>
        <w:trPr>
          <w:trHeight w:val="122"/>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rPr>
              <w:t>Paid</w:t>
            </w:r>
          </w:p>
        </w:tc>
      </w:tr>
      <w:tr>
        <w:trPr>
          <w:trHeight w:val="121"/>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86"/>
              </w:rPr>
              <w:t>In</w:t>
            </w:r>
          </w:p>
        </w:tc>
      </w:tr>
      <w:tr>
        <w:trPr>
          <w:trHeight w:val="122"/>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Connection</w:t>
            </w:r>
          </w:p>
        </w:tc>
      </w:tr>
      <w:tr>
        <w:trPr>
          <w:trHeight w:val="122"/>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color w:val="auto"/>
              </w:rPr>
              <w:t>Fee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7"/>
              </w:rPr>
              <w:t>Proposed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color w:val="auto"/>
                <w:w w:val="95"/>
              </w:rPr>
              <w:t>Carry</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with Unsold</w:t>
            </w:r>
          </w:p>
        </w:tc>
      </w:tr>
      <w:tr>
        <w:trPr>
          <w:trHeight w:val="122"/>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color w:val="auto"/>
                <w:w w:val="98"/>
              </w:rPr>
              <w:t>Calculation</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4"/>
          </w:tcPr>
          <w:p>
            <w:pPr>
              <w:jc w:val="center"/>
              <w:ind w:right="286"/>
              <w:spacing w:after="0" w:line="122" w:lineRule="exact"/>
              <w:rPr>
                <w:sz w:val="20"/>
                <w:szCs w:val="20"/>
                <w:color w:val="auto"/>
              </w:rPr>
            </w:pPr>
            <w:r>
              <w:rPr>
                <w:rFonts w:ascii="Times New Roman" w:cs="Times New Roman" w:eastAsia="Times New Roman" w:hAnsi="Times New Roman"/>
                <w:sz w:val="11"/>
                <w:szCs w:val="11"/>
                <w:color w:val="auto"/>
              </w:rPr>
              <w:t>Maximum</w:t>
            </w: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color w:val="auto"/>
                <w:w w:val="96"/>
              </w:rPr>
              <w:t>Forward</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Securities to</w:t>
            </w:r>
          </w:p>
        </w:tc>
      </w:tr>
      <w:tr>
        <w:trPr>
          <w:trHeight w:val="122"/>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color w:val="auto"/>
                <w:w w:val="97"/>
              </w:rPr>
              <w:t>or Carry</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Offering</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color w:val="auto"/>
                <w:w w:val="95"/>
              </w:rPr>
              <w:t>Maximum</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color w:val="auto"/>
                <w:w w:val="99"/>
              </w:rPr>
              <w:t>Amount of</w:t>
            </w: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color w:val="auto"/>
                <w:w w:val="95"/>
              </w:rPr>
              <w:t>Carry</w:t>
            </w:r>
          </w:p>
        </w:tc>
        <w:tc>
          <w:tcPr>
            <w:tcW w:w="7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color w:val="auto"/>
                <w:w w:val="95"/>
              </w:rPr>
              <w:t>Carry</w:t>
            </w:r>
          </w:p>
        </w:tc>
        <w:tc>
          <w:tcPr>
            <w:tcW w:w="7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color w:val="auto"/>
                <w:w w:val="98"/>
              </w:rPr>
              <w:t>Initial</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be</w:t>
            </w:r>
          </w:p>
        </w:tc>
      </w:tr>
      <w:tr>
        <w:trPr>
          <w:trHeight w:val="121"/>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color w:val="auto"/>
                <w:w w:val="96"/>
              </w:rPr>
              <w:t>Forward</w:t>
            </w:r>
          </w:p>
        </w:tc>
        <w:tc>
          <w:tcPr>
            <w:tcW w:w="8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color w:val="auto"/>
                <w:w w:val="99"/>
              </w:rPr>
              <w:t>Amount</w:t>
            </w:r>
          </w:p>
        </w:tc>
        <w:tc>
          <w:tcPr>
            <w:tcW w:w="5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rPr>
              <w:t>Price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color w:val="auto"/>
                <w:w w:val="97"/>
              </w:rPr>
              <w:t>Aggregate Offering</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color w:val="auto"/>
                <w:w w:val="96"/>
              </w:rPr>
              <w:t>Registration</w:t>
            </w: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color w:val="auto"/>
                <w:w w:val="96"/>
              </w:rPr>
              <w:t>Forward</w:t>
            </w:r>
          </w:p>
        </w:tc>
        <w:tc>
          <w:tcPr>
            <w:tcW w:w="7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color w:val="auto"/>
                <w:w w:val="96"/>
              </w:rPr>
              <w:t>Forward</w:t>
            </w: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color w:val="auto"/>
                <w:w w:val="99"/>
              </w:rPr>
              <w:t>Effective</w:t>
            </w:r>
          </w:p>
        </w:tc>
        <w:tc>
          <w:tcPr>
            <w:tcW w:w="6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6"/>
              </w:rPr>
              <w:t>Carried</w:t>
            </w:r>
          </w:p>
        </w:tc>
      </w:tr>
      <w:tr>
        <w:trPr>
          <w:trHeight w:val="135"/>
        </w:trPr>
        <w:tc>
          <w:tcPr>
            <w:tcW w:w="7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Security Type</w:t>
            </w:r>
          </w:p>
        </w:tc>
        <w:tc>
          <w:tcPr>
            <w:tcW w:w="12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Security Class Title</w:t>
            </w: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Rule</w:t>
            </w:r>
          </w:p>
        </w:tc>
        <w:tc>
          <w:tcPr>
            <w:tcW w:w="24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Registered</w:t>
            </w: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color w:val="auto"/>
                <w:w w:val="97"/>
              </w:rPr>
              <w:t>Per Unit</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color w:val="auto"/>
                <w:w w:val="97"/>
              </w:rPr>
              <w:t>Price</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Fee Rate</w:t>
            </w:r>
          </w:p>
        </w:tc>
        <w:tc>
          <w:tcPr>
            <w:tcW w:w="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rPr>
              <w:t>Fee</w:t>
            </w:r>
          </w:p>
        </w:tc>
        <w:tc>
          <w:tcPr>
            <w:tcW w:w="200" w:type="dxa"/>
            <w:vAlign w:val="bottom"/>
            <w:tcBorders>
              <w:bottom w:val="single" w:sz="8" w:color="CCEEFF"/>
            </w:tcBorders>
            <w:gridSpan w:val="2"/>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Form Type</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File Number</w:t>
            </w:r>
          </w:p>
        </w:tc>
        <w:tc>
          <w:tcPr>
            <w:tcW w:w="2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Date</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Forward</w:t>
            </w:r>
          </w:p>
        </w:tc>
        <w:tc>
          <w:tcPr>
            <w:tcW w:w="100" w:type="dxa"/>
            <w:vAlign w:val="bottom"/>
            <w:tcBorders>
              <w:bottom w:val="single" w:sz="8" w:color="CCEEFF"/>
            </w:tcBorders>
          </w:tcPr>
          <w:p>
            <w:pPr>
              <w:spacing w:after="0"/>
              <w:rPr>
                <w:sz w:val="11"/>
                <w:szCs w:val="11"/>
                <w:color w:val="auto"/>
              </w:rPr>
            </w:pPr>
          </w:p>
        </w:tc>
      </w:tr>
      <w:tr>
        <w:trPr>
          <w:trHeight w:val="102"/>
        </w:trPr>
        <w:tc>
          <w:tcPr>
            <w:tcW w:w="7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Newly</w:t>
            </w:r>
          </w:p>
        </w:tc>
        <w:tc>
          <w:tcPr>
            <w:tcW w:w="1100" w:type="dxa"/>
            <w:vAlign w:val="bottom"/>
            <w:gridSpan w:val="2"/>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Registered Securities</w:t>
            </w: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8"/>
        </w:trPr>
        <w:tc>
          <w:tcPr>
            <w:tcW w:w="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Fees to be</w:t>
            </w:r>
          </w:p>
        </w:tc>
        <w:tc>
          <w:tcPr>
            <w:tcW w:w="9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color w:val="auto"/>
                <w:w w:val="95"/>
              </w:rPr>
              <w:t>Equity</w:t>
            </w:r>
          </w:p>
        </w:tc>
        <w:tc>
          <w:tcPr>
            <w:tcW w:w="12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color w:val="auto"/>
                <w:w w:val="97"/>
              </w:rPr>
              <w:t>Class A common stock,</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Paid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7"/>
              </w:rPr>
              <w:t>par value $0.0001 per</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share (“common stock”)</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7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Equity</w:t>
            </w:r>
          </w:p>
        </w:tc>
        <w:tc>
          <w:tcPr>
            <w:tcW w:w="124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Preferred stock</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1"/>
        </w:trPr>
        <w:tc>
          <w:tcPr>
            <w:tcW w:w="70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Equity</w:t>
            </w:r>
          </w:p>
        </w:tc>
        <w:tc>
          <w:tcPr>
            <w:tcW w:w="12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6"/>
              </w:rPr>
              <w:t>Depositary shares</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7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rPr>
              <w:t>Debt</w:t>
            </w:r>
          </w:p>
        </w:tc>
        <w:tc>
          <w:tcPr>
            <w:tcW w:w="124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Debt securities</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2"/>
        </w:trPr>
        <w:tc>
          <w:tcPr>
            <w:tcW w:w="70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Other</w:t>
            </w:r>
          </w:p>
        </w:tc>
        <w:tc>
          <w:tcPr>
            <w:tcW w:w="12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Warrants</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7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Other</w:t>
            </w:r>
          </w:p>
        </w:tc>
        <w:tc>
          <w:tcPr>
            <w:tcW w:w="1240" w:type="dxa"/>
            <w:vAlign w:val="bottom"/>
            <w:gridSpan w:val="2"/>
            <w:shd w:val="clear" w:color="auto" w:fill="CCEEFF"/>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Purchase contracts</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2"/>
        </w:trPr>
        <w:tc>
          <w:tcPr>
            <w:tcW w:w="70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Other</w:t>
            </w:r>
          </w:p>
        </w:tc>
        <w:tc>
          <w:tcPr>
            <w:tcW w:w="12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Units</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7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center"/>
              <w:ind w:right="120"/>
              <w:spacing w:after="0" w:line="108" w:lineRule="exact"/>
              <w:rPr>
                <w:sz w:val="20"/>
                <w:szCs w:val="20"/>
                <w:color w:val="auto"/>
              </w:rPr>
            </w:pPr>
            <w:r>
              <w:rPr>
                <w:rFonts w:ascii="Times New Roman" w:cs="Times New Roman" w:eastAsia="Times New Roman" w:hAnsi="Times New Roman"/>
                <w:sz w:val="11"/>
                <w:szCs w:val="11"/>
                <w:color w:val="auto"/>
                <w:w w:val="97"/>
              </w:rPr>
              <w:t>Unallocated</w:t>
            </w: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center"/>
              <w:ind w:right="220"/>
              <w:spacing w:after="0" w:line="108" w:lineRule="exact"/>
              <w:rPr>
                <w:sz w:val="20"/>
                <w:szCs w:val="20"/>
                <w:color w:val="auto"/>
              </w:rPr>
            </w:pPr>
            <w:r>
              <w:rPr>
                <w:rFonts w:ascii="Times New Roman" w:cs="Times New Roman" w:eastAsia="Times New Roman" w:hAnsi="Times New Roman"/>
                <w:sz w:val="11"/>
                <w:szCs w:val="11"/>
                <w:color w:val="auto"/>
              </w:rPr>
              <w:t>$92.70 per</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7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(Universal) Shelf</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1"/>
                <w:szCs w:val="11"/>
                <w:color w:val="auto"/>
              </w:rPr>
              <w:t>457(o)</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(1)</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3"/>
              </w:rPr>
              <w:t>(2)</w:t>
            </w:r>
          </w:p>
        </w:tc>
        <w:tc>
          <w:tcPr>
            <w:tcW w:w="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8,000,000,000.00</w:t>
            </w:r>
          </w:p>
        </w:tc>
        <w:tc>
          <w:tcPr>
            <w:tcW w:w="7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color w:val="auto"/>
              </w:rPr>
              <w:t>million</w:t>
            </w:r>
          </w:p>
        </w:tc>
        <w:tc>
          <w:tcPr>
            <w:tcW w:w="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741,600.00</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08"/>
        </w:trPr>
        <w:tc>
          <w:tcPr>
            <w:tcW w:w="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Fees</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Previously</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700" w:type="dxa"/>
            <w:vAlign w:val="bottom"/>
          </w:tcPr>
          <w:p>
            <w:pPr>
              <w:spacing w:after="0"/>
              <w:rPr>
                <w:sz w:val="20"/>
                <w:szCs w:val="20"/>
                <w:color w:val="auto"/>
              </w:rPr>
            </w:pPr>
            <w:r>
              <w:rPr>
                <w:rFonts w:ascii="Times New Roman" w:cs="Times New Roman" w:eastAsia="Times New Roman" w:hAnsi="Times New Roman"/>
                <w:sz w:val="11"/>
                <w:szCs w:val="11"/>
                <w:color w:val="auto"/>
              </w:rPr>
              <w:t>Paid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40" w:type="dxa"/>
            <w:vAlign w:val="bottom"/>
            <w:gridSpan w:val="5"/>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Carry Forward Securities</w:t>
            </w: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Carry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Forward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Securities</w:t>
            </w:r>
          </w:p>
        </w:tc>
        <w:tc>
          <w:tcPr>
            <w:tcW w:w="8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15"/>
        </w:trPr>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60" w:type="dxa"/>
            <w:vAlign w:val="bottom"/>
            <w:gridSpan w:val="4"/>
            <w:shd w:val="clear" w:color="auto" w:fill="CCEEFF"/>
          </w:tcPr>
          <w:p>
            <w:pPr>
              <w:jc w:val="center"/>
              <w:ind w:right="340"/>
              <w:spacing w:after="0" w:line="115" w:lineRule="exact"/>
              <w:rPr>
                <w:sz w:val="20"/>
                <w:szCs w:val="20"/>
                <w:color w:val="auto"/>
              </w:rPr>
            </w:pPr>
            <w:r>
              <w:rPr>
                <w:rFonts w:ascii="Times New Roman" w:cs="Times New Roman" w:eastAsia="Times New Roman" w:hAnsi="Times New Roman"/>
                <w:sz w:val="11"/>
                <w:szCs w:val="11"/>
                <w:color w:val="auto"/>
                <w:w w:val="97"/>
              </w:rPr>
              <w:t>Total Offering Amounts</w:t>
            </w: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CEEFF"/>
          </w:tcPr>
          <w:p>
            <w:pPr>
              <w:ind w:left="260"/>
              <w:spacing w:after="0" w:line="115" w:lineRule="exact"/>
              <w:rPr>
                <w:sz w:val="20"/>
                <w:szCs w:val="20"/>
                <w:color w:val="auto"/>
              </w:rPr>
            </w:pPr>
            <w:r>
              <w:rPr>
                <w:rFonts w:ascii="Times New Roman" w:cs="Times New Roman" w:eastAsia="Times New Roman" w:hAnsi="Times New Roman"/>
                <w:sz w:val="11"/>
                <w:szCs w:val="11"/>
                <w:color w:val="auto"/>
                <w:w w:val="93"/>
              </w:rPr>
              <w:t>8,000,000,000.00</w:t>
            </w: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741,600.00</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70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060" w:type="dxa"/>
            <w:vAlign w:val="bottom"/>
            <w:tcBorders>
              <w:bottom w:val="single" w:sz="8" w:color="CCEEFF"/>
            </w:tcBorders>
            <w:gridSpan w:val="4"/>
          </w:tcPr>
          <w:p>
            <w:pPr>
              <w:jc w:val="center"/>
              <w:ind w:right="360"/>
              <w:spacing w:after="0" w:line="115" w:lineRule="exact"/>
              <w:rPr>
                <w:sz w:val="20"/>
                <w:szCs w:val="20"/>
                <w:color w:val="auto"/>
              </w:rPr>
            </w:pPr>
            <w:r>
              <w:rPr>
                <w:rFonts w:ascii="Times New Roman" w:cs="Times New Roman" w:eastAsia="Times New Roman" w:hAnsi="Times New Roman"/>
                <w:sz w:val="11"/>
                <w:szCs w:val="11"/>
                <w:color w:val="auto"/>
                <w:w w:val="96"/>
              </w:rPr>
              <w:t>Total Fees Previously Paid</w:t>
            </w:r>
          </w:p>
        </w:tc>
        <w:tc>
          <w:tcPr>
            <w:tcW w:w="56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gridSpan w:val="2"/>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r>
      <w:tr>
        <w:trPr>
          <w:trHeight w:val="115"/>
        </w:trPr>
        <w:tc>
          <w:tcPr>
            <w:tcW w:w="7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left="406"/>
              <w:spacing w:after="0" w:line="115" w:lineRule="exact"/>
              <w:rPr>
                <w:sz w:val="20"/>
                <w:szCs w:val="20"/>
                <w:color w:val="auto"/>
              </w:rPr>
            </w:pPr>
            <w:r>
              <w:rPr>
                <w:rFonts w:ascii="Times New Roman" w:cs="Times New Roman" w:eastAsia="Times New Roman" w:hAnsi="Times New Roman"/>
                <w:sz w:val="11"/>
                <w:szCs w:val="11"/>
                <w:color w:val="auto"/>
                <w:w w:val="96"/>
              </w:rPr>
              <w:t>Total Fee Offsets</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left="406"/>
              <w:spacing w:after="0" w:line="115" w:lineRule="exact"/>
              <w:rPr>
                <w:sz w:val="20"/>
                <w:szCs w:val="20"/>
                <w:color w:val="auto"/>
              </w:rPr>
            </w:pPr>
            <w:r>
              <w:rPr>
                <w:rFonts w:ascii="Times New Roman" w:cs="Times New Roman" w:eastAsia="Times New Roman" w:hAnsi="Times New Roman"/>
                <w:sz w:val="11"/>
                <w:szCs w:val="11"/>
                <w:color w:val="auto"/>
                <w:w w:val="97"/>
              </w:rPr>
              <w:t>Net Fee Due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741,600.00</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98" w:lineRule="exact"/>
        <w:rPr>
          <w:sz w:val="20"/>
          <w:szCs w:val="20"/>
          <w:color w:val="auto"/>
        </w:rPr>
      </w:pPr>
    </w:p>
    <w:p>
      <w:pPr>
        <w:ind w:left="660" w:right="40" w:hanging="652"/>
        <w:spacing w:after="0" w:line="253"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shares of common stock, such indeterminate number of shares of preferred stock, such indeterminate number of depositary shares, such indeterminate principal amount of debt securities, such indeterminate number of warrants, such indeterminate number of purchase contracts and such indeterminate number of units as shall have an aggregate initial offering price not to exceed $8,000,000,000. If any debt securities are issued at an original issue discount, then the principal amount of such debt securities shall be in such greater amount as shall result in an aggregate initial offering price not to exceed $8,000,000,000, less the aggregate dollar amount of all securities previously issued hereunder. The securities registered also include such indeterminate number of shares of common stock and preferred stock, of depositary shares, warrants, purchase contracts and units, and such indeterminate principal amount of debt securities as may be issued upon conversion of or exchange for debt securities that provide for conversion or exchange or pursuant to the antidilution provisions of any such securities. Pursuant to Rule 416 under the Securities Act of 1933, as amended (the “Securities Act”), the shares being registered hereunder include such indeterminate number of shares of common stock and preferred stock, and of depository shares, as may be issuable with respect to the shares being registered hereunder as a result of any stock dividend, stock split, recapitalization or other similar transaction.</w:t>
      </w:r>
    </w:p>
    <w:p>
      <w:pPr>
        <w:spacing w:after="0" w:line="191"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the Instructions to the Calculation of Filing Fee Tables and Related Disclosure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Table 3: Combined Prospectuses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vMerge w:val="restart"/>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00" w:type="dxa"/>
            <w:vAlign w:val="bottom"/>
          </w:tcPr>
          <w:p>
            <w:pPr>
              <w:spacing w:after="0"/>
              <w:rPr>
                <w:sz w:val="18"/>
                <w:szCs w:val="18"/>
                <w:color w:val="auto"/>
              </w:rPr>
            </w:pPr>
          </w:p>
        </w:tc>
        <w:tc>
          <w:tcPr>
            <w:tcW w:w="184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940" w:type="dxa"/>
            <w:vAlign w:val="bottom"/>
            <w:gridSpan w:val="5"/>
          </w:tcPr>
          <w:p>
            <w:pPr>
              <w:jc w:val="center"/>
              <w:ind w:right="4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 Price of</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184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100" w:type="dxa"/>
            <w:vAlign w:val="bottom"/>
          </w:tcPr>
          <w:p>
            <w:pPr>
              <w:spacing w:after="0"/>
              <w:rPr>
                <w:sz w:val="18"/>
                <w:szCs w:val="18"/>
                <w:color w:val="auto"/>
              </w:rPr>
            </w:pPr>
          </w:p>
        </w:tc>
        <w:tc>
          <w:tcPr>
            <w:tcW w:w="184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Initial Effective</w:t>
            </w:r>
          </w:p>
        </w:tc>
        <w:tc>
          <w:tcPr>
            <w:tcW w:w="0" w:type="dxa"/>
            <w:vAlign w:val="bottom"/>
          </w:tcPr>
          <w:p>
            <w:pPr>
              <w:spacing w:after="0"/>
              <w:rPr>
                <w:sz w:val="1"/>
                <w:szCs w:val="1"/>
                <w:color w:val="auto"/>
              </w:rPr>
            </w:pPr>
          </w:p>
        </w:tc>
      </w:tr>
      <w:tr>
        <w:trPr>
          <w:trHeight w:val="270"/>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10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gridSpan w:val="2"/>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9"/>
                <w:szCs w:val="29"/>
                <w:b w:val="1"/>
                <w:bCs w:val="1"/>
                <w:color w:val="auto"/>
                <w:w w:val="95"/>
                <w:vertAlign w:val="superscript"/>
              </w:rPr>
              <w:t>(3)</w:t>
            </w:r>
          </w:p>
        </w:tc>
        <w:tc>
          <w:tcPr>
            <w:tcW w:w="3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3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gridSpan w:val="2"/>
          </w:tcPr>
          <w:p>
            <w:pPr>
              <w:spacing w:after="0"/>
              <w:rPr>
                <w:sz w:val="23"/>
                <w:szCs w:val="23"/>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Form Type</w:t>
            </w: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37"/>
        </w:trPr>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44,350,000</w:t>
            </w:r>
          </w:p>
        </w:tc>
        <w:tc>
          <w:tcPr>
            <w:tcW w:w="3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91"/>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510,025,000.00</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333-258348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08/24/2021</w:t>
            </w:r>
          </w:p>
        </w:tc>
        <w:tc>
          <w:tcPr>
            <w:tcW w:w="0" w:type="dxa"/>
            <w:vAlign w:val="bottom"/>
          </w:tcPr>
          <w:p>
            <w:pPr>
              <w:spacing w:after="0"/>
              <w:rPr>
                <w:sz w:val="1"/>
                <w:szCs w:val="1"/>
                <w:color w:val="auto"/>
              </w:rPr>
            </w:pPr>
          </w:p>
        </w:tc>
      </w:tr>
      <w:tr>
        <w:trPr>
          <w:trHeight w:val="257"/>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tc>
        <w:tc>
          <w:tcPr>
            <w:tcW w:w="1780" w:type="dxa"/>
            <w:vAlign w:val="bottom"/>
            <w:gridSpan w:val="3"/>
          </w:tcPr>
          <w:p>
            <w:pPr>
              <w:jc w:val="right"/>
              <w:ind w:right="85"/>
              <w:spacing w:after="0" w:line="256" w:lineRule="exact"/>
              <w:rPr>
                <w:sz w:val="20"/>
                <w:szCs w:val="20"/>
                <w:color w:val="auto"/>
              </w:rPr>
            </w:pPr>
            <w:r>
              <w:rPr>
                <w:rFonts w:ascii="Times New Roman" w:cs="Times New Roman" w:eastAsia="Times New Roman" w:hAnsi="Times New Roman"/>
                <w:sz w:val="18"/>
                <w:szCs w:val="18"/>
                <w:color w:val="auto"/>
              </w:rPr>
              <w:t>1,189,450,445</w:t>
            </w:r>
            <w:r>
              <w:rPr>
                <w:rFonts w:ascii="Times New Roman" w:cs="Times New Roman" w:eastAsia="Times New Roman" w:hAnsi="Times New Roman"/>
                <w:sz w:val="29"/>
                <w:szCs w:val="29"/>
                <w:color w:val="auto"/>
                <w:vertAlign w:val="superscript"/>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105"/>
              <w:spacing w:after="0" w:line="256" w:lineRule="exact"/>
              <w:rPr>
                <w:sz w:val="20"/>
                <w:szCs w:val="20"/>
                <w:color w:val="auto"/>
              </w:rPr>
            </w:pPr>
            <w:r>
              <w:rPr>
                <w:rFonts w:ascii="Times New Roman" w:cs="Times New Roman" w:eastAsia="Times New Roman" w:hAnsi="Times New Roman"/>
                <w:sz w:val="18"/>
                <w:szCs w:val="18"/>
                <w:color w:val="auto"/>
                <w:w w:val="95"/>
              </w:rPr>
              <w:t>28,011,557,979.75</w:t>
            </w:r>
            <w:r>
              <w:rPr>
                <w:rFonts w:ascii="Times New Roman" w:cs="Times New Roman" w:eastAsia="Times New Roman" w:hAnsi="Times New Roman"/>
                <w:sz w:val="29"/>
                <w:szCs w:val="29"/>
                <w:color w:val="auto"/>
                <w:w w:val="95"/>
                <w:vertAlign w:val="superscript"/>
              </w:rPr>
              <w:t>(7)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333-258348</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08/24/2021</w:t>
            </w: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Other</w:t>
            </w:r>
          </w:p>
        </w:tc>
        <w:tc>
          <w:tcPr>
            <w:tcW w:w="16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Warrants to</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 shares of</w:t>
            </w:r>
          </w:p>
        </w:tc>
        <w:tc>
          <w:tcPr>
            <w:tcW w:w="1780" w:type="dxa"/>
            <w:vAlign w:val="bottom"/>
            <w:gridSpan w:val="3"/>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44,350,000</w:t>
            </w:r>
            <w:r>
              <w:rPr>
                <w:rFonts w:ascii="Times New Roman" w:cs="Times New Roman" w:eastAsia="Times New Roman" w:hAnsi="Times New Roman"/>
                <w:sz w:val="29"/>
                <w:szCs w:val="29"/>
                <w:color w:val="auto"/>
                <w:vertAlign w:val="superscript"/>
              </w:rPr>
              <w:t>(8)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tc>
        <w:tc>
          <w:tcPr>
            <w:tcW w:w="17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333-258348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08/24/2021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320" w:hanging="652"/>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the amount of securities previously registered includes such indeterminate number of additional securities that may become issuable as a result of any stock dividend, stock split, recapitalization or other similar transaction.</w:t>
      </w:r>
    </w:p>
    <w:p>
      <w:pPr>
        <w:spacing w:after="0" w:line="161"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44,350,000 shares of common stock, consisting of (a) 42,850,000 shares of common stock issuable upon exercise of the Private Placement Warrants (as defined herein) by the holders thereof and (b) 1,500,000 shares of common stock issuable upon exercise of the Working Capital Warrants (as defined herein) by the holders thereof.</w:t>
      </w:r>
    </w:p>
    <w:p>
      <w:pPr>
        <w:spacing w:after="0" w:line="175"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457(g) under the Securities Act based on the exercise price of $11.50 of the Private Placement Warrants and Working Capital Warrants.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1,189,450,445 shares of common stock registered for resale by the Selling Securityholders (as defined herein), consisting of</w:t>
      </w:r>
    </w:p>
    <w:p>
      <w:pPr>
        <w:spacing w:after="0" w:line="27"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1,115,163,848 issued and outstanding shares of common stock, (ii) 29,936,597 shares of common stock subject to vesting and/or exercise of the assumed Lucid Equity Awards (as defined herein) and (iii) 44,350,000 shares of common stock issuable upon exercise of the Private Placement Warrants and the Working Capital Warrants.</w:t>
      </w:r>
    </w:p>
    <w:p>
      <w:pPr>
        <w:spacing w:after="0" w:line="185"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is $23.55 per share, which is the average of the high and low prices of shares of common stock on July 23, 2021 on the New York Stock Exchange.</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resale of 42,850,000 Private Placement Warrants and 1,500,000 Working Capital Warrants held by certain of the Selling Securityholders.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3"/>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1)"/>
      <w:numFmt w:val="lowerRoman"/>
      <w:start w:val="2"/>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1)"/>
      <w:numFmt w:val="lowerRoman"/>
      <w:start w:val="3"/>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1)"/>
      <w:numFmt w:val="decimal"/>
      <w:start w:val="1"/>
    </w:lvl>
  </w:abstractNum>
  <w:abstractNum w:abstractNumId="34">
    <w:nsid w:val="A0382C5"/>
    <w:multiLevelType w:val="hybridMultilevel"/>
    <w:lvl w:ilvl="0">
      <w:lvlJc w:val="left"/>
      <w:lvlText w:val="%1"/>
      <w:numFmt w:val="decimal"/>
      <w:start w:val="1"/>
    </w:lvl>
    <w:lvl w:ilvl="1">
      <w:lvlJc w:val="left"/>
      <w:lvlText w:val="(%2)"/>
      <w:numFmt w:val="lowerRoman"/>
      <w:start w:val="2"/>
    </w:lvl>
  </w:abstractNum>
  <w:abstractNum w:abstractNumId="35">
    <w:nsid w:val="8F2B15E"/>
    <w:multiLevelType w:val="hybridMultilevel"/>
    <w:lvl w:ilvl="0">
      <w:lvlJc w:val="left"/>
      <w:lvlText w:val="(%1)"/>
      <w:numFmt w:val="decimal"/>
      <w:start w:val="4"/>
    </w:lvl>
    <w:lvl w:ilvl="1">
      <w:lvlJc w:val="left"/>
      <w:lvlText w:val="(%2)"/>
      <w:numFmt w:val="lowerRoman"/>
      <w:start w:val="2"/>
    </w:lvl>
  </w:abstractNum>
  <w:abstractNum w:abstractNumId="36">
    <w:nsid w:val="1A32234B"/>
    <w:multiLevelType w:val="hybridMultilevel"/>
    <w:lvl w:ilvl="0">
      <w:lvlJc w:val="left"/>
      <w:lvlText w:val="(%1)"/>
      <w:numFmt w:val="decimal"/>
      <w:start w:val="12"/>
    </w:lvl>
  </w:abstractNum>
  <w:abstractNum w:abstractNumId="37">
    <w:nsid w:val="3B0FD379"/>
    <w:multiLevelType w:val="hybridMultilevel"/>
    <w:lvl w:ilvl="0">
      <w:lvlJc w:val="left"/>
      <w:lvlText w:val="(%1)"/>
      <w:numFmt w:val="decimal"/>
      <w:start w:val="15"/>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1)"/>
      <w:numFmt w:val="decimal"/>
      <w:start w:val="1"/>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8">
    <w:nsid w:val="6EB5BD4"/>
    <w:multiLevelType w:val="hybridMultilevel"/>
    <w:lvl w:ilvl="0">
      <w:lvlJc w:val="left"/>
      <w:lvlText w:val="%1"/>
      <w:numFmt w:val="decimal"/>
      <w:start w:val="1"/>
    </w:lvl>
    <w:lvl w:ilvl="1">
      <w:lvlJc w:val="left"/>
      <w:lvlText w:val="(%2)"/>
      <w:numFmt w:val="lowerRoman"/>
      <w:start w:val="2"/>
    </w:lvl>
  </w:abstractNum>
  <w:abstractNum w:abstractNumId="49">
    <w:nsid w:val="6F6DD9AC"/>
    <w:multiLevelType w:val="hybridMultilevel"/>
    <w:lvl w:ilvl="0">
      <w:lvlJc w:val="left"/>
      <w:lvlText w:val="(%1)"/>
      <w:numFmt w:val="decimal"/>
      <w:start w:val="2"/>
    </w:lvl>
    <w:lvl w:ilvl="1">
      <w:lvlJc w:val="left"/>
      <w:lvlText w:val="%2"/>
      <w:numFmt w:val="lowerRoman"/>
      <w:start w:val="1"/>
    </w:lvl>
  </w:abstractNum>
  <w:abstractNum w:abstractNumId="50">
    <w:nsid w:val="94211F2"/>
    <w:multiLevelType w:val="hybridMultilevel"/>
    <w:lvl w:ilvl="0">
      <w:lvlJc w:val="left"/>
      <w:lvlText w:val="%1"/>
      <w:numFmt w:val="decimal"/>
      <w:start w:val="1"/>
    </w:lvl>
    <w:lvl w:ilvl="1">
      <w:lvlJc w:val="left"/>
      <w:lvlText w:val="(%2)"/>
      <w:numFmt w:val="upperLetter"/>
      <w:start w:val="1"/>
    </w:lvl>
  </w:abstractNum>
  <w:abstractNum w:abstractNumId="51">
    <w:nsid w:val="885E1B"/>
    <w:multiLevelType w:val="hybridMultilevel"/>
    <w:lvl w:ilvl="0">
      <w:lvlJc w:val="left"/>
      <w:lvlText w:val="(%1)"/>
      <w:numFmt w:val="decimal"/>
      <w:start w:val="5"/>
    </w:lvl>
    <w:lvl w:ilvl="1">
      <w:lvlJc w:val="left"/>
      <w:lvlText w:val="%2"/>
      <w:numFmt w:val="upperLetter"/>
      <w:start w:val="1"/>
    </w:lvl>
  </w:abstractNum>
  <w:abstractNum w:abstractNumId="52">
    <w:nsid w:val="7627211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3">
    <w:nsid w:val="4C04A8AF"/>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54">
    <w:nsid w:val="1716703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5">
    <w:nsid w:val="14E17E33"/>
    <w:multiLevelType w:val="hybridMultilevel"/>
    <w:lvl w:ilvl="0">
      <w:lvlJc w:val="left"/>
      <w:lvlText w:val="(%1)"/>
      <w:numFmt w:val="lowerRoman"/>
      <w:start w:val="2"/>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lowerLetter"/>
      <w:start w:val="3"/>
    </w:lvl>
  </w:abstractNum>
  <w:abstractNum w:abstractNumId="58">
    <w:nsid w:val="68EBC550"/>
    <w:multiLevelType w:val="hybridMultilevel"/>
    <w:lvl w:ilvl="0">
      <w:lvlJc w:val="left"/>
      <w:lvlText w:val="(%1)"/>
      <w:numFmt w:val="lowerLetter"/>
      <w:start w:val="1"/>
    </w:lvl>
  </w:abstractNum>
  <w:abstractNum w:abstractNumId="59">
    <w:nsid w:val="2DF6D648"/>
    <w:multiLevelType w:val="hybridMultilevel"/>
    <w:lvl w:ilvl="0">
      <w:lvlJc w:val="left"/>
      <w:lvlText w:val="(%1)"/>
      <w:numFmt w:val="lowerLetter"/>
      <w:start w:val="4"/>
    </w:lvl>
  </w:abstractNum>
  <w:abstractNum w:abstractNumId="60">
    <w:nsid w:val="46B7D447"/>
    <w:multiLevelType w:val="hybridMultilevel"/>
    <w:lvl w:ilvl="0">
      <w:lvlJc w:val="left"/>
      <w:lvlText w:val="(%1)"/>
      <w:numFmt w:val="lowerLetter"/>
      <w:start w:val="11"/>
    </w:lvl>
  </w:abstractNum>
  <w:abstractNum w:abstractNumId="61">
    <w:nsid w:val="4A2AC315"/>
    <w:multiLevelType w:val="hybridMultilevel"/>
    <w:lvl w:ilvl="0">
      <w:lvlJc w:val="left"/>
      <w:lvlText w:val="(%1)"/>
      <w:numFmt w:val="lowerLetter"/>
      <w:start w:val="21"/>
    </w:lvl>
  </w:abstractNum>
  <w:abstractNum w:abstractNumId="62">
    <w:nsid w:val="39EE015C"/>
    <w:multiLevelType w:val="hybridMultilevel"/>
    <w:lvl w:ilvl="0">
      <w:lvlJc w:val="left"/>
      <w:lvlText w:val="(%1)"/>
      <w:numFmt w:val="lowerLetter"/>
      <w:start w:val="1"/>
    </w:lvl>
  </w:abstractNum>
  <w:abstractNum w:abstractNumId="63">
    <w:nsid w:val="57FC4FBB"/>
    <w:multiLevelType w:val="hybridMultilevel"/>
    <w:lvl w:ilvl="0">
      <w:lvlJc w:val="left"/>
      <w:lvlText w:val="(%1)"/>
      <w:numFmt w:val="lowerLetter"/>
      <w:start w:val="3"/>
    </w:lvl>
  </w:abstractNum>
  <w:abstractNum w:abstractNumId="64">
    <w:nsid w:val="CC1016F"/>
    <w:multiLevelType w:val="hybridMultilevel"/>
    <w:lvl w:ilvl="0">
      <w:lvlJc w:val="left"/>
      <w:lvlText w:val="(%1)"/>
      <w:numFmt w:val="decimal"/>
      <w:start w:val="2"/>
    </w:lvl>
  </w:abstractNum>
  <w:abstractNum w:abstractNumId="65">
    <w:nsid w:val="43F18422"/>
    <w:multiLevelType w:val="hybridMultilevel"/>
    <w:lvl w:ilvl="0">
      <w:lvlJc w:val="left"/>
      <w:lvlText w:val="(%1)"/>
      <w:numFmt w:val="lowerLetter"/>
      <w:start w:val="2"/>
    </w:lvl>
  </w:abstractNum>
  <w:abstractNum w:abstractNumId="66">
    <w:nsid w:val="60EF0119"/>
    <w:multiLevelType w:val="hybridMultilevel"/>
    <w:lvl w:ilvl="0">
      <w:lvlJc w:val="left"/>
      <w:lvlText w:val="(%1)"/>
      <w:numFmt w:val="lowerLetter"/>
      <w:start w:val="1"/>
    </w:lvl>
  </w:abstractNum>
  <w:abstractNum w:abstractNumId="67">
    <w:nsid w:val="26F324BA"/>
    <w:multiLevelType w:val="hybridMultilevel"/>
    <w:lvl w:ilvl="0">
      <w:lvlJc w:val="left"/>
      <w:lvlText w:val="(%1)"/>
      <w:numFmt w:val="lowerLetter"/>
      <w:start w:val="1"/>
    </w:lvl>
  </w:abstractNum>
  <w:abstractNum w:abstractNumId="68">
    <w:nsid w:val="7F01579B"/>
    <w:multiLevelType w:val="hybridMultilevel"/>
    <w:lvl w:ilvl="0">
      <w:lvlJc w:val="left"/>
      <w:lvlText w:val="(%1)"/>
      <w:numFmt w:val="lowerLetter"/>
      <w:start w:val="3"/>
    </w:lvl>
  </w:abstractNum>
  <w:abstractNum w:abstractNumId="69">
    <w:nsid w:val="49DA307D"/>
    <w:multiLevelType w:val="hybridMultilevel"/>
    <w:lvl w:ilvl="0">
      <w:lvlJc w:val="left"/>
      <w:lvlText w:val="(%1)"/>
      <w:numFmt w:val="lowerLetter"/>
      <w:start w:val="4"/>
    </w:lvl>
  </w:abstractNum>
  <w:abstractNum w:abstractNumId="70">
    <w:nsid w:val="7055A5F5"/>
    <w:multiLevelType w:val="hybridMultilevel"/>
    <w:lvl w:ilvl="0">
      <w:lvlJc w:val="left"/>
      <w:lvlText w:val="(%1)"/>
      <w:numFmt w:val="lowerLetter"/>
      <w:start w:val="5"/>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Letter"/>
      <w:start w:val="8"/>
    </w:lvl>
  </w:abstractNum>
  <w:abstractNum w:abstractNumId="73">
    <w:nsid w:val="488AC1A"/>
    <w:multiLevelType w:val="hybridMultilevel"/>
    <w:lvl w:ilvl="0">
      <w:lvlJc w:val="left"/>
      <w:lvlText w:val="(%1)"/>
      <w:numFmt w:val="lowerRoman"/>
      <w:start w:val="1"/>
    </w:lvl>
  </w:abstractNum>
  <w:abstractNum w:abstractNumId="74">
    <w:nsid w:val="5FB8011C"/>
    <w:multiLevelType w:val="hybridMultilevel"/>
    <w:lvl w:ilvl="0">
      <w:lvlJc w:val="left"/>
      <w:lvlText w:val="(%1)"/>
      <w:numFmt w:val="lowerRoman"/>
      <w:start w:val="3"/>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lowerLetter"/>
      <w:start w:val="1"/>
    </w:lvl>
    <w:lvl w:ilvl="1">
      <w:lvlJc w:val="left"/>
      <w:lvlText w:val="(%2)"/>
      <w:numFmt w:val="lowerRoman"/>
      <w:start w:val="1"/>
    </w:lvl>
  </w:abstractNum>
  <w:abstractNum w:abstractNumId="77">
    <w:nsid w:val="6FC75AF8"/>
    <w:multiLevelType w:val="hybridMultilevel"/>
    <w:lvl w:ilvl="0">
      <w:lvlJc w:val="left"/>
      <w:lvlText w:val="(%1)"/>
      <w:numFmt w:val="lowerRoman"/>
      <w:start w:val="2"/>
    </w:lvl>
  </w:abstractNum>
  <w:abstractNum w:abstractNumId="78">
    <w:nsid w:val="6A5F7029"/>
    <w:multiLevelType w:val="hybridMultilevel"/>
    <w:lvl w:ilvl="0">
      <w:lvlJc w:val="left"/>
      <w:lvlText w:val="(%1)"/>
      <w:numFmt w:val="lowerLetter"/>
      <w:start w:val="7"/>
    </w:lvl>
  </w:abstractNum>
  <w:abstractNum w:abstractNumId="79">
    <w:nsid w:val="7D5E18F8"/>
    <w:multiLevelType w:val="hybridMultilevel"/>
    <w:lvl w:ilvl="0">
      <w:lvlJc w:val="left"/>
      <w:lvlText w:val="(%1)"/>
      <w:numFmt w:val="lowerLetter"/>
      <w:start w:val="1"/>
    </w:lvl>
    <w:lvl w:ilvl="1">
      <w:lvlJc w:val="left"/>
      <w:lvlText w:val="(%2)"/>
      <w:numFmt w:val="lowerRoman"/>
      <w:start w:val="1"/>
    </w:lvl>
  </w:abstractNum>
  <w:abstractNum w:abstractNumId="80">
    <w:nsid w:val="5F3534A4"/>
    <w:multiLevelType w:val="hybridMultilevel"/>
    <w:lvl w:ilvl="0">
      <w:lvlJc w:val="left"/>
      <w:lvlText w:val="(%1)"/>
      <w:numFmt w:val="lowerLetter"/>
      <w:start w:val="1"/>
    </w:lvl>
  </w:abstractNum>
  <w:abstractNum w:abstractNumId="81">
    <w:nsid w:val="73A1821B"/>
    <w:multiLevelType w:val="hybridMultilevel"/>
    <w:lvl w:ilvl="0">
      <w:lvlJc w:val="left"/>
      <w:lvlText w:val="(%1)"/>
      <w:numFmt w:val="lowerLetter"/>
      <w:start w:val="3"/>
    </w:lvl>
  </w:abstractNum>
  <w:abstractNum w:abstractNumId="82">
    <w:nsid w:val="7DE67713"/>
    <w:multiLevelType w:val="hybridMultilevel"/>
    <w:lvl w:ilvl="0">
      <w:lvlJc w:val="left"/>
      <w:lvlText w:val="(%1)"/>
      <w:numFmt w:val="lowerLetter"/>
      <w:start w:val="1"/>
    </w:lvl>
  </w:abstractNum>
  <w:abstractNum w:abstractNumId="83">
    <w:nsid w:val="555C55B5"/>
    <w:multiLevelType w:val="hybridMultilevel"/>
    <w:lvl w:ilvl="0">
      <w:lvlJc w:val="left"/>
      <w:lvlText w:val="(%1)"/>
      <w:numFmt w:val="lowerLetter"/>
      <w:start w:val="2"/>
    </w:lvl>
  </w:abstractNum>
  <w:abstractNum w:abstractNumId="84">
    <w:nsid w:val="3FA62ACA"/>
    <w:multiLevelType w:val="hybridMultilevel"/>
    <w:lvl w:ilvl="0">
      <w:lvlJc w:val="left"/>
      <w:lvlText w:val="(%1)"/>
      <w:numFmt w:val="lowerLetter"/>
      <w:start w:val="1"/>
    </w:lvl>
  </w:abstractNum>
  <w:abstractNum w:abstractNumId="85">
    <w:nsid w:val="14FCE74E"/>
    <w:multiLevelType w:val="hybridMultilevel"/>
    <w:lvl w:ilvl="0">
      <w:lvlJc w:val="left"/>
      <w:lvlText w:val="(%1)"/>
      <w:numFmt w:val="lowerLetter"/>
      <w:start w:val="1"/>
    </w:lvl>
  </w:abstractNum>
  <w:abstractNum w:abstractNumId="86">
    <w:nsid w:val="6A3DD3E8"/>
    <w:multiLevelType w:val="hybridMultilevel"/>
    <w:lvl w:ilvl="0">
      <w:lvlJc w:val="left"/>
      <w:lvlText w:val="(%1)"/>
      <w:numFmt w:val="lowerLetter"/>
      <w:start w:val="2"/>
    </w:lvl>
    <w:lvl w:ilvl="1">
      <w:lvlJc w:val="left"/>
      <w:lvlText w:val="(%2)"/>
      <w:numFmt w:val="lowerRoman"/>
      <w:start w:val="1"/>
    </w:lvl>
  </w:abstractNum>
  <w:abstractNum w:abstractNumId="87">
    <w:nsid w:val="71C91298"/>
    <w:multiLevelType w:val="hybridMultilevel"/>
    <w:lvl w:ilvl="0">
      <w:lvlJc w:val="left"/>
      <w:lvlText w:val="(%1)"/>
      <w:numFmt w:val="lowerLetter"/>
      <w:start w:val="3"/>
    </w:lvl>
    <w:lvl w:ilvl="1">
      <w:lvlJc w:val="left"/>
      <w:lvlText w:val="(%2)"/>
      <w:numFmt w:val="lowerRoman"/>
      <w:start w:val="1"/>
    </w:lvl>
  </w:abstractNum>
  <w:abstractNum w:abstractNumId="88">
    <w:nsid w:val="9DAF632"/>
    <w:multiLevelType w:val="hybridMultilevel"/>
    <w:lvl w:ilvl="0">
      <w:lvlJc w:val="left"/>
      <w:lvlText w:val="(%1)"/>
      <w:numFmt w:val="lowerLetter"/>
      <w:start w:val="2"/>
    </w:lvl>
  </w:abstractNum>
  <w:abstractNum w:abstractNumId="89">
    <w:nsid w:val="53299938"/>
    <w:multiLevelType w:val="hybridMultilevel"/>
    <w:lvl w:ilvl="0">
      <w:lvlJc w:val="left"/>
      <w:lvlText w:val="(%1)"/>
      <w:numFmt w:val="lowerLetter"/>
      <w:start w:val="11"/>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2">
    <w:nsid w:val="1D545C4D"/>
    <w:multiLevelType w:val="hybridMultilevel"/>
    <w:lvl w:ilvl="0">
      <w:lvlJc w:val="left"/>
      <w:lvlText w:val="(%1)"/>
      <w:numFmt w:val="lowerRoman"/>
      <w:start w:val="3"/>
    </w:lvl>
  </w:abstractNum>
  <w:abstractNum w:abstractNumId="93">
    <w:nsid w:val="59ADEA3D"/>
    <w:multiLevelType w:val="hybridMultilevel"/>
    <w:lvl w:ilvl="0">
      <w:lvlJc w:val="left"/>
      <w:lvlText w:val="(%1)"/>
      <w:numFmt w:val="lowerLetter"/>
      <w:start w:val="2"/>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Letter"/>
      <w:start w:val="4"/>
    </w:lvl>
  </w:abstractNum>
  <w:abstractNum w:abstractNumId="96">
    <w:nsid w:val="1D9F6E5F"/>
    <w:multiLevelType w:val="hybridMultilevel"/>
    <w:lvl w:ilvl="0">
      <w:lvlJc w:val="left"/>
      <w:lvlText w:val="(%1)"/>
      <w:numFmt w:val="lowerLetter"/>
      <w:start w:val="5"/>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lowerLetter"/>
      <w:start w:val="6"/>
    </w:lvl>
  </w:abstractNum>
  <w:abstractNum w:abstractNumId="99">
    <w:nsid w:val="1CA0C5FA"/>
    <w:multiLevelType w:val="hybridMultilevel"/>
    <w:lvl w:ilvl="0">
      <w:lvlJc w:val="left"/>
      <w:lvlText w:val="(%1)"/>
      <w:numFmt w:val="lowerLetter"/>
      <w:start w:val="1"/>
    </w:lvl>
  </w:abstractNum>
  <w:abstractNum w:abstractNumId="100">
    <w:nsid w:val="53584BCB"/>
    <w:multiLevelType w:val="hybridMultilevel"/>
    <w:lvl w:ilvl="0">
      <w:lvlJc w:val="left"/>
      <w:lvlText w:val="(%1)"/>
      <w:numFmt w:val="lowerLetter"/>
      <w:start w:val="2"/>
    </w:lvl>
  </w:abstractNum>
  <w:abstractNum w:abstractNumId="101">
    <w:nsid w:val="415E286C"/>
    <w:multiLevelType w:val="hybridMultilevel"/>
    <w:lvl w:ilvl="0">
      <w:lvlJc w:val="left"/>
      <w:lvlText w:val="(%1)"/>
      <w:numFmt w:val="lowerLetter"/>
      <w:start w:val="1"/>
    </w:lvl>
  </w:abstractNum>
  <w:abstractNum w:abstractNumId="102">
    <w:nsid w:val="7C58FD05"/>
    <w:multiLevelType w:val="hybridMultilevel"/>
    <w:lvl w:ilvl="0">
      <w:lvlJc w:val="left"/>
      <w:lvlText w:val="(%1)"/>
      <w:numFmt w:val="lowerLetter"/>
      <w:start w:val="7"/>
    </w:lvl>
  </w:abstractNum>
  <w:abstractNum w:abstractNumId="103">
    <w:nsid w:val="23D86AAC"/>
    <w:multiLevelType w:val="hybridMultilevel"/>
    <w:lvl w:ilvl="0">
      <w:lvlJc w:val="left"/>
      <w:lvlText w:val="(%1)"/>
      <w:numFmt w:val="lowerLetter"/>
      <w:start w:val="1"/>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lowerLetter"/>
      <w:start w:val="2"/>
    </w:lvl>
  </w:abstractNum>
  <w:abstractNum w:abstractNumId="106">
    <w:nsid w:val="E7FFA2B"/>
    <w:multiLevelType w:val="hybridMultilevel"/>
    <w:lvl w:ilvl="0">
      <w:lvlJc w:val="left"/>
      <w:lvlText w:val="(%1)"/>
      <w:numFmt w:val="lowerLetter"/>
      <w:start w:val="3"/>
    </w:lvl>
  </w:abstractNum>
  <w:abstractNum w:abstractNumId="107">
    <w:nsid w:val="3C5991AA"/>
    <w:multiLevelType w:val="hybridMultilevel"/>
    <w:lvl w:ilvl="0">
      <w:lvlJc w:val="left"/>
      <w:lvlText w:val="(%1)"/>
      <w:numFmt w:val="upperLetter"/>
      <w:start w:val="9"/>
    </w:lvl>
  </w:abstractNum>
  <w:abstractNum w:abstractNumId="108">
    <w:nsid w:val="4BD8591A"/>
    <w:multiLevelType w:val="hybridMultilevel"/>
    <w:lvl w:ilvl="0">
      <w:lvlJc w:val="left"/>
      <w:lvlText w:val="(%1)"/>
      <w:numFmt w:val="upperLetter"/>
      <w:start w:val="61"/>
    </w:lvl>
  </w:abstractNum>
  <w:abstractNum w:abstractNumId="109">
    <w:nsid w:val="78DF6A55"/>
    <w:multiLevelType w:val="hybridMultilevel"/>
    <w:lvl w:ilvl="0">
      <w:lvlJc w:val="left"/>
      <w:lvlText w:val="%1."/>
      <w:numFmt w:val="decimal"/>
      <w:start w:val="1"/>
    </w:lvl>
  </w:abstractNum>
  <w:abstractNum w:abstractNumId="110">
    <w:nsid w:val="39B7AAA2"/>
    <w:multiLevelType w:val="hybridMultilevel"/>
    <w:lvl w:ilvl="0">
      <w:lvlJc w:val="left"/>
      <w:lvlText w:val="%1."/>
      <w:numFmt w:val="decimal"/>
      <w:start w:val="2"/>
    </w:lvl>
  </w:abstractNum>
  <w:abstractNum w:abstractNumId="111">
    <w:nsid w:val="2B0D8DBE"/>
    <w:multiLevelType w:val="hybridMultilevel"/>
    <w:lvl w:ilvl="0">
      <w:lvlJc w:val="left"/>
      <w:lvlText w:val="%1."/>
      <w:numFmt w:val="decimal"/>
      <w:start w:val="5"/>
    </w:lvl>
  </w:abstractNum>
  <w:abstractNum w:abstractNumId="112">
    <w:nsid w:val="6C80EC70"/>
    <w:multiLevelType w:val="hybridMultilevel"/>
    <w:lvl w:ilvl="0">
      <w:lvlJc w:val="left"/>
      <w:lvlText w:val="%1."/>
      <w:numFmt w:val="decimal"/>
      <w:start w:val="10"/>
    </w:lvl>
  </w:abstractNum>
  <w:abstractNum w:abstractNumId="113">
    <w:nsid w:val="379E21B5"/>
    <w:multiLevelType w:val="hybridMultilevel"/>
    <w:lvl w:ilvl="0">
      <w:lvlJc w:val="left"/>
      <w:lvlText w:val="(%1)"/>
      <w:numFmt w:val="lowerLetter"/>
      <w:start w:val="2"/>
    </w:lvl>
  </w:abstractNum>
  <w:abstractNum w:abstractNumId="114">
    <w:nsid w:val="69E373"/>
    <w:multiLevelType w:val="hybridMultilevel"/>
    <w:lvl w:ilvl="0">
      <w:lvlJc w:val="left"/>
      <w:lvlText w:val="%1)"/>
      <w:numFmt w:val="lowerLetter"/>
      <w:start w:val="1"/>
    </w:lvl>
  </w:abstractNum>
  <w:abstractNum w:abstractNumId="115">
    <w:nsid w:val="2C27173B"/>
    <w:multiLevelType w:val="hybridMultilevel"/>
    <w:lvl w:ilvl="0">
      <w:lvlJc w:val="left"/>
      <w:lvlText w:val="%1."/>
      <w:numFmt w:val="decimal"/>
      <w:start w:val="1"/>
    </w:lvl>
  </w:abstractNum>
  <w:abstractNum w:abstractNumId="116">
    <w:nsid w:val="4C9B0904"/>
    <w:multiLevelType w:val="hybridMultilevel"/>
    <w:lvl w:ilvl="0">
      <w:lvlJc w:val="left"/>
      <w:lvlText w:val="(%1)"/>
      <w:numFmt w:val="decimal"/>
      <w:start w:val="1"/>
    </w:lvl>
    <w:lvl w:ilvl="1">
      <w:lvlJc w:val="left"/>
      <w:lvlText w:val="-"/>
      <w:numFmt w:val="bullet"/>
      <w:start w:val="1"/>
    </w:lvl>
  </w:abstractNum>
  <w:abstractNum w:abstractNumId="117">
    <w:nsid w:val="6AA7B75C"/>
    <w:multiLevelType w:val="hybridMultilevel"/>
    <w:lvl w:ilvl="0">
      <w:lvlJc w:val="left"/>
      <w:lvlText w:val="(%1)"/>
      <w:numFmt w:val="decimal"/>
      <w:start w:val="8"/>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jpe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jpeg"/><Relationship Id="rId187" Type="http://schemas.openxmlformats.org/officeDocument/2006/relationships/image" Target="media/image165.png"/><Relationship Id="rId188" Type="http://schemas.openxmlformats.org/officeDocument/2006/relationships/image" Target="media/image166.jpeg"/><Relationship Id="rId189" Type="http://schemas.openxmlformats.org/officeDocument/2006/relationships/image" Target="media/image167.jpeg"/><Relationship Id="rId190" Type="http://schemas.openxmlformats.org/officeDocument/2006/relationships/image" Target="media/image168.jpeg"/><Relationship Id="rId191" Type="http://schemas.openxmlformats.org/officeDocument/2006/relationships/image" Target="media/image169.jpe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13" Type="http://schemas.openxmlformats.org/officeDocument/2006/relationships/hyperlink" Target="https://www.sec.gov/ix?doc=/Archives/edgar/data/1811210/000162828022020609/lcid-20220630.htm" TargetMode="External"/><Relationship Id="rId30" Type="http://schemas.openxmlformats.org/officeDocument/2006/relationships/hyperlink" Target="http://www.sec.gov/ix?doc=/Archives/edgar/data/1811210/000162828022004253/lcid-20211231.htm" TargetMode="External"/><Relationship Id="rId31" Type="http://schemas.openxmlformats.org/officeDocument/2006/relationships/hyperlink" Target="http://www.sec.gov/ix?doc=/Archives/edgar/data/1811210/000162828022012681/lcid-20220331.htm" TargetMode="External"/><Relationship Id="rId32" Type="http://schemas.openxmlformats.org/officeDocument/2006/relationships/hyperlink" Target="http://www.sec.gov/Archives/edgar/data/1811210/000110465922051645/tm224050-1_def14a.htm" TargetMode="External"/><Relationship Id="rId33" Type="http://schemas.openxmlformats.org/officeDocument/2006/relationships/hyperlink" Target="http://www.sec.gov/ix?doc=/Archives/edgar/data/1811210/000110465922050370/tm2212583d1_8k.htm" TargetMode="External"/><Relationship Id="rId34" Type="http://schemas.openxmlformats.org/officeDocument/2006/relationships/hyperlink" Target="http://www.sec.gov/ix?doc=/Archives/edgar/data/1811210/000110465922067703/tm2217505d1_8k.htm" TargetMode="External"/><Relationship Id="rId35" Type="http://schemas.openxmlformats.org/officeDocument/2006/relationships/hyperlink" Target="http://www.sec.gov/ix?doc=/Archives/edgar/data/1811210/000110465922070525/tm2218210d1_8k.htm" TargetMode="External"/><Relationship Id="rId36" Type="http://schemas.openxmlformats.org/officeDocument/2006/relationships/hyperlink" Target="http://www.sec.gov/ix?doc=/Archives/edgar/data/1811210/000110465922071262/tm2218210d4_8k.htm" TargetMode="External"/><Relationship Id="rId37" Type="http://schemas.openxmlformats.org/officeDocument/2006/relationships/hyperlink" Target="http://www.sec.gov/Archives/edgar/data/1811210/000110465921095277/tm2120294d8_8a12b.htm" TargetMode="External"/><Relationship Id="rId110" Type="http://schemas.openxmlformats.org/officeDocument/2006/relationships/hyperlink" Target="http://www.sec.gov/Archives/edgar/data/1811210/000110465921026357/tm217491d2_ex2-1.htm" TargetMode="External"/><Relationship Id="rId111" Type="http://schemas.openxmlformats.org/officeDocument/2006/relationships/hyperlink" Target="http://www.sec.gov/Archives/edgar/data/1811210/000110465921095842/tm2120294d5_ex3-1.htm" TargetMode="External"/><Relationship Id="rId112" Type="http://schemas.openxmlformats.org/officeDocument/2006/relationships/hyperlink" Target="http://www.sec.gov/Archives/edgar/data/1811210/000110465921095842/tm2120294d5_ex3-2.htm" TargetMode="External"/><Relationship Id="rId113" Type="http://schemas.openxmlformats.org/officeDocument/2006/relationships/hyperlink" Target="http://www.sec.gov/Archives/edgar/data/1811210/000110465921095842/tm2120294d5_ex4-1.htm" TargetMode="External"/><Relationship Id="rId114" Type="http://schemas.openxmlformats.org/officeDocument/2006/relationships/hyperlink" Target="http://www.sec.gov/Archives/edgar/data/1811210/000110465920090379/tm2026266d1_ex4-1.htm" TargetMode="External"/><Relationship Id="rId115" Type="http://schemas.openxmlformats.org/officeDocument/2006/relationships/hyperlink" Target="http://www.sec.gov/Archives/edgar/data/1811210/000110465921026357/tm217491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2022-08-29T17:03:03Z</dcterms:created>
  <dcterms:modified xsi:type="dcterms:W3CDTF">2022-08-29T17:03:03Z</dcterms:modified>
</cp:coreProperties>
</file>