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Dhingra Gagan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LUCID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7373 GATEWAY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NEWARK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Lucid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LCID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of Acctng &amp; Internal Ctrl*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3.21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295,142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that have been withheld by the Issuer to satisfy tax withholding and remittance obligations in connection with the time-based vesting of restricted stock units reported on Forms 4 filed on December 15, 2021, June 8, 2022 and September 12,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* Mr. Dhinga also serves as Interim Chief Financial Officer and Principal Financial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Benjamin Uy, as attorney-in-fact for Gagan Dhingra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89939" TargetMode="External"/><Relationship Id="rId4" Type="http://schemas.openxmlformats.org/officeDocument/2006/relationships/hyperlink" Target="http://www.sec.gov/cgi-bin/browse-edgar?action=getcompany&amp;CIK=000181121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3387</Characters>
  <CharactersWithSpaces>3948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