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22, 2023</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78"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56"/>
        </w:trPr>
        <w:tc>
          <w:tcPr>
            <w:tcW w:w="374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3740" w:type="dxa"/>
            <w:vAlign w:val="bottom"/>
          </w:tcPr>
          <w:p>
            <w:pPr>
              <w:jc w:val="center"/>
              <w:ind w:right="690"/>
              <w:spacing w:after="0"/>
              <w:rPr>
                <w:sz w:val="20"/>
                <w:szCs w:val="20"/>
                <w:color w:val="auto"/>
              </w:rPr>
            </w:pPr>
            <w:r>
              <w:rPr>
                <w:rFonts w:ascii="Arial" w:cs="Arial" w:eastAsia="Arial" w:hAnsi="Arial"/>
                <w:sz w:val="18"/>
                <w:szCs w:val="18"/>
                <w:b w:val="1"/>
                <w:bCs w:val="1"/>
                <w:color w:val="auto"/>
                <w:w w:val="95"/>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Arial" w:cs="Arial" w:eastAsia="Arial" w:hAnsi="Arial"/>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30"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$0.0001 par value per share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LCID</w:t>
            </w: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56"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171"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2.02 - Results of Operations and Financial Condition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22, 2023, Lucid Group, Inc. (“Lucid”) issued a press release announcing its results for the fourth quarter and full year ended December 31, 2022. A copy of the press release is attached as Exhibit 99.1 to this current report on Form 8-K and is incorporated by reference herein.</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Lucid uses its </w:t>
      </w:r>
      <w:r>
        <w:rPr>
          <w:rFonts w:ascii="Arial" w:cs="Arial" w:eastAsia="Arial" w:hAnsi="Arial"/>
          <w:sz w:val="18"/>
          <w:szCs w:val="18"/>
          <w:u w:val="single" w:color="auto"/>
          <w:color w:val="auto"/>
        </w:rPr>
        <w:t>ir.lucidmotors.com</w:t>
      </w:r>
      <w:r>
        <w:rPr>
          <w:rFonts w:ascii="Arial" w:cs="Arial" w:eastAsia="Arial" w:hAnsi="Arial"/>
          <w:sz w:val="18"/>
          <w:szCs w:val="18"/>
          <w:color w:val="auto"/>
        </w:rPr>
        <w:t xml:space="preserve"> website as a means of disclosing material non-public information and for complying with its disclosure obligations under Regulation FD.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 Exhibits</w:t>
            </w:r>
          </w:p>
        </w:tc>
        <w:tc>
          <w:tcPr>
            <w:tcW w:w="3300" w:type="dxa"/>
            <w:vAlign w:val="bottom"/>
          </w:tcPr>
          <w:p>
            <w:pPr>
              <w:spacing w:after="0"/>
              <w:rPr>
                <w:sz w:val="20"/>
                <w:szCs w:val="20"/>
                <w:color w:val="auto"/>
              </w:rPr>
            </w:pPr>
          </w:p>
        </w:tc>
        <w:tc>
          <w:tcPr>
            <w:tcW w:w="6700" w:type="dxa"/>
            <w:vAlign w:val="bottom"/>
          </w:tcPr>
          <w:p>
            <w:pPr>
              <w:spacing w:after="0"/>
              <w:rPr>
                <w:sz w:val="20"/>
                <w:szCs w:val="20"/>
                <w:color w:val="auto"/>
              </w:rPr>
            </w:pPr>
          </w:p>
        </w:tc>
      </w:tr>
      <w:tr>
        <w:trPr>
          <w:trHeight w:val="441"/>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330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34"/>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3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Lucid Press Release Dated February 22, 2023</w:t>
            </w:r>
          </w:p>
        </w:tc>
        <w:tc>
          <w:tcPr>
            <w:tcW w:w="6700" w:type="dxa"/>
            <w:vAlign w:val="bottom"/>
          </w:tcPr>
          <w:p>
            <w:pPr>
              <w:spacing w:after="0"/>
              <w:rPr>
                <w:sz w:val="21"/>
                <w:szCs w:val="21"/>
                <w:color w:val="auto"/>
              </w:rPr>
            </w:pPr>
          </w:p>
        </w:tc>
      </w:tr>
      <w:tr>
        <w:trPr>
          <w:trHeight w:val="304"/>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22, 2023</w:t>
      </w:r>
    </w:p>
    <w:p>
      <w:pPr>
        <w:spacing w:after="0" w:line="3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40640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Sherry House</w:t>
      </w:r>
    </w:p>
    <w:p>
      <w:pPr>
        <w:spacing w:after="0" w:line="7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68" w:lineRule="exact"/>
        <w:rPr>
          <w:sz w:val="20"/>
          <w:szCs w:val="20"/>
          <w:color w:val="auto"/>
        </w:rPr>
      </w:pPr>
    </w:p>
    <w:p>
      <w:pPr>
        <w:jc w:val="center"/>
        <w:ind w:left="340" w:right="80"/>
        <w:spacing w:after="0" w:line="293" w:lineRule="auto"/>
        <w:rPr>
          <w:sz w:val="20"/>
          <w:szCs w:val="20"/>
          <w:color w:val="auto"/>
        </w:rPr>
      </w:pPr>
      <w:r>
        <w:rPr>
          <w:rFonts w:ascii="Arial" w:cs="Arial" w:eastAsia="Arial" w:hAnsi="Arial"/>
          <w:sz w:val="23"/>
          <w:szCs w:val="23"/>
          <w:b w:val="1"/>
          <w:bCs w:val="1"/>
          <w:color w:val="auto"/>
        </w:rPr>
        <w:t>Lucid Announces Fourth Quarter and Full Year 2022 Financial Results, Exceeds Annual Production Guidance With 3,493 Vehicles in Q4 and 7,180 in the Full Year 2022</w:t>
      </w:r>
    </w:p>
    <w:p>
      <w:pPr>
        <w:spacing w:after="0" w:line="17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3,493 vehicles produced in Q4, up 53 percent sequentially</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7,180 vehicles produced in 2022, exceeding annual production guidance of 6,000 to 7,000 vehicles</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Q4 revenue of over $257M and annual revenue of over $608M</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Ended the quarter with approximately $4.9B total liquidity</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2023 production guidance of 10,000 to 14,000 vehicles</w:t>
      </w:r>
    </w:p>
    <w:p>
      <w:pPr>
        <w:spacing w:after="0" w:line="222"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NEWARK, Calif. — February 22, 2023 — Lucid Group, Inc. (NASDAQ: LCID), setting new standards with the longest-range, fastest-charging electric car on the market, today announced financial results for its fourth quarter and full year ended December 31, 2022. The Company produced 3,493 vehicles during Q4 at its manufacturing facility in Arizona and delivered 1,932 vehicles during the same period. On a full-year basis, the Company produced 7,180 vehicles, exceeding the 2022 annual production guidance of 6,000 to 7,000 vehicles, and delivered 4,369 vehicles in 2022. Lucid today also announced its 2023 annual production guidance of 10,000 to 14,000 vehicles.</w:t>
      </w:r>
    </w:p>
    <w:p>
      <w:pPr>
        <w:spacing w:after="0" w:line="171" w:lineRule="exact"/>
        <w:rPr>
          <w:sz w:val="20"/>
          <w:szCs w:val="20"/>
          <w:color w:val="auto"/>
        </w:rPr>
      </w:pPr>
    </w:p>
    <w:p>
      <w:pPr>
        <w:jc w:val="both"/>
        <w:ind w:right="260"/>
        <w:spacing w:after="0" w:line="268" w:lineRule="auto"/>
        <w:rPr>
          <w:sz w:val="20"/>
          <w:szCs w:val="20"/>
          <w:color w:val="auto"/>
        </w:rPr>
      </w:pPr>
      <w:r>
        <w:rPr>
          <w:rFonts w:ascii="Arial" w:cs="Arial" w:eastAsia="Arial" w:hAnsi="Arial"/>
          <w:sz w:val="19"/>
          <w:szCs w:val="19"/>
          <w:color w:val="auto"/>
        </w:rPr>
        <w:t>Lucid reported fourth quarter revenue of $257.7 million and annual revenue of $608.2 million, ending the quarter with approximately $4.9 billion total liquidity, which is expected to fund the Company at least into the first quarter of 2024. The Company reported reservations of over 28,000, as of February 21, 2023, representing potential sales of over $2.7 billion. This reservation number does not include the up to 100,000 vehicles under the agreement with the government of Saudi Arabia.</w:t>
      </w:r>
    </w:p>
    <w:p>
      <w:pPr>
        <w:spacing w:after="0" w:line="185" w:lineRule="exact"/>
        <w:rPr>
          <w:sz w:val="20"/>
          <w:szCs w:val="20"/>
          <w:color w:val="auto"/>
        </w:rPr>
      </w:pPr>
    </w:p>
    <w:p>
      <w:pPr>
        <w:ind w:right="60"/>
        <w:spacing w:after="0" w:line="403" w:lineRule="auto"/>
        <w:rPr>
          <w:sz w:val="20"/>
          <w:szCs w:val="20"/>
          <w:color w:val="auto"/>
        </w:rPr>
      </w:pPr>
      <w:r>
        <w:rPr>
          <w:rFonts w:ascii="Arial" w:cs="Arial" w:eastAsia="Arial" w:hAnsi="Arial"/>
          <w:sz w:val="16"/>
          <w:szCs w:val="16"/>
          <w:color w:val="auto"/>
        </w:rPr>
        <w:t>“Last year was a challenging year for everyone, yet despite the extraordinary supply chain and logistics challenges, the team persevered with an unrelenting focus on delivering what we believe is the best luxury sedan on the market,” said Peter Rawlinson, Lucid’s CEO and CTO.</w:t>
      </w:r>
    </w:p>
    <w:p>
      <w:pPr>
        <w:spacing w:after="0" w:line="98"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“Lucid Air has it all — industry-leading range, exceptional driving dynamics, and superior performance all wrapped up in a truly elegant design with a spacious interior cabin. But more importantly, the technological advances of Lucid Air are developed entirely in-house with the singular goal to advance the adoption of EVs around the world for future generations to come. Lucid Air is the quintessential luxury sedan, and our goal in 2023 is to amplify our sales and marketing efforts to get this amazing product into the hands of even more customers around the world,” Rawlinson added.</w:t>
      </w:r>
    </w:p>
    <w:p>
      <w:pPr>
        <w:spacing w:after="0" w:line="228"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“In 2022, we scaled every part of our business while keeping a sharp focus on execution. In our first full year of production, we manufactured 7,180 vehicles and delivered 4,369 vehicles, generating revenue of just over $608 million,” said Sherry House, Lucid’s CFO. “As we look ahead to 2023, we’ll continue to focus on strong capital discipline, leaving no stone unturned for every cost optimization. We are proud of our technology and product achievements. We’re gearing for growth, while simultaneously taking a comprehensive look at reducing costs, and I’m very excited about the opportunities that lie ahead of us.”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Lucid Group</w:t>
      </w:r>
    </w:p>
    <w:p>
      <w:pPr>
        <w:spacing w:after="0" w:line="235"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Lucid’s mission is to inspire the adoption of sustainable energy by creating advanced technologies and the most captivating luxury electric vehicles centered around the human experience. Lucid Air, is a state-of-the-art luxury sedan with a California-inspired design that features full-size interior space in a mid-size exterior footprint. Lucid Air Grand Touring features an official EPA estimated 516 miles of range or 1,050 horsepower. Produced at Lucid’s factory in Casa Grande, Arizona, deliveries of Lucid Air are currently underway to customers in the U.S., Canada, Europe and the Middle East.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investor@lucidmotors.com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319"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Media Contact</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media@lucidmotors.com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B1B1B"/>
        </w:rPr>
        <w:t>Trademarks</w:t>
      </w:r>
    </w:p>
    <w:p>
      <w:pPr>
        <w:spacing w:after="0" w:line="222" w:lineRule="exact"/>
        <w:rPr>
          <w:sz w:val="20"/>
          <w:szCs w:val="20"/>
          <w:color w:val="auto"/>
        </w:rPr>
      </w:pPr>
    </w:p>
    <w:p>
      <w:pPr>
        <w:ind w:right="440"/>
        <w:spacing w:after="0" w:line="274" w:lineRule="auto"/>
        <w:rPr>
          <w:sz w:val="20"/>
          <w:szCs w:val="20"/>
          <w:color w:val="auto"/>
        </w:rPr>
      </w:pPr>
      <w:r>
        <w:rPr>
          <w:rFonts w:ascii="Arial" w:cs="Arial" w:eastAsia="Arial" w:hAnsi="Arial"/>
          <w:sz w:val="20"/>
          <w:szCs w:val="20"/>
          <w:color w:val="auto"/>
        </w:rPr>
        <w:t>This communication contains trademarks, service marks, trade names and copyrights of Lucid Group, Inc. and its subsidiaries and other companies, which are the property of their respective owners.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3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amount of reservations and related potential sales, future capital expenditures and other operating expenses, ability to control costs, expectations and timing related to commercial product launches, including the Gravity SUV and the various Air models, production and delivery volumes, expectations regarding market opportunities and demand for Lucid’s products, the range and performance of Lucid’s vehicles, plans and expectations regarding Lucid’s software, product recalls, estimate of the length of time Lucid’s existing cash, cash equivalents and investments will be sufficient to fund planned operations, plans and expectations regarding its future capital raises and funding strategy, the timing of deliveries, future manufacturing capabilities and facilities, studio and service center openings, ability to mitigate supply chain and logistics risks, plans regarding the Phase 2 expansion of Lucid’s AMP-1 factory, including timing, installed capacity and potential benefits, ability to vertically integrate production processes, future sales channels and strategies, future market launches and international expansion, including plans for the European and Middle Eastern markets and the AMP-2 manufacturing facility in Saudi Arabia, the potential success of Lucid’s direct-to-consumer sales strategy and future vehicle programs,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a potential global economic recession or other downturn and the ongoing conflict between Russia and Ukraine; risks related to changes in overall demand for Lucid’s products and services and cancellation of reservations and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potential vehicle recalls; Lucid’s ability to establish and expand its brand and capture additional market share, and the risks associated with negative press or reputational harm; Lucid’s ability to effectively utilize zero emission vehicle credits and obtain and utilize certain tax and other incentives; Lucid’s ability to issue equity or equity-linked securities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and the impact of the global COVID-19 pandemic on Lucid’s supply chain, projected results of operations, financial performance or other financial metrics, or on any of the foregoing risks; and those factors discussed under the heading “Risk Factors” in</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102" w:right="379" w:bottom="1440" w:gutter="0" w:footer="0" w:header="0"/>
        </w:sectPr>
      </w:pPr>
    </w:p>
    <w:bookmarkStart w:id="5" w:name="page6"/>
    <w:bookmarkEnd w:id="5"/>
    <w:p>
      <w:pPr>
        <w:ind w:right="60"/>
        <w:spacing w:after="0" w:line="282" w:lineRule="auto"/>
        <w:rPr>
          <w:sz w:val="20"/>
          <w:szCs w:val="20"/>
          <w:color w:val="auto"/>
        </w:rPr>
      </w:pPr>
      <w:r>
        <w:rPr>
          <w:rFonts w:ascii="Arial" w:cs="Arial" w:eastAsia="Arial" w:hAnsi="Arial"/>
          <w:sz w:val="18"/>
          <w:szCs w:val="18"/>
          <w:color w:val="auto"/>
        </w:rPr>
        <w:t>Part II, Item 1A of Lucid’s Quarterly Report on Form 10-Q for the quarter ended September 30,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 and Key Business Metrics</w:t>
      </w:r>
    </w:p>
    <w:p>
      <w:pPr>
        <w:spacing w:after="0" w:line="222"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Consolidated financial information has been presented in accordance with US GAAP (“GAAP”) as well as on a non-GAAP basis to supplement our consolidated financial results. Lucid’s non-GAAP financial measures include Adjusted EBITDA and Free Cash Flow which are discussed below.</w:t>
      </w:r>
    </w:p>
    <w:p>
      <w:pPr>
        <w:spacing w:after="0" w:line="193" w:lineRule="exact"/>
        <w:rPr>
          <w:sz w:val="20"/>
          <w:szCs w:val="20"/>
          <w:color w:val="auto"/>
        </w:rPr>
      </w:pPr>
    </w:p>
    <w:p>
      <w:pPr>
        <w:jc w:val="both"/>
        <w:ind w:right="260"/>
        <w:spacing w:after="0" w:line="279" w:lineRule="auto"/>
        <w:rPr>
          <w:sz w:val="20"/>
          <w:szCs w:val="20"/>
          <w:color w:val="auto"/>
        </w:rPr>
      </w:pPr>
      <w:r>
        <w:rPr>
          <w:rFonts w:ascii="Arial" w:cs="Arial" w:eastAsia="Arial" w:hAnsi="Arial"/>
          <w:sz w:val="18"/>
          <w:szCs w:val="18"/>
          <w:color w:val="auto"/>
        </w:rPr>
        <w:t>Adjusted EBITDA is defined as net loss before (1) interest expense, (2) interest income, (3) provision for (benefit from) income taxes, (4) depreciation and amortization, (5) change in fair value of forward contracts, (6) change in fair value of convertible preferred stock warrant liability, (7) change in fair value of common stock warrant liability, (8) transaction costs expensed and (9) stock-based compensation.</w:t>
      </w:r>
    </w:p>
    <w:p>
      <w:pPr>
        <w:spacing w:after="0" w:line="1"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color w:val="auto"/>
        </w:rPr>
        <w:t>Adjusted EBITDA is a performance measure that Lucid believes provides useful information to Lucid’s management and investors about Lucid’s profitability. Free Cash Flow is defined as net cash used in operating activities less capital expenditures. Free Cash Flow is a performance measure that Lucid believes provides useful information to Lucid’s management and investors about the amount of cash generated by the business after necessary capital expenditures.</w:t>
      </w:r>
    </w:p>
    <w:p>
      <w:pPr>
        <w:spacing w:after="0" w:line="184"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35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04" w:lineRule="auto"/>
        <w:rPr>
          <w:sz w:val="20"/>
          <w:szCs w:val="20"/>
          <w:color w:val="auto"/>
        </w:rPr>
      </w:pPr>
      <w:r>
        <w:rPr>
          <w:rFonts w:ascii="Arial" w:cs="Arial" w:eastAsia="Arial" w:hAnsi="Arial"/>
          <w:sz w:val="18"/>
          <w:szCs w:val="18"/>
          <w:b w:val="1"/>
          <w:bCs w:val="1"/>
          <w:color w:val="auto"/>
        </w:rPr>
        <w:t>CONSOLIDATED BALANCE SHEETS</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1,735,765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6,262,905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2,177,231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834,401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127,250</w:t>
            </w: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70,346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43,328</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4,912,028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6,506,977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2,166,776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1,182,153</w:t>
            </w: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529,974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0" w:type="dxa"/>
            <w:vAlign w:val="bottom"/>
          </w:tcPr>
          <w:p>
            <w:pPr>
              <w:spacing w:after="0"/>
              <w:rPr>
                <w:sz w:val="1"/>
                <w:szCs w:val="1"/>
                <w:color w:val="auto"/>
              </w:rPr>
            </w:pPr>
          </w:p>
        </w:tc>
      </w:tr>
      <w:tr>
        <w:trPr>
          <w:trHeight w:val="271"/>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7,879,238</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c>
          <w:tcPr>
            <w:tcW w:w="0" w:type="dxa"/>
            <w:vAlign w:val="bottom"/>
          </w:tcPr>
          <w:p>
            <w:pPr>
              <w:spacing w:after="0"/>
              <w:rPr>
                <w:sz w:val="1"/>
                <w:szCs w:val="1"/>
                <w:color w:val="auto"/>
              </w:rPr>
            </w:pPr>
          </w:p>
        </w:tc>
      </w:tr>
      <w:tr>
        <w:trPr>
          <w:trHeight w:val="21"/>
        </w:trPr>
        <w:tc>
          <w:tcPr>
            <w:tcW w:w="8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229,084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41,342</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634,567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c>
          <w:tcPr>
            <w:tcW w:w="0" w:type="dxa"/>
            <w:vAlign w:val="bottom"/>
          </w:tcPr>
          <w:p>
            <w:pPr>
              <w:spacing w:after="0"/>
              <w:rPr>
                <w:sz w:val="1"/>
                <w:szCs w:val="1"/>
                <w:color w:val="auto"/>
              </w:rPr>
            </w:pPr>
          </w:p>
        </w:tc>
      </w:tr>
      <w:tr>
        <w:trPr>
          <w:trHeight w:val="237"/>
        </w:trPr>
        <w:tc>
          <w:tcPr>
            <w:tcW w:w="84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937,559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396,101</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1,394,808</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1,991,840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1,986,791</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188,575</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3,972,358</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Preferred stock, par value $0.0001; 10,000,000 shares authorized as of December 31, 2022 and</w:t>
            </w:r>
          </w:p>
        </w:tc>
        <w:tc>
          <w:tcPr>
            <w:tcW w:w="140" w:type="dxa"/>
            <w:vAlign w:val="bottom"/>
          </w:tcPr>
          <w:p>
            <w:pPr>
              <w:spacing w:after="0"/>
              <w:rPr>
                <w:sz w:val="21"/>
                <w:szCs w:val="2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gridSpan w:val="2"/>
          </w:tcPr>
          <w:p>
            <w:pPr>
              <w:ind w:left="340"/>
              <w:spacing w:after="0"/>
              <w:rPr>
                <w:sz w:val="20"/>
                <w:szCs w:val="20"/>
                <w:color w:val="auto"/>
              </w:rPr>
            </w:pPr>
            <w:r>
              <w:rPr>
                <w:rFonts w:ascii="Arial" w:cs="Arial" w:eastAsia="Arial" w:hAnsi="Arial"/>
                <w:sz w:val="18"/>
                <w:szCs w:val="18"/>
                <w:color w:val="auto"/>
              </w:rPr>
              <w:t>2021; no shares issued and outstanding as of December 31, 2022 and 2021</w:t>
            </w:r>
          </w:p>
        </w:tc>
        <w:tc>
          <w:tcPr>
            <w:tcW w:w="1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Common stock, par value $0.0001; 15,000,000,000 shares authorized as of December 31, 2022 and 2021;</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1,830,172,561 and 1,648,413,415 shares issued and 1,829,314,736 and 1,647,555,590 shares outstanding as of</w:t>
            </w:r>
          </w:p>
        </w:tc>
        <w:tc>
          <w:tcPr>
            <w:tcW w:w="14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December 31, 2022 and 2021,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11,752,138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9,995,778</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857,825 shares at December 31, 2022 and 2021</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(7,370,332)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(6,065,872)</w:t>
            </w:r>
          </w:p>
        </w:tc>
        <w:tc>
          <w:tcPr>
            <w:tcW w:w="0" w:type="dxa"/>
            <w:vAlign w:val="bottom"/>
          </w:tcPr>
          <w:p>
            <w:pPr>
              <w:spacing w:after="0"/>
              <w:rPr>
                <w:sz w:val="1"/>
                <w:szCs w:val="1"/>
                <w:color w:val="auto"/>
              </w:rPr>
            </w:pPr>
          </w:p>
        </w:tc>
      </w:tr>
      <w:tr>
        <w:trPr>
          <w:trHeight w:val="236"/>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4,349,701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3,909,355</w:t>
            </w:r>
          </w:p>
        </w:tc>
        <w:tc>
          <w:tcPr>
            <w:tcW w:w="0" w:type="dxa"/>
            <w:vAlign w:val="bottom"/>
          </w:tcPr>
          <w:p>
            <w:pPr>
              <w:spacing w:after="0"/>
              <w:rPr>
                <w:sz w:val="1"/>
                <w:szCs w:val="1"/>
                <w:color w:val="auto"/>
              </w:rPr>
            </w:pPr>
          </w:p>
        </w:tc>
      </w:tr>
      <w:tr>
        <w:trPr>
          <w:trHeight w:val="41"/>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7,879,238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7,881,713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83"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LUCID GROUP, INC.</w:t>
      </w:r>
    </w:p>
    <w:p>
      <w:pPr>
        <w:jc w:val="center"/>
        <w:ind w:right="-19"/>
        <w:spacing w:after="0" w:line="222" w:lineRule="auto"/>
        <w:rPr>
          <w:sz w:val="20"/>
          <w:szCs w:val="20"/>
          <w:color w:val="auto"/>
        </w:rPr>
      </w:pPr>
      <w:r>
        <w:rPr>
          <w:rFonts w:ascii="Arial" w:cs="Arial" w:eastAsia="Arial" w:hAnsi="Arial"/>
          <w:sz w:val="18"/>
          <w:szCs w:val="18"/>
          <w:b w:val="1"/>
          <w:bCs w:val="1"/>
          <w:color w:val="auto"/>
        </w:rPr>
        <w:t>CONSOLIDATED STATEMENTS OF OPERATIONS AND COMPREHENSIVE LOSS</w:t>
      </w:r>
      <w:r>
        <w:rPr>
          <w:rFonts w:ascii="Arial" w:cs="Arial" w:eastAsia="Arial" w:hAnsi="Arial"/>
          <w:sz w:val="23"/>
          <w:szCs w:val="23"/>
          <w:b w:val="1"/>
          <w:bCs w:val="1"/>
          <w:color w:val="auto"/>
          <w:vertAlign w:val="superscript"/>
        </w:rPr>
        <w:t>1</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5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5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41"/>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608,181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27,111</w:t>
            </w:r>
          </w:p>
        </w:tc>
      </w:tr>
      <w:tr>
        <w:trPr>
          <w:trHeight w:val="270"/>
        </w:trPr>
        <w:tc>
          <w:tcPr>
            <w:tcW w:w="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615,291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1,646,086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154,897</w:t>
            </w: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163,606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821,512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750,185</w:t>
            </w:r>
          </w:p>
        </w:tc>
      </w:tr>
      <w:tr>
        <w:trPr>
          <w:trHeight w:val="243"/>
        </w:trPr>
        <w:tc>
          <w:tcPr>
            <w:tcW w:w="2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170,867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196,997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734,574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652,475</w:t>
            </w:r>
          </w:p>
        </w:tc>
      </w:tr>
      <w:tr>
        <w:trPr>
          <w:trHeight w:val="41"/>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7"/>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cost and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1,007,452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512,076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3,202,172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1,557,557</w:t>
            </w:r>
          </w:p>
        </w:tc>
      </w:tr>
      <w:tr>
        <w:trPr>
          <w:trHeight w:val="250"/>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(485,684)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(2,593,991)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(1,530,446)</w:t>
            </w:r>
          </w:p>
        </w:tc>
      </w:tr>
      <w:tr>
        <w:trPr>
          <w:trHeight w:val="270"/>
        </w:trPr>
        <w:tc>
          <w:tcPr>
            <w:tcW w:w="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Change in fair value of forward contracts</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(454,546)</w:t>
            </w: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Change in fair value of common stock warrant liability</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255,899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(557,973)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1,254,218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(582,760)</w:t>
            </w:r>
          </w:p>
        </w:tc>
      </w:tr>
      <w:tr>
        <w:trPr>
          <w:trHeight w:val="41"/>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Transaction costs expensed</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40"/>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7"/>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(expense), net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276,930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1,289,910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(1,049,266)</w:t>
            </w:r>
          </w:p>
        </w:tc>
      </w:tr>
      <w:tr>
        <w:trPr>
          <w:trHeight w:val="237"/>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Loss before provision for (benefit from) income taxes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(472,809)</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(1,045,662)</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(1,304,081)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(2,579,712)</w:t>
            </w: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(472,648)</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(1,045,680)</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(1,304,460)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(2,579,761)</w:t>
            </w: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4"/>
              </w:rPr>
              <w:t>Deemed dividend related to the issuance of Series E convertible preferred stock</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(2,167,332)</w:t>
            </w:r>
          </w:p>
        </w:tc>
      </w:tr>
      <w:tr>
        <w:trPr>
          <w:trHeight w:val="270"/>
        </w:trPr>
        <w:tc>
          <w:tcPr>
            <w:tcW w:w="5860" w:type="dxa"/>
            <w:vAlign w:val="bottom"/>
            <w:gridSpan w:val="2"/>
          </w:tcPr>
          <w:p>
            <w:pPr>
              <w:spacing w:after="0"/>
              <w:rPr>
                <w:sz w:val="20"/>
                <w:szCs w:val="20"/>
                <w:color w:val="auto"/>
              </w:rPr>
            </w:pPr>
            <w:r>
              <w:rPr>
                <w:rFonts w:ascii="Arial" w:cs="Arial" w:eastAsia="Arial" w:hAnsi="Arial"/>
                <w:sz w:val="17"/>
                <w:szCs w:val="17"/>
                <w:b w:val="1"/>
                <w:bCs w:val="1"/>
                <w:color w:val="auto"/>
              </w:rPr>
              <w:t>Net loss attributable to common stockholders, basic</w:t>
            </w:r>
          </w:p>
        </w:tc>
        <w:tc>
          <w:tcPr>
            <w:tcW w:w="1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(472,648)</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(1,045,680)</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(1,304,460)</w:t>
            </w:r>
          </w:p>
        </w:tc>
        <w:tc>
          <w:tcPr>
            <w:tcW w:w="8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(4,747,093)</w:t>
            </w: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dilutive warrants</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(1,254,218)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2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stockholders,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(472,648)</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(1,045,680)</w:t>
            </w:r>
          </w:p>
        </w:tc>
        <w:tc>
          <w:tcPr>
            <w:tcW w:w="8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(2,558,678)</w:t>
            </w:r>
          </w:p>
        </w:tc>
        <w:tc>
          <w:tcPr>
            <w:tcW w:w="8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(4,747,093)</w:t>
            </w: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Weighted average shares outstanding used in computing net loss per share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attributable to common stockholders, basic</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1,712,951,982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88"/>
              </w:rPr>
              <w:t>1,636,215,509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1,678,346,079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740,393,759</w:t>
            </w:r>
          </w:p>
        </w:tc>
      </w:tr>
      <w:tr>
        <w:trPr>
          <w:trHeight w:val="40"/>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20" w:type="dxa"/>
            <w:vAlign w:val="bottom"/>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used in computing net loss per share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74"/>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attributable to common stockholders, diluted</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1,712,951,982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1,636,215,509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1,693,258,608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740,393,759</w:t>
            </w:r>
          </w:p>
        </w:tc>
      </w:tr>
      <w:tr>
        <w:trPr>
          <w:trHeight w:val="237"/>
        </w:trPr>
        <w:tc>
          <w:tcPr>
            <w:tcW w:w="2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 basic</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r>
      <w:tr>
        <w:trPr>
          <w:trHeight w:val="40"/>
        </w:trPr>
        <w:tc>
          <w:tcPr>
            <w:tcW w:w="20" w:type="dxa"/>
            <w:vAlign w:val="bottom"/>
          </w:tcPr>
          <w:p>
            <w:pPr>
              <w:spacing w:after="0"/>
              <w:rPr>
                <w:sz w:val="3"/>
                <w:szCs w:val="3"/>
                <w:color w:val="auto"/>
              </w:rPr>
            </w:pPr>
          </w:p>
        </w:tc>
        <w:tc>
          <w:tcPr>
            <w:tcW w:w="5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5"/>
        </w:trPr>
        <w:tc>
          <w:tcPr>
            <w:tcW w:w="20" w:type="dxa"/>
            <w:vAlign w:val="bottom"/>
          </w:tcPr>
          <w:p>
            <w:pPr>
              <w:spacing w:after="0"/>
              <w:rPr>
                <w:sz w:val="24"/>
                <w:szCs w:val="24"/>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 stockholders,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rPr>
              <w:t>Net unrealized gains (losses) on investments, net of tax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(11,572)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58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7"/>
        </w:trPr>
        <w:tc>
          <w:tcPr>
            <w:tcW w:w="20" w:type="dxa"/>
            <w:vAlign w:val="bottom"/>
          </w:tcPr>
          <w:p>
            <w:pPr>
              <w:spacing w:after="0"/>
              <w:rPr>
                <w:sz w:val="22"/>
                <w:szCs w:val="22"/>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(470,954)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(1,045,680)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(1,316,032)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(2,579,761)</w:t>
            </w:r>
          </w:p>
        </w:tc>
      </w:tr>
      <w:tr>
        <w:trPr>
          <w:trHeight w:val="243"/>
        </w:trPr>
        <w:tc>
          <w:tcPr>
            <w:tcW w:w="2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7"/>
                <w:szCs w:val="17"/>
                <w:color w:val="auto"/>
                <w:w w:val="94"/>
              </w:rPr>
              <w:t>Deemed dividend related to the issuance of Series E convertible preferred stock</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(2,167,332)</w:t>
            </w:r>
          </w:p>
        </w:tc>
      </w:tr>
      <w:tr>
        <w:trPr>
          <w:trHeight w:val="41"/>
        </w:trPr>
        <w:tc>
          <w:tcPr>
            <w:tcW w:w="58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5"/>
        </w:trPr>
        <w:tc>
          <w:tcPr>
            <w:tcW w:w="20" w:type="dxa"/>
            <w:vAlign w:val="bottom"/>
          </w:tcPr>
          <w:p>
            <w:pPr>
              <w:spacing w:after="0"/>
              <w:rPr>
                <w:sz w:val="24"/>
                <w:szCs w:val="24"/>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(470,954)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(1,045,680)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(1,316,032)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(4,747,093)</w:t>
            </w: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40" w:top="783" w:right="37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40" w:top="783" w:right="3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22" w:lineRule="auto"/>
        <w:rPr>
          <w:sz w:val="20"/>
          <w:szCs w:val="20"/>
          <w:color w:val="auto"/>
        </w:rPr>
      </w:pPr>
      <w:r>
        <w:rPr>
          <w:rFonts w:ascii="Arial" w:cs="Arial" w:eastAsia="Arial" w:hAnsi="Arial"/>
          <w:sz w:val="18"/>
          <w:szCs w:val="18"/>
          <w:b w:val="1"/>
          <w:bCs w:val="1"/>
          <w:color w:val="auto"/>
        </w:rPr>
        <w:t>CONSOLIDATED STATEMENTS OF CASH FLOWS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16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Twelve Months Ended</w:t>
            </w:r>
          </w:p>
        </w:tc>
      </w:tr>
      <w:tr>
        <w:trPr>
          <w:trHeight w:val="186"/>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6"/>
                <w:szCs w:val="16"/>
                <w:color w:val="auto"/>
              </w:rPr>
            </w:pPr>
          </w:p>
        </w:tc>
      </w:tr>
      <w:tr>
        <w:trPr>
          <w:trHeight w:val="39"/>
        </w:trPr>
        <w:tc>
          <w:tcPr>
            <w:tcW w:w="6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98"/>
        </w:trPr>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204"/>
        </w:trPr>
        <w:tc>
          <w:tcPr>
            <w:tcW w:w="6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(472,648)</w:t>
            </w:r>
          </w:p>
        </w:tc>
        <w:tc>
          <w:tcPr>
            <w:tcW w:w="8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(1,045,680)</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(1,304,460)</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(2,579,761)</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55,240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186,583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62,907</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insurance premium</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11,290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35,620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18,474</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Non-cash operating lease cost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5,457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3,934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19,711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12,563</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71,255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150,557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423,500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516,757</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Inventory and firm purchase commitments write-downs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204,926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569,479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48,884</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 in fair value of contingent forward contract liability</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454,546</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Change in fair value of preferred stock warrant liability</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6,976</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 in fair value of common stock warrant liability</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(255,899)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557,973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(1,254,218)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582,760</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Other non-cash items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(5,322)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(10,342)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(16,987)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(16,498)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(2,888)</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Inventory</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(350,295)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(114,979)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(1,256,349)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(175,091)</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(28,822)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(66,980)</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(10,329)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(23,003)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(43,591)</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(14,704)</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(43,230)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5,889</w:t>
            </w:r>
          </w:p>
        </w:tc>
      </w:tr>
      <w:tr>
        <w:trPr>
          <w:trHeight w:val="26"/>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128,253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18,529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180,469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4,354</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14,314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30,958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16,167</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Operating lease liability</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(15,482)</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(10,019)</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47,622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269,386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65,456</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10,837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31,028</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(4,712)</w:t>
            </w:r>
          </w:p>
        </w:tc>
      </w:tr>
      <w:tr>
        <w:trPr>
          <w:trHeight w:val="198"/>
        </w:trPr>
        <w:tc>
          <w:tcPr>
            <w:tcW w:w="6220" w:type="dxa"/>
            <w:vAlign w:val="bottom"/>
          </w:tcPr>
          <w:p>
            <w:pPr>
              <w:ind w:left="5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(648,515)</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(312,732)</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(2,226,258)</w:t>
            </w: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(1,058,133)</w:t>
            </w:r>
          </w:p>
        </w:tc>
      </w:tr>
      <w:tr>
        <w:trPr>
          <w:trHeight w:val="25"/>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(289,888)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(121,907)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(1,074,852)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(421,220)</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government grant</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97,267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(1,127,452)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(3,854,129)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maturities of investments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1,024,361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1,149,714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sale of short term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insurance claims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6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(392,656)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(121,399)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(3,681,677)</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(420,693)</w:t>
            </w:r>
          </w:p>
        </w:tc>
      </w:tr>
      <w:tr>
        <w:trPr>
          <w:trHeight w:val="184"/>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 from issuance of convertible notes, net of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2,002,437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2,002,437</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Payment of transaction costs for the issuance of convertible notes</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(15,883)</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 under At-the-Market Offering, net of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594,317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594,317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under Subscription Agreement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915,000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915,000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short-term insurance financing note</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41,935</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Payment for short-term insurance financing note</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(15,330)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(27,887)</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for finance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(3,088)</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29,818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Repayments for borrowings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(20,223)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failed sale-leaseback transaction</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31,700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Series B convertible preferred stock</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issuance of Series D convertible preferred stock</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issuance of Series E convertible preferred stock</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600,000</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3,050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17,788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8,132</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the exercise of public warrants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173,273</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the reverse capitalization</w:t>
            </w: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4,439,153</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of transaction costs related to the reverse recapitalization</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(34,054)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(38,865)</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Proceeds from employee stock purchase plan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11,680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24,562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Treasury stock repurchase</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(20,716)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(20,716)</w:t>
            </w:r>
          </w:p>
        </w:tc>
      </w:tr>
      <w:tr>
        <w:trPr>
          <w:trHeight w:val="204"/>
        </w:trPr>
        <w:tc>
          <w:tcPr>
            <w:tcW w:w="6220" w:type="dxa"/>
            <w:vAlign w:val="bottom"/>
          </w:tcPr>
          <w:p>
            <w:pPr>
              <w:ind w:left="180"/>
              <w:spacing w:after="0"/>
              <w:rPr>
                <w:sz w:val="20"/>
                <w:szCs w:val="20"/>
                <w:color w:val="auto"/>
              </w:rPr>
            </w:pPr>
            <w:r>
              <w:rPr>
                <w:rFonts w:ascii="Arial" w:cs="Arial" w:eastAsia="Arial" w:hAnsi="Arial"/>
                <w:sz w:val="14"/>
                <w:szCs w:val="14"/>
                <w:color w:val="auto"/>
              </w:rPr>
              <w:t>Stock repurchases from employees for tax withholdings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(5,894)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(218,789)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(22,063)</w:t>
            </w:r>
          </w:p>
        </w:tc>
      </w:tr>
      <w:tr>
        <w:trPr>
          <w:trHeight w:val="25"/>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 for credit facility issuance costs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220" w:type="dxa"/>
            <w:vAlign w:val="bottom"/>
          </w:tcPr>
          <w:p>
            <w:pPr>
              <w:ind w:left="5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1,512,801</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1,899,585</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1,347,235</w:t>
            </w: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7,136,428</w:t>
            </w:r>
          </w:p>
        </w:tc>
      </w:tr>
      <w:tr>
        <w:trPr>
          <w:trHeight w:val="26"/>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471,630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1,465,454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(4,560,700)</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5,657,602</w:t>
            </w:r>
          </w:p>
        </w:tc>
      </w:tr>
      <w:tr>
        <w:trPr>
          <w:trHeight w:val="204"/>
        </w:trPr>
        <w:tc>
          <w:tcPr>
            <w:tcW w:w="6220" w:type="dxa"/>
            <w:vAlign w:val="bottom"/>
          </w:tcPr>
          <w:p>
            <w:pPr>
              <w:ind w:left="20"/>
              <w:spacing w:after="0"/>
              <w:rPr>
                <w:sz w:val="20"/>
                <w:szCs w:val="20"/>
                <w:color w:val="auto"/>
              </w:rPr>
            </w:pPr>
            <w:r>
              <w:rPr>
                <w:rFonts w:ascii="Arial" w:cs="Arial" w:eastAsia="Arial" w:hAnsi="Arial"/>
                <w:sz w:val="14"/>
                <w:szCs w:val="14"/>
                <w:color w:val="auto"/>
              </w:rPr>
              <w:t>Beginning cash, cash equivalents, and restricted cash</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1,265,690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4,832,566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6,298,020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640,418</w:t>
            </w:r>
          </w:p>
        </w:tc>
      </w:tr>
      <w:tr>
        <w:trPr>
          <w:trHeight w:val="26"/>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cash, cash equivalents, and restricted cash</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1,737,320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6,298,020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1,737,320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6,298,020</w:t>
            </w:r>
          </w:p>
        </w:tc>
      </w:tr>
    </w:tbl>
    <w:p>
      <w:pPr>
        <w:spacing w:after="0" w:line="1" w:lineRule="exact"/>
        <w:rPr>
          <w:sz w:val="20"/>
          <w:szCs w:val="20"/>
          <w:color w:val="auto"/>
        </w:rPr>
      </w:pPr>
    </w:p>
    <w:p>
      <w:pPr>
        <w:sectPr>
          <w:pgSz w:w="11900" w:h="16838" w:orient="portrait"/>
          <w:cols w:equalWidth="0" w:num="1">
            <w:col w:w="11160"/>
          </w:cols>
          <w:pgMar w:left="360" w:top="688" w:right="379" w:bottom="411" w:gutter="0" w:footer="0" w:header="0"/>
        </w:sect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-107315</wp:posOffset>
            </wp:positionV>
            <wp:extent cx="3137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ectPr>
          <w:pgSz w:w="11900" w:h="16838" w:orient="portrait"/>
          <w:cols w:equalWidth="0" w:num="1">
            <w:col w:w="11160"/>
          </w:cols>
          <w:pgMar w:left="360" w:top="688" w:right="379" w:bottom="411"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22" w:lineRule="auto"/>
        <w:rPr>
          <w:sz w:val="20"/>
          <w:szCs w:val="20"/>
          <w:color w:val="auto"/>
        </w:rPr>
      </w:pPr>
      <w:r>
        <w:rPr>
          <w:rFonts w:ascii="Arial" w:cs="Arial" w:eastAsia="Arial" w:hAnsi="Arial"/>
          <w:sz w:val="18"/>
          <w:szCs w:val="18"/>
          <w:b w:val="1"/>
          <w:bCs w:val="1"/>
          <w:color w:val="auto"/>
        </w:rPr>
        <w:t>Reconciliation of GAAP to Non-GAAP Financials Measures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21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21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1"/>
        </w:trPr>
        <w:tc>
          <w:tcPr>
            <w:tcW w:w="1220" w:type="dxa"/>
            <w:vAlign w:val="bottom"/>
            <w:tcBorders>
              <w:bottom w:val="single" w:sz="8" w:color="CCEEFF"/>
            </w:tcBorders>
          </w:tcPr>
          <w:p>
            <w:pPr>
              <w:spacing w:after="0"/>
              <w:rPr>
                <w:sz w:val="3"/>
                <w:szCs w:val="3"/>
                <w:color w:val="auto"/>
              </w:rPr>
            </w:pPr>
          </w:p>
        </w:tc>
        <w:tc>
          <w:tcPr>
            <w:tcW w:w="53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(472,648)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(1,045,680)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(1,304,460)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(2,579,761)</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30,596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
        </w:trPr>
        <w:tc>
          <w:tcPr>
            <w:tcW w:w="1220" w:type="dxa"/>
            <w:vAlign w:val="bottom"/>
          </w:tcPr>
          <w:p>
            <w:pPr>
              <w:spacing w:after="0"/>
              <w:rPr>
                <w:sz w:val="3"/>
                <w:szCs w:val="3"/>
                <w:color w:val="auto"/>
              </w:rPr>
            </w:pPr>
          </w:p>
        </w:tc>
        <w:tc>
          <w:tcPr>
            <w:tcW w:w="53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62,907</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forward contracts</w:t>
            </w:r>
          </w:p>
        </w:tc>
        <w:tc>
          <w:tcPr>
            <w:tcW w:w="2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454,546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common stock warrant liability</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(255,899)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557,973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(1,254,218)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582,760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Transaction costs expensed</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150,557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423,500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516,757</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(623,610)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(299,583)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(1,974,376)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(951,675)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5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21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Twelve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21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0"/>
        </w:trPr>
        <w:tc>
          <w:tcPr>
            <w:tcW w:w="6520" w:type="dxa"/>
            <w:vAlign w:val="bottom"/>
            <w:tcBorders>
              <w:bottom w:val="single" w:sz="8" w:color="CCEEFF"/>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 (GAAP)</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(648,515)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(312,732)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(2,226,258)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(1,058,133)</w:t>
            </w:r>
          </w:p>
        </w:tc>
        <w:tc>
          <w:tcPr>
            <w:tcW w:w="0" w:type="dxa"/>
            <w:vAlign w:val="bottom"/>
          </w:tcPr>
          <w:p>
            <w:pPr>
              <w:spacing w:after="0"/>
              <w:rPr>
                <w:sz w:val="1"/>
                <w:szCs w:val="1"/>
                <w:color w:val="auto"/>
              </w:rPr>
            </w:pPr>
          </w:p>
        </w:tc>
      </w:tr>
      <w:tr>
        <w:trPr>
          <w:trHeight w:val="25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(289,888)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(121,907)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(1,074,852)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(421,220)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(938,403)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(434,639)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(3,301,110)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(1,479,353)</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31" w:lineRule="exact"/>
        <w:rPr>
          <w:sz w:val="20"/>
          <w:szCs w:val="20"/>
          <w:color w:val="auto"/>
        </w:rPr>
      </w:pPr>
    </w:p>
    <w:p>
      <w:pPr>
        <w:jc w:val="both"/>
        <w:ind w:firstLine="8"/>
        <w:spacing w:after="0" w:line="267" w:lineRule="auto"/>
        <w:tabs>
          <w:tab w:leader="none" w:pos="103"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The business combination (the “Merger”) between Lucid Group Inc.’s predecessor, Atieva, Inc. (“Legacy Lucid”), and Churchill Capital Corp IV (“CCIV”), which closed on July 23, 2021, is accounted for as a reverse recapitalization under U.S. GAAP. Under this method of accounting, CCIV has been treated as the acquired company for financial reporting purposes. Accordingly, for accounting purposes, the financial statements of Lucid represent a continuation of the financial statements of Legacy Lucid with the Merger being treated as the equivalent of Legacy Lucid issuing shares for the net assets of CCIV, accompanied by a recapitalization. The net assets of CCIV were recognized as of the closing of the Merger at historical cost, with no goodwill or other intangible assets recorded. Operations prior to the Merger are presented as those of Legacy Lucid and the accumulated deficit of Legacy Lucid has been carried forward after the closing of the Merger. All periods prior to the Merger have been retrospectively adjusted using the applicable exchange ratio for the equivalent number of shares outstanding immediately after the closing of the Merger to effect the reverse recapitalization. See our Form 10-Q for the quarter ended September 30, 2022 for additional information.</w:t>
      </w:r>
    </w:p>
    <w:p>
      <w:pPr>
        <w:sectPr>
          <w:pgSz w:w="11900" w:h="16838" w:orient="portrait"/>
          <w:cols w:equalWidth="0" w:num="1">
            <w:col w:w="11240"/>
          </w:cols>
          <w:pgMar w:left="320" w:top="783"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sectPr>
      <w:pgSz w:w="11900" w:h="16838" w:orient="portrait"/>
      <w:cols w:equalWidth="0" w:num="1">
        <w:col w:w="11240"/>
      </w:cols>
      <w:pgMar w:left="320" w:top="78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2023-02-22T15:38:20Z</dcterms:created>
  <dcterms:modified xsi:type="dcterms:W3CDTF">2023-02-22T15:38:20Z</dcterms:modified>
</cp:coreProperties>
</file>