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 May 14, 2021</w:t>
      </w:r>
    </w:p>
    <w:p>
      <w:pPr>
        <w:spacing w:after="0" w:line="35"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i w:val="1"/>
          <w:i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i w:val="1"/>
          <w:iCs w:val="1"/>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75" w:right="339" w:bottom="1440" w:gutter="0" w:footer="0" w:header="0"/>
          <w:type w:val="continuous"/>
        </w:sectPr>
      </w:pPr>
    </w:p>
    <w:p>
      <w:pPr>
        <w:spacing w:after="0" w:line="1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675"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380-7500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ectPr>
          <w:pgSz w:w="11900" w:h="16838" w:orient="portrait"/>
          <w:cols w:equalWidth="0" w:num="1">
            <w:col w:w="11240"/>
          </w:cols>
          <w:pgMar w:left="320" w:top="675"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480" w:hanging="3572"/>
        <w:spacing w:after="0" w:line="560" w:lineRule="auto"/>
        <w:tabs>
          <w:tab w:leader="none" w:pos="66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1"/>
        </w:trPr>
        <w:tc>
          <w:tcPr>
            <w:tcW w:w="4500" w:type="dxa"/>
            <w:vAlign w:val="bottom"/>
            <w:tcBorders>
              <w:top w:val="single" w:sz="8" w:color="auto"/>
            </w:tcBorders>
          </w:tcPr>
          <w:p>
            <w:pPr>
              <w:ind w:left="800"/>
              <w:spacing w:after="0" w:line="191" w:lineRule="exact"/>
              <w:rPr>
                <w:sz w:val="20"/>
                <w:szCs w:val="20"/>
                <w:color w:val="auto"/>
              </w:rPr>
            </w:pPr>
            <w:r>
              <w:rPr>
                <w:rFonts w:ascii="Arial" w:cs="Arial" w:eastAsia="Arial" w:hAnsi="Arial"/>
                <w:sz w:val="18"/>
                <w:szCs w:val="18"/>
                <w:b w:val="1"/>
                <w:bCs w:val="1"/>
                <w:color w:val="auto"/>
              </w:rPr>
              <w:t>Units, each consisting of one share of</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CCIV.U</w:t>
            </w:r>
          </w:p>
        </w:tc>
        <w:tc>
          <w:tcPr>
            <w:tcW w:w="1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16"/>
        </w:trPr>
        <w:tc>
          <w:tcPr>
            <w:tcW w:w="4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A common stock,</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$0.0001 par value, and one-fifth of one warrant</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CCIV</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6"/>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of Class A common stock</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CCIV WS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4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firstLine="8"/>
        <w:spacing w:after="0" w:line="275"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warrant agreement governing Churchill Capital Corp IV’s (the “Company”) warrants includes a provision that provides for potential changes to the settlement amounts dependent on the characteristics of the holder of the warrant. Upon review of the SEC Warrant Accounting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w:t>
      </w:r>
    </w:p>
    <w:p>
      <w:pPr>
        <w:spacing w:after="0" w:line="1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previously classified the public warrants and private placement warrants issued in connection with the Company’s initial public offering (the “Warrants”) as equity instruments. Upon further consideration of the rules and guidance, management of the Company concluded that the Warrants are precluded from equity classification. As a result, the Warrants should be recorded as liabilities on the balance sheet and measured at fair value at inception and on a recurring basis in accordance with ASC 820, Fair Value Measurement, with changes in fair value recognized in the statement of operations.</w:t>
      </w:r>
    </w:p>
    <w:p>
      <w:pPr>
        <w:spacing w:after="0" w:line="15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May 14, 2021, the Company's management and the Audit Committee of the Company's board of directors, after consultation with management and a discussion with Marcum LLP, the Company's independent registered public accounting firm, concluded that its financial statements as of December 31, 2020; as of August 3, 2020; for the period from April 30, 2020 (inception) through December 31, 2020; and as of and for the period ended September 30, 2020 (collectively, the “Non-Reliance Periods”) should no longer be relied upon based on the correction of an error as described above.</w:t>
      </w:r>
    </w:p>
    <w:p>
      <w:pPr>
        <w:spacing w:after="0" w:line="15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a result, the Company today is announcing that it will restate its historical financial results for the Non-Reliance Periods, in each case to reflect the change in accounting treatment (the “Restatement”). The Company is filing its Form 10-K/A for the year ended December 31, 2020 to reflect the Restatement contemporaneously with the filing of this Form 8-K.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prior accounting for the Warrants did not have any effect on the Company’s previously reported investments held in trust or cash.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Statements Regarding Forward-Looking Statements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This Current Report on Form 8-K includes “forward-looking statements” within the meaning of the safe harbor provisions of the United States Private Securities Litigation Reform Act of 1995. Certain of these forward-looking statements can be identified by the use of words such as “believes,” “expects,” “intends,” “plans,” “estimates,” “assumes,” “may,” “should,” “will,” “seeks,” or other similar expressions. Such statements may include, but are not limited to, statements regarding the Company’s intent to restate certain historical financial statements and the timing and impact of the restatement of the Original Filings. These statements are based on current expectations on the date of this Form 8-K and involve a number of risks and uncertainties that may cause actual results to differ significantly. The Company does not assume any obligation to update or revise any such forward-looking statements, whether as the result of new developments or otherwise. Readers are cautioned not to put undue reliance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5940" w:type="dxa"/>
            <w:vAlign w:val="bottom"/>
            <w:gridSpan w:val="2"/>
          </w:tcPr>
          <w:p>
            <w:pPr>
              <w:ind w:left="2120"/>
              <w:spacing w:after="0"/>
              <w:rPr>
                <w:sz w:val="20"/>
                <w:szCs w:val="20"/>
                <w:color w:val="auto"/>
              </w:rPr>
            </w:pPr>
            <w:r>
              <w:rPr>
                <w:rFonts w:ascii="Arial" w:cs="Arial" w:eastAsia="Arial" w:hAnsi="Arial"/>
                <w:sz w:val="18"/>
                <w:szCs w:val="18"/>
                <w:color w:val="auto"/>
              </w:rPr>
              <w:t>Churchill Capital Corp IV</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May 14, 2021</w:t>
            </w:r>
          </w:p>
        </w:tc>
        <w:tc>
          <w:tcPr>
            <w:tcW w:w="5940" w:type="dxa"/>
            <w:vAlign w:val="bottom"/>
            <w:gridSpan w:val="2"/>
          </w:tcPr>
          <w:p>
            <w:pPr>
              <w:ind w:left="2120"/>
              <w:spacing w:after="0"/>
              <w:rPr>
                <w:sz w:val="20"/>
                <w:szCs w:val="20"/>
                <w:color w:val="auto"/>
              </w:rPr>
            </w:pPr>
            <w:r>
              <w:rPr>
                <w:rFonts w:ascii="Arial" w:cs="Arial" w:eastAsia="Arial" w:hAnsi="Arial"/>
                <w:sz w:val="18"/>
                <w:szCs w:val="18"/>
                <w:color w:val="auto"/>
              </w:rPr>
              <w:t>By:  /s/ Jay Taragin</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Jay Taragin</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1680" w:type="dxa"/>
            <w:vAlign w:val="bottom"/>
          </w:tcPr>
          <w:p>
            <w:pPr>
              <w:spacing w:after="0"/>
              <w:rPr>
                <w:sz w:val="20"/>
                <w:szCs w:val="20"/>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2021-05-14T16:38:12Z</dcterms:created>
  <dcterms:modified xsi:type="dcterms:W3CDTF">2021-05-14T16:38:12Z</dcterms:modified>
</cp:coreProperties>
</file>