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6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24, 2026</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Lucid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7977" w:type="dxa"/>
        <w:jc w:val="left"/>
        <w:tblInd w:w="0" w:type="dxa"/>
        <w:tblLayout w:type="fixed"/>
        <w:tblCellMar>
          <w:top w:w="28" w:type="dxa"/>
          <w:left w:w="28" w:type="dxa"/>
          <w:bottom w:w="28" w:type="dxa"/>
          <w:right w:w="28" w:type="dxa"/>
        </w:tblCellMar>
      </w:tblPr>
      <w:tblGrid>
        <w:gridCol w:w="1215"/>
        <w:gridCol w:w="1066"/>
        <w:gridCol w:w="1078"/>
        <w:gridCol w:w="528"/>
        <w:gridCol w:w="528"/>
        <w:gridCol w:w="533"/>
        <w:gridCol w:w="884"/>
        <w:gridCol w:w="884"/>
        <w:gridCol w:w="1261"/>
      </w:tblGrid>
      <w:tr>
        <w:trPr/>
        <w:tc>
          <w:tcPr>
            <w:tcW w:w="121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001-39408</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85-0891392</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w:t>
              <w:br/>
              <w:t>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7373 Gateway Boulevard</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Newark, CA</w:t>
            </w:r>
          </w:p>
        </w:tc>
        <w:tc>
          <w:tcPr>
            <w:tcW w:w="1589"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94560</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6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(510) 648-3553</w:t>
      </w:r>
    </w:p>
    <w:p>
      <w:pPr>
        <w:pStyle w:val="TextBody"/>
        <w:bidi w:val="0"/>
        <w:spacing w:lineRule="auto" w:line="288" w:before="0" w:after="0"/>
        <w:jc w:val="center"/>
        <w:rPr>
          <w:rFonts w:ascii="Times New Roman;serif" w:hAnsi="Times New Roman;serif"/>
          <w:b w:val="false"/>
          <w:color w:val="231F20"/>
          <w:sz w:val="20"/>
        </w:rPr>
      </w:pPr>
      <w:r>
        <w:rPr>
          <w:rFonts w:ascii="Times New Roman;serif" w:hAnsi="Times New Roman;serif"/>
          <w:b w:val="false"/>
          <w:color w:val="231F20"/>
          <w:sz w:val="20"/>
        </w:rPr>
        <w:t>(Former name or former address, if changed since last report.)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ind w:left="0" w:right="0" w:hanging="360"/>
        <w:jc w:val="left"/>
        <w:rPr>
          <w:color w:val="000000"/>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lineRule="auto" w:line="288" w:before="0" w:after="0"/>
        <w:ind w:left="0" w:right="0" w:hanging="360"/>
        <w:jc w:val="left"/>
        <w:rPr/>
      </w:pPr>
      <w:r>
        <w:rPr>
          <w:color w:val="000000"/>
        </w:rPr>
        <w:t>☐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528"/>
        <w:gridCol w:w="1329"/>
        <w:gridCol w:w="1344"/>
        <w:gridCol w:w="109"/>
        <w:gridCol w:w="109"/>
        <w:gridCol w:w="109"/>
        <w:gridCol w:w="550"/>
        <w:gridCol w:w="550"/>
        <w:gridCol w:w="552"/>
        <w:gridCol w:w="109"/>
        <w:gridCol w:w="109"/>
        <w:gridCol w:w="109"/>
        <w:gridCol w:w="1079"/>
        <w:gridCol w:w="1079"/>
        <w:gridCol w:w="1540"/>
      </w:tblGrid>
      <w:tr>
        <w:trPr/>
        <w:tc>
          <w:tcPr>
            <w:tcW w:w="1528"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r>
      <w:tr>
        <w:trPr/>
        <w:tc>
          <w:tcPr>
            <w:tcW w:w="4201"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LCID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60" w:after="283"/>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16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lineRule="auto" w:line="288" w:before="240" w:after="283"/>
        <w:jc w:val="left"/>
        <w:rPr/>
      </w:pPr>
      <w:r>
        <w:rPr>
          <w:rFonts w:ascii="Times New Roman;serif" w:hAnsi="Times New Roman;serif"/>
          <w:b w:val="false"/>
          <w:color w:val="000000"/>
          <w:sz w:val="20"/>
        </w:rPr>
        <w:t>On August 24, 2026, Lucid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drew $400 million of Delayed Draw Term Loan (“</w:t>
      </w:r>
      <w:r>
        <w:rPr>
          <w:rFonts w:ascii="Times New Roman;serif" w:hAnsi="Times New Roman;serif"/>
          <w:b/>
          <w:i/>
          <w:color w:val="000000"/>
          <w:sz w:val="20"/>
        </w:rPr>
        <w:t>DDTL</w:t>
      </w:r>
      <w:r>
        <w:rPr>
          <w:color w:val="000000"/>
        </w:rPr>
        <w:t>”</w:t>
      </w:r>
      <w:r>
        <w:rPr>
          <w:rFonts w:ascii="Times New Roman;serif" w:hAnsi="Times New Roman;serif"/>
          <w:b w:val="false"/>
          <w:color w:val="000000"/>
          <w:sz w:val="20"/>
        </w:rPr>
        <w:t>) facilities pursuant to its existing agreement with Ayar Third Investment Company, an affiliate of the Public Investment Fund. Following this draw, and the previously disclosed draws of $500 million in April 2026 and $800 million in July 2026, the aggregate principal amount outstanding under the DDTL is $1.7 billion, with approximately $800 million of additional borrowing capacity remaining. A summary of the key terms of the DDTL is incorporated by reference from the Current Report on Form 8-Ks filed on August 5, 2024, November 5, 2025 and April 14,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5.02 Departure of Directors or Certain Officers; Election of Directors; Appointment of Certain Officers; Compensatory Arrangements of Certain Officers. </w:t>
      </w:r>
    </w:p>
    <w:p>
      <w:pPr>
        <w:pStyle w:val="TextBody"/>
        <w:bidi w:val="0"/>
        <w:spacing w:lineRule="auto" w:line="288" w:before="240" w:after="283"/>
        <w:jc w:val="left"/>
        <w:rPr/>
      </w:pPr>
      <w:r>
        <w:rPr>
          <w:rFonts w:ascii="Times New Roman;serif" w:hAnsi="Times New Roman;serif"/>
          <w:b w:val="false"/>
          <w:color w:val="000000"/>
          <w:sz w:val="20"/>
        </w:rPr>
        <w:t>In connection with Gagan Dhingra’s departure, effective August 14, 2026, the Company entered into a separation agreement with him (the “</w:t>
      </w:r>
      <w:r>
        <w:rPr>
          <w:rFonts w:ascii="Times New Roman;serif" w:hAnsi="Times New Roman;serif"/>
          <w:b/>
          <w:i/>
          <w:color w:val="000000"/>
          <w:sz w:val="20"/>
        </w:rPr>
        <w:t>Separation Agreement</w:t>
      </w:r>
      <w:r>
        <w:rPr>
          <w:color w:val="000000"/>
        </w:rPr>
        <w:t>”</w:t>
      </w:r>
      <w:r>
        <w:rPr>
          <w:rFonts w:ascii="Times New Roman;serif" w:hAnsi="Times New Roman;serif"/>
          <w:b w:val="false"/>
          <w:color w:val="000000"/>
          <w:sz w:val="20"/>
        </w:rPr>
        <w:t xml:space="preserve">) pursuant to which, among other things, the Company agreed to allow Mr. Dhingra to retain his Company vehicle and waive certain tuition repayment obligations in recognition of his contributions to the Company, subject to the terms and conditions set forth in the Separation Agreement, including, without limitation, Mr. Dhingra’s timely execution and non-revocation of a release of claims. Mr. Dhingra most recently served as the Company’s Senior Vice President of Finance and Accounting and reference is hereby made to disclosure of his departure contained in the Company’s Quarterly Report on Form 10-Q for the fiscal quarter ending June 30, 2026.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Separation Agreement does not purport to be complete and is qualified in its entirety by reference to the Separation Agreement entered into between the Company and Mr. Dhingra, a copy of which will be filed as an exhibit to the Company's Quarterly Report on Form 10-Q for the fiscal quarter ending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August 28, 2026, the Company issued a press release announcing the appointment of several new members of its leadership team. A copy of the press release is attached as Exhibit 99.1 to this Current Report on Form 8-K and is incorporated by reference herein.</w:t>
      </w:r>
    </w:p>
    <w:p>
      <w:pPr>
        <w:pStyle w:val="TextBody"/>
        <w:bidi w:val="0"/>
        <w:spacing w:lineRule="auto" w:line="288" w:before="240" w:after="283"/>
        <w:jc w:val="left"/>
        <w:rPr/>
      </w:pPr>
      <w:r>
        <w:rPr>
          <w:rFonts w:ascii="Times New Roman;serif" w:hAnsi="Times New Roman;serif"/>
          <w:b w:val="false"/>
          <w:color w:val="000000"/>
          <w:sz w:val="20"/>
        </w:rPr>
        <w:t>The information contained in this Item 7.01 and Exhibit 99.1 attached hereto shall not be deemed “filed” for purposes of Section 18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738"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929"/>
        <w:gridCol w:w="1929"/>
        <w:gridCol w:w="274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exhibit991-ddtldraw_depart.htm">
              <w:r>
                <w:rPr>
                  <w:rStyle w:val="InternetLink"/>
                  <w:rFonts w:ascii="Times New Roman;serif" w:hAnsi="Times New Roman;serif"/>
                  <w:b w:val="false"/>
                  <w:color w:val="0000FF"/>
                  <w:sz w:val="20"/>
                  <w:u w:val="single"/>
                </w:rPr>
                <w:t>Lucid Press Release Dated August 28,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Current Report on Form 8-K to be signed on its behalf by the undersigned hereunto duly authorized.</w:t>
      </w:r>
    </w:p>
    <w:tbl>
      <w:tblPr>
        <w:tblW w:w="5852" w:type="dxa"/>
        <w:jc w:val="left"/>
        <w:tblInd w:w="0" w:type="dxa"/>
        <w:tblLayout w:type="fixed"/>
        <w:tblCellMar>
          <w:top w:w="28" w:type="dxa"/>
          <w:left w:w="28" w:type="dxa"/>
          <w:bottom w:w="28" w:type="dxa"/>
          <w:right w:w="28" w:type="dxa"/>
        </w:tblCellMar>
      </w:tblPr>
      <w:tblGrid>
        <w:gridCol w:w="743"/>
        <w:gridCol w:w="653"/>
        <w:gridCol w:w="659"/>
        <w:gridCol w:w="322"/>
        <w:gridCol w:w="322"/>
        <w:gridCol w:w="322"/>
        <w:gridCol w:w="818"/>
        <w:gridCol w:w="818"/>
        <w:gridCol w:w="823"/>
        <w:gridCol w:w="109"/>
        <w:gridCol w:w="109"/>
        <w:gridCol w:w="154"/>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28, 2026</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LUCID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Alexander De Bock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 Alexander De Bock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106" w:type="dxa"/>
        <w:jc w:val="left"/>
        <w:tblInd w:w="0" w:type="dxa"/>
        <w:tblLayout w:type="fixed"/>
        <w:tblCellMar>
          <w:top w:w="28" w:type="dxa"/>
          <w:left w:w="28" w:type="dxa"/>
          <w:bottom w:w="28" w:type="dxa"/>
          <w:right w:w="28" w:type="dxa"/>
        </w:tblCellMar>
      </w:tblPr>
      <w:tblGrid>
        <w:gridCol w:w="1004"/>
        <w:gridCol w:w="883"/>
        <w:gridCol w:w="884"/>
        <w:gridCol w:w="390"/>
        <w:gridCol w:w="390"/>
        <w:gridCol w:w="555"/>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71" w:type="dxa"/>
            <w:gridSpan w:val="3"/>
            <w:tcBorders/>
            <w:tcMar>
              <w:top w:w="0" w:type="dxa"/>
              <w:left w:w="0" w:type="dxa"/>
              <w:bottom w:w="0" w:type="dxa"/>
              <w:right w:w="0" w:type="dxa"/>
            </w:tcMar>
            <w:vAlign w:val="center"/>
          </w:tcPr>
          <w:p>
            <w:pPr>
              <w:pStyle w:val="TableContents"/>
              <w:bidi w:val="0"/>
              <w:spacing w:before="0" w:after="2"/>
              <w:jc w:val="left"/>
              <w:rPr/>
            </w:pPr>
            <w:r>
              <w:rPr/>
              <w:drawing>
                <wp:inline distT="0" distB="0" distL="0" distR="0">
                  <wp:extent cx="1695450" cy="2381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95450" cy="238125"/>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2"/>
              </w:rPr>
            </w:pPr>
            <w:r>
              <w:rPr>
                <w:rFonts w:ascii="Times New Roman;serif" w:hAnsi="Times New Roman;serif"/>
                <w:b/>
                <w:color w:val="000000"/>
                <w:sz w:val="22"/>
              </w:rPr>
              <w:t>Exhibit 99.1</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Lucid Adds New Leaders Across Commercial, Finance, and Marketing </w:t>
      </w:r>
    </w:p>
    <w:p>
      <w:pPr>
        <w:pStyle w:val="TextBody"/>
        <w:bidi w:val="0"/>
        <w:spacing w:lineRule="auto" w:line="288" w:before="240" w:after="283"/>
        <w:jc w:val="center"/>
        <w:rPr>
          <w:rFonts w:ascii="Times New Roman;serif" w:hAnsi="Times New Roman;serif"/>
          <w:b w:val="false"/>
          <w:i/>
          <w:color w:val="000000"/>
          <w:sz w:val="24"/>
        </w:rPr>
      </w:pPr>
      <w:r>
        <w:rPr>
          <w:rFonts w:ascii="Times New Roman;serif" w:hAnsi="Times New Roman;serif"/>
          <w:b w:val="false"/>
          <w:i/>
          <w:color w:val="000000"/>
          <w:sz w:val="24"/>
        </w:rPr>
        <w:t>New hires to strengthen execution, financial discipline, and customer focus</w:t>
      </w:r>
    </w:p>
    <w:p>
      <w:pPr>
        <w:pStyle w:val="TextBody"/>
        <w:bidi w:val="0"/>
        <w:spacing w:lineRule="auto" w:line="288" w:before="240" w:after="283"/>
        <w:jc w:val="left"/>
        <w:rPr/>
      </w:pPr>
      <w:r>
        <w:rPr>
          <w:rFonts w:ascii="Times New Roman;serif" w:hAnsi="Times New Roman;serif"/>
          <w:b/>
          <w:color w:val="000000"/>
          <w:sz w:val="22"/>
        </w:rPr>
        <w:t>NEWARK, Calif., – August 28, 2026 –</w:t>
      </w:r>
      <w:r>
        <w:rPr>
          <w:color w:val="000000"/>
        </w:rPr>
        <w:t xml:space="preserve"> </w:t>
      </w:r>
      <w:r>
        <w:rPr>
          <w:rFonts w:ascii="Times New Roman;serif" w:hAnsi="Times New Roman;serif"/>
          <w:b w:val="false"/>
          <w:color w:val="000000"/>
          <w:sz w:val="22"/>
        </w:rPr>
        <w:t>Lucid Group, Inc. (NASDAQ: LCID), maker of the world’s most advanced software-defined vehicles and technologies, today announced three leadership appointments designed to strengthen commercial execution, financial discipline, and customer engagement. Shawn Mirabal has joined as President of North America Commercial, Mike Molino as Vice President of Finance, and Angela Zepeda as Vice President, Global Marketing.</w:t>
      </w:r>
    </w:p>
    <w:p>
      <w:pPr>
        <w:pStyle w:val="TextBody"/>
        <w:bidi w:val="0"/>
        <w:spacing w:lineRule="auto" w:line="288" w:before="240" w:after="283"/>
        <w:jc w:val="left"/>
        <w:rPr>
          <w:color w:val="000000"/>
        </w:rPr>
      </w:pPr>
      <w:r>
        <w:rPr>
          <w:color w:val="000000"/>
        </w:rPr>
        <w:t>“</w:t>
      </w:r>
      <w:r>
        <w:rPr>
          <w:rFonts w:ascii="Times New Roman;serif" w:hAnsi="Times New Roman;serif"/>
          <w:b w:val="false"/>
          <w:color w:val="000000"/>
          <w:sz w:val="22"/>
        </w:rPr>
        <w:t>We continue to strengthen our leadership team with executives who bring deep experience and a proven track record of execution,” said Silvio Napoli, CEO at Lucid. “Shawn, Mike, and Angela are proven leaders who will each directly support our three business fundamentals: cash and cost, customer and quality, and culture and team. Their leadership will help us deliver more consistent results for our customers, shareholders, and employees.”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Mirabal brings more than 27 years of manufacturing and retail automotive experience to Lucid, having previously held national and regional leadership roles at Nissan North America, FCA/Stellantis, American Honda, Berkshire Hathaway Automotive Group, and most recently was the COO of #1 Cochran Automotive Group. His experience leading organizational transformations and aligning manufacturing priorities with frontline retail execution will support Lucid’s focus on improving commercial execution and the customer experience across North America.</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Molino brings more than two decades of finance leadership experience across the automotive industry and most recently served as CFO and COO, Head of Finance and Operations at Mercedes-Benz Research and Development North America. As Lucid continues to focus on execution, efficiency, and value creation, he will work closely with leaders across the company to strengthen financial discipline, improve transparency and accountability, and better connect operational execution with financial performance.</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Zepeda joins Lucid with more than 25 years of experience leading global brands through transformation, most recently serving as Global Head of Marketing at xAI after five years as CMO at Hyundai Motor America. Her experience refining operating models, strengthening cross-functional alignment, and integrating marketing with product, sales, and communications to better align the end-to-end customer journey will support Lucid’s efforts to strengthen customer engagement, brand awareness, and commercial momentum.</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In their new roles, Mirabal and Zepeda will report to Billy Hayes, Chief Customer Officer, and Molino will report to Alexander De Bock, CFO. These appointments reflect Lucid’s continued focus on building the leadership capabilities needed to improve execution, strengthen accountability, and better service customers as the company advances its next phase.</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 xml:space="preserve">About Lucid Group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Lucid Group, Inc. (NASDAQ: LCID) is a technology company creating exceptional mobility experiences through innovation to drive the world forward. Built on Lucid’s proprietary technology and software defined vehicle architectures, the company’s lineup of award-winning vehicles brings Lucid’s “Compromise Nothing™” approach to premium segments of the global automotive market. Lucid designs and engineers its products in-house and manufactures at its vertically integrated facilities in Arizona and Saudi Arabia, enabling continuous innovation across vehicles, software, and advanced driver assistance and autonomy-ready capabilities.</w:t>
      </w:r>
    </w:p>
    <w:p>
      <w:pPr>
        <w:pStyle w:val="TextBody"/>
        <w:bidi w:val="0"/>
        <w:spacing w:before="240" w:after="283"/>
        <w:jc w:val="left"/>
        <w:rPr/>
      </w:pPr>
      <w:r>
        <w:rPr/>
      </w:r>
    </w:p>
    <w:p>
      <w:pPr>
        <w:pStyle w:val="TextBody"/>
        <w:bidi w:val="0"/>
        <w:spacing w:before="20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the expected contributions of Lucid's newly appointed leaders, Lucid's efforts to strengthen execution, improve cost efficiency, enhance the customer experience, accelerate commercial performance, increase brand awareness, and support the Company's future growth and strategic priorities.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cautionary language and the Risk Factors in our Annual Report on Form 10-K for the year ended December 31, 2025, subsequent Quarterly Reports on Form 10-Qs, Current Reports on Form 8-K, and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288" w:before="240" w:after="283"/>
        <w:jc w:val="left"/>
        <w:rPr>
          <w:rFonts w:ascii="Times New Roman;serif" w:hAnsi="Times New Roman;serif"/>
          <w:b w:val="false"/>
          <w:color w:val="3051F2"/>
          <w:sz w:val="22"/>
          <w:u w:val="single"/>
        </w:rPr>
      </w:pPr>
      <w:r>
        <w:rPr>
          <w:rFonts w:ascii="Times New Roman;serif" w:hAnsi="Times New Roman;serif"/>
          <w:b w:val="false"/>
          <w:color w:val="3051F2"/>
          <w:sz w:val="22"/>
          <w:u w:val="single"/>
        </w:rPr>
        <w:t>media@lucidmotors.com</w:t>
      </w:r>
    </w:p>
    <w:p>
      <w:pPr>
        <w:pStyle w:val="TextBody"/>
        <w:bidi w:val="0"/>
        <w:spacing w:lineRule="auto" w:line="276" w:before="240" w:after="283"/>
        <w:jc w:val="left"/>
        <w:rPr>
          <w:rFonts w:ascii="Times New Roman;serif" w:hAnsi="Times New Roman;serif"/>
          <w:b/>
          <w:color w:val="000000"/>
          <w:sz w:val="22"/>
        </w:rPr>
      </w:pPr>
      <w:r>
        <w:rPr>
          <w:rFonts w:ascii="Times New Roman;serif" w:hAnsi="Times New Roman;serif"/>
          <w:b/>
          <w:color w:val="000000"/>
          <w:sz w:val="22"/>
        </w:rPr>
        <w:t>Investor Relations Contact</w:t>
      </w:r>
    </w:p>
    <w:p>
      <w:pPr>
        <w:pStyle w:val="TextBody"/>
        <w:bidi w:val="0"/>
        <w:spacing w:lineRule="auto" w:line="288" w:before="240" w:after="283"/>
        <w:jc w:val="left"/>
        <w:rPr>
          <w:rFonts w:ascii="Times New Roman;serif" w:hAnsi="Times New Roman;serif"/>
          <w:b w:val="false"/>
          <w:color w:val="3051F2"/>
          <w:sz w:val="22"/>
          <w:u w:val="single"/>
        </w:rPr>
      </w:pPr>
      <w:r>
        <w:rPr>
          <w:rFonts w:ascii="Times New Roman;serif" w:hAnsi="Times New Roman;serif"/>
          <w:b w:val="false"/>
          <w:color w:val="3051F2"/>
          <w:sz w:val="22"/>
          <w:u w:val="single"/>
        </w:rPr>
        <w:t>investor@lucidmotors.com</w:t>
      </w:r>
    </w:p>
    <w:p>
      <w:pPr>
        <w:pStyle w:val="TextBody"/>
        <w:bidi w:val="0"/>
        <w:spacing w:lineRule="auto" w:line="268" w:before="0" w:after="0"/>
        <w:jc w:val="left"/>
        <w:rPr/>
      </w:pPr>
      <w:r>
        <w:rPr>
          <w:rFonts w:ascii="Times New Roman;serif" w:hAnsi="Times New Roman;serif"/>
          <w:b w:val="false"/>
          <w:color w:val="000000"/>
          <w:sz w:val="22"/>
        </w:rPr>
        <w:t xml:space="preserve">Sign up for investor email alerts: </w:t>
      </w:r>
      <w:r>
        <w:rPr>
          <w:rFonts w:ascii="Times New Roman;serif" w:hAnsi="Times New Roman;serif"/>
          <w:b w:val="false"/>
          <w:color w:val="3051F2"/>
          <w:sz w:val="22"/>
          <w:u w:val="single"/>
        </w:rPr>
        <w:t>https://ir.lucidmotors.com/ir-resources/email-alerts</w:t>
      </w:r>
    </w:p>
    <w:p>
      <w:pPr>
        <w:pStyle w:val="TextBody"/>
        <w:bidi w:val="0"/>
        <w:spacing w:lineRule="auto" w:line="268" w:before="240" w:after="283"/>
        <w:jc w:val="left"/>
        <w:rPr>
          <w:rFonts w:ascii="Times New Roman;serif" w:hAnsi="Times New Roman;serif"/>
          <w:b/>
          <w:color w:val="000000"/>
          <w:sz w:val="22"/>
        </w:rPr>
      </w:pPr>
      <w:r>
        <w:rPr>
          <w:rFonts w:ascii="Times New Roman;serif" w:hAnsi="Times New Roman;serif"/>
          <w:b/>
          <w:color w:val="000000"/>
          <w:sz w:val="22"/>
        </w:rPr>
        <w:t>Trademarks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communication contains trademarks, service marks, trade names and copyrights of Lucid Group, Inc. and its subsidiaries and other companies, which are the property of their respective owners.</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1807</Words>
  <Characters>10595</Characters>
  <CharactersWithSpaces>12343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