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June 5, 2025</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40"/>
        <w:jc w:val="both"/>
        <w:rPr/>
      </w:pPr>
      <w:r>
        <w:rPr>
          <w:rFonts w:ascii="Times New Roman;sans-serif" w:hAnsi="Times New Roman;sans-serif"/>
          <w:b w:val="false"/>
          <w:color w:val="000000"/>
          <w:sz w:val="20"/>
        </w:rPr>
        <w:t>On June 5, 2025, at the 2025 Annual Meeting of Stockholders (the “</w:t>
      </w:r>
      <w:r>
        <w:rPr>
          <w:rFonts w:ascii="Times New Roman;sans-serif" w:hAnsi="Times New Roman;sans-serif"/>
          <w:b/>
          <w:i/>
          <w:color w:val="000000"/>
          <w:sz w:val="20"/>
        </w:rPr>
        <w:t>Annual Meeting</w:t>
      </w:r>
      <w:r>
        <w:rPr>
          <w:color w:val="000000"/>
        </w:rPr>
        <w:t>”</w:t>
      </w:r>
      <w:r>
        <w:rPr>
          <w:rFonts w:ascii="Times New Roman;sans-serif" w:hAnsi="Times New Roman;sans-serif"/>
          <w:b w:val="false"/>
          <w:color w:val="000000"/>
          <w:sz w:val="20"/>
        </w:rPr>
        <w:t>) of Lucid Group,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the Company’s stockholders approved the Lucid Group, Inc. Amended and Restated 2021 Stock Incentive Plan (including the Lucid Group, Inc. Amended and Restated 2021 Employee Stock Purchase Plan attached thereto)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Under the Plan as approved by the Company’s stockholders at the Annual Meeting, the number of shares of Class A common stock (the “</w:t>
      </w:r>
      <w:r>
        <w:rPr>
          <w:rFonts w:ascii="Times New Roman;sans-serif" w:hAnsi="Times New Roman;sans-serif"/>
          <w:b/>
          <w:i/>
          <w:color w:val="000000"/>
          <w:sz w:val="20"/>
        </w:rPr>
        <w:t>Common Stock</w:t>
      </w:r>
      <w:r>
        <w:rPr>
          <w:color w:val="000000"/>
        </w:rPr>
        <w:t>”</w:t>
      </w:r>
      <w:r>
        <w:rPr>
          <w:rFonts w:ascii="Times New Roman;sans-serif" w:hAnsi="Times New Roman;sans-serif"/>
          <w:b w:val="false"/>
          <w:color w:val="000000"/>
          <w:sz w:val="20"/>
        </w:rPr>
        <w:t>) available for issuance has been increased by 184,000,000 shares effective as of the date of the Annual Meeting. A summary of the material terms of the Plan is set forth in the Company’s definitive proxy statement on Schedule 14A filed with the U.S. Securities and Exchange Commission on April 24, 2025 (the “</w:t>
      </w:r>
      <w:r>
        <w:rPr>
          <w:rFonts w:ascii="Times New Roman;sans-serif" w:hAnsi="Times New Roman;sans-serif"/>
          <w:b/>
          <w:i/>
          <w:color w:val="000000"/>
          <w:sz w:val="20"/>
        </w:rPr>
        <w:t>Proxy Statement</w:t>
      </w:r>
      <w:r>
        <w:rPr>
          <w:color w:val="000000"/>
        </w:rPr>
        <w:t>”</w:t>
      </w:r>
      <w:r>
        <w:rPr>
          <w:rFonts w:ascii="Times New Roman;sans-serif" w:hAnsi="Times New Roman;sans-serif"/>
          <w:b w:val="false"/>
          <w:color w:val="000000"/>
          <w:sz w:val="20"/>
        </w:rPr>
        <w:t>), which summary is incorporated by reference herein. The foregoing and the summary in the Proxy Statement are qualified in their entirety by reference to the full text of the Plan, a copy of which was previously filed as Annex A to the Proxy Statement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Securities 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its Annual Meeting on June 5, 2025. Proxies for the Annual Meeting were solicited pursuant to Regulation 14A of the Securities Exchange Act of 1934, as amended. At the close of business on April 7, 2025, the record date for the Annual Meeting, there were 3,048,846,066 shares of Common Stock outstanding and entitled to vote, and 100,000 shares of series A convertible preferred stock and 75,000 shares of series B convertible preferred stock outstanding and entitled to vote, which are convertible, in the aggregate, into 486,199,982 shares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Company’s stockholders voted on the following four proposals, each of which is described in more detail in the Proxy Statement. The number of votes cast with respect to each proposal was as indicated below.</w:t>
      </w:r>
    </w:p>
    <w:p>
      <w:pPr>
        <w:pStyle w:val="TextBody"/>
        <w:bidi w:val="0"/>
        <w:spacing w:lineRule="auto" w:line="288" w:before="240" w:after="283"/>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rPr>
        <w:t xml:space="preserve">Election of Directors. </w:t>
      </w:r>
      <w:r>
        <w:rPr>
          <w:rFonts w:ascii="Times New Roman;sans-serif" w:hAnsi="Times New Roman;sans-serif"/>
          <w:b w:val="false"/>
          <w:color w:val="000000"/>
          <w:sz w:val="20"/>
        </w:rPr>
        <w:t>The following eight nominees were elected to serve as directors until the Company’s 2026 Annual Meeting of Stockholders and until their successors are duly elected and qualified, subject to earlier resignation or removal, based on the following results of voting:</w:t>
      </w:r>
    </w:p>
    <w:tbl>
      <w:tblPr>
        <w:tblW w:w="7847" w:type="dxa"/>
        <w:jc w:val="left"/>
        <w:tblInd w:w="0" w:type="dxa"/>
        <w:tblLayout w:type="fixed"/>
        <w:tblCellMar>
          <w:top w:w="28" w:type="dxa"/>
          <w:left w:w="28" w:type="dxa"/>
          <w:bottom w:w="28" w:type="dxa"/>
          <w:right w:w="28" w:type="dxa"/>
        </w:tblCellMar>
      </w:tblPr>
      <w:tblGrid>
        <w:gridCol w:w="785"/>
        <w:gridCol w:w="691"/>
        <w:gridCol w:w="699"/>
        <w:gridCol w:w="109"/>
        <w:gridCol w:w="109"/>
        <w:gridCol w:w="109"/>
        <w:gridCol w:w="429"/>
        <w:gridCol w:w="429"/>
        <w:gridCol w:w="433"/>
        <w:gridCol w:w="109"/>
        <w:gridCol w:w="109"/>
        <w:gridCol w:w="109"/>
        <w:gridCol w:w="464"/>
        <w:gridCol w:w="464"/>
        <w:gridCol w:w="466"/>
        <w:gridCol w:w="109"/>
        <w:gridCol w:w="109"/>
        <w:gridCol w:w="109"/>
        <w:gridCol w:w="544"/>
        <w:gridCol w:w="544"/>
        <w:gridCol w:w="546"/>
        <w:gridCol w:w="109"/>
        <w:gridCol w:w="109"/>
        <w:gridCol w:w="154"/>
      </w:tblGrid>
      <w:tr>
        <w:trPr/>
        <w:tc>
          <w:tcPr>
            <w:tcW w:w="7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color w:val="000000"/>
                <w:sz w:val="20"/>
              </w:rPr>
            </w:pPr>
            <w:r>
              <w:rPr>
                <w:rFonts w:ascii="Times New Roman;sans-serif" w:hAnsi="Times New Roman;sans-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Turqi Alnowaiser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2,351,005,533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49,879,778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Douglas Grimm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2,396,266,846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4,618,465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Lisa M. Lambert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2,397,382,549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3,502,762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Andrew Liveris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2,387,674,059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13,211,252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Nichelle Maynard-Elliott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2,378,081,839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22,803,472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Chabi Nouri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2,394,606,154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6,279,157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Ori Winitzer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2,395,764,972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5,120,339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Janet S. Wong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2,396,286,896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4,598,415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rPr>
        <w:t xml:space="preserve">Ratification of the Selection of the Independent Registered Public Accounting Firm. </w:t>
      </w:r>
      <w:r>
        <w:rPr>
          <w:rFonts w:ascii="Times New Roman;sans-serif" w:hAnsi="Times New Roman;sans-serif"/>
          <w:b w:val="false"/>
          <w:color w:val="000000"/>
          <w:sz w:val="20"/>
        </w:rPr>
        <w:t>The ratification of the selection of KPMG LLP as the independent registered public accounting firm for the Company for the fiscal year ending December 31, 2025, was ratified based on the following results of voting:</w:t>
      </w:r>
    </w:p>
    <w:tbl>
      <w:tblPr>
        <w:tblW w:w="6307" w:type="dxa"/>
        <w:jc w:val="left"/>
        <w:tblInd w:w="0" w:type="dxa"/>
        <w:tblLayout w:type="fixed"/>
        <w:tblCellMar>
          <w:top w:w="28" w:type="dxa"/>
          <w:left w:w="28" w:type="dxa"/>
          <w:bottom w:w="28" w:type="dxa"/>
          <w:right w:w="28" w:type="dxa"/>
        </w:tblCellMar>
      </w:tblPr>
      <w:tblGrid>
        <w:gridCol w:w="472"/>
        <w:gridCol w:w="414"/>
        <w:gridCol w:w="420"/>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2,770,115,582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10,072,547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3,611,235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24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color w:val="000000"/>
          <w:sz w:val="20"/>
        </w:rPr>
        <w:t xml:space="preserve">Approval, on an Advisory Basis, of the Compensation of Our Named Executive Officers. </w:t>
      </w:r>
      <w:r>
        <w:rPr>
          <w:rFonts w:ascii="Times New Roman;sans-serif" w:hAnsi="Times New Roman;sans-serif"/>
          <w:b w:val="false"/>
          <w:color w:val="000000"/>
          <w:sz w:val="20"/>
        </w:rPr>
        <w:t>The results of the advisory vote regarding the Company’s 2024 executive compensation as disclosed in the Proxy Statement were as follows:</w:t>
      </w:r>
    </w:p>
    <w:tbl>
      <w:tblPr>
        <w:tblW w:w="6307" w:type="dxa"/>
        <w:jc w:val="left"/>
        <w:tblInd w:w="0" w:type="dxa"/>
        <w:tblLayout w:type="fixed"/>
        <w:tblCellMar>
          <w:top w:w="28" w:type="dxa"/>
          <w:left w:w="28" w:type="dxa"/>
          <w:bottom w:w="28" w:type="dxa"/>
          <w:right w:w="28" w:type="dxa"/>
        </w:tblCellMar>
      </w:tblPr>
      <w:tblGrid>
        <w:gridCol w:w="472"/>
        <w:gridCol w:w="414"/>
        <w:gridCol w:w="420"/>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2,385,576,554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13,751,810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1,556,947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4.</w:t>
      </w:r>
      <w:r>
        <w:rPr>
          <w:rFonts w:ascii="Times New Roman;sans-serif" w:hAnsi="Times New Roman;sans-serif"/>
          <w:b/>
          <w:color w:val="000000"/>
          <w:sz w:val="20"/>
        </w:rPr>
        <w:t xml:space="preserve">Approval of the Amendment and Restatement of the Lucid Group, Inc. Amended and Restated 2021 Stock Incentive Plan. </w:t>
      </w:r>
      <w:r>
        <w:rPr>
          <w:rFonts w:ascii="Times New Roman;sans-serif" w:hAnsi="Times New Roman;sans-serif"/>
          <w:b w:val="false"/>
          <w:color w:val="000000"/>
          <w:sz w:val="20"/>
        </w:rPr>
        <w:t>The amendment and restatement of the Lucid Group, Inc. Amended and Restated 2021 Stock Incentive Plan was approved, based on the following results of voting:</w:t>
      </w:r>
    </w:p>
    <w:tbl>
      <w:tblPr>
        <w:tblW w:w="6307" w:type="dxa"/>
        <w:jc w:val="left"/>
        <w:tblInd w:w="0" w:type="dxa"/>
        <w:tblLayout w:type="fixed"/>
        <w:tblCellMar>
          <w:top w:w="28" w:type="dxa"/>
          <w:left w:w="28" w:type="dxa"/>
          <w:bottom w:w="28" w:type="dxa"/>
          <w:right w:w="28" w:type="dxa"/>
        </w:tblCellMar>
      </w:tblPr>
      <w:tblGrid>
        <w:gridCol w:w="472"/>
        <w:gridCol w:w="414"/>
        <w:gridCol w:w="420"/>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2,361,681,094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37,976,221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382,914,053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"https://www.sec.gov/ix?doc=/Archives/edgar/data/0001811210/000110465925038701/tm2431387-2_def14a.htm" \l "tANA"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Lucid Group, Inc. Amended and Restated 2021 Stock Incentive Plan (including the Lucid Group, Inc. Amended and Restated 2021 Employee Stock Purchase Plan, attached thereto) (previously filed as Annex A to the Registrant’s Definitive Proxy Statement on Schedule 14A filed with the Commission on April 24, 2025 and incorporated herein by reference).</w:t>
            </w:r>
            <w:r>
              <w:rPr>
                <w:rStyle w:val="InternetLink"/>
                <w:sz w:val="20"/>
                <w:u w:val="single"/>
                <w:b w:val="false"/>
                <w:rFonts w:ascii="Times New Roman;sans-serif" w:hAnsi="Times New Roman;sans-serif"/>
                <w:color w:val="0000FF"/>
              </w:rPr>
              <w:fldChar w:fldCharType="end"/>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484" w:type="dxa"/>
        <w:jc w:val="left"/>
        <w:tblInd w:w="0" w:type="dxa"/>
        <w:tblLayout w:type="fixed"/>
        <w:tblCellMar>
          <w:top w:w="28" w:type="dxa"/>
          <w:left w:w="28" w:type="dxa"/>
          <w:bottom w:w="28" w:type="dxa"/>
          <w:right w:w="28" w:type="dxa"/>
        </w:tblCellMar>
      </w:tblPr>
      <w:tblGrid>
        <w:gridCol w:w="629"/>
        <w:gridCol w:w="553"/>
        <w:gridCol w:w="558"/>
        <w:gridCol w:w="245"/>
        <w:gridCol w:w="245"/>
        <w:gridCol w:w="245"/>
        <w:gridCol w:w="586"/>
        <w:gridCol w:w="586"/>
        <w:gridCol w:w="83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June 6, 2025</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Taoufiq Boussaid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Taoufiq Boussaid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5798</Characters>
  <CharactersWithSpaces>6718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